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- Farhan Ali Khan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DT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They hired a growth head. He was running operations in 90 days.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8:40 PM, the factory floor was still running.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delayed. One machine down. A vendor escalation waiting.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was on call with a customer.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“growth initiative” meeting scheduled for 6 PM never happened.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rarely does.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discipline problem.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design problem.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people responsible for today’s revenue are responsible for tomorrow’s growth.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the two compete, revenue wins. Every time.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2015, Amazon faced this exact wall.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were delivering. Customers were being served. Revenue was growing.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growth initiatives kept slowing down.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ideas were bad.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execution bandwidth belonged to operations.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they made a structural shift.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created small, autonomous “two-pizza teams.”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 culture experiment.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execution system.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had one clear goal. One metric.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most importantly — they were not responsible for running daily operations.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responsible for building what didn’t exist yet.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was clear.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was protected.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was reviewed weekly.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tested small before scaling.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 surfaced immediately.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wasn’t just faster innovation.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parallel growth — without breaking operations.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emerged from this system.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wasn’t about hiring better people.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about separating two types of work that should never compete: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the business.</w:t>
        <w:br w:type="textWrapping"/>
        <w:t xml:space="preserve">And building the next version of it.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companies try to solve this differently.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hire growth leaders.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run strategy off-sites.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 software.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changes.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structure doesn’t change.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people.</w:t>
        <w:br w:type="textWrapping"/>
        <w:t xml:space="preserve">The same calendar.</w:t>
        <w:br w:type="textWrapping"/>
        <w:t xml:space="preserve">The same conflict.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doesn’t fail because of bad ideas.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because it has no protected execution system.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pattern is simple.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always a dedicated team.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there is always a protocol.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noise.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growth initiative depends on the same people who run daily operations—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have a growth plan.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wish.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Who in your company owns your growth KPI — and does nothing else?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