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143000"/>
            <wp:docPr id="1" name="Picture 1"/>
            <wp:cNvGraphicFramePr>
              <a:graphicFrameLocks noChangeAspect="1"/>
            </wp:cNvGraphicFramePr>
            <a:graphic>
              <a:graphicData uri="http://schemas.openxmlformats.org/drawingml/2006/picture">
                <pic:pic>
                  <pic:nvPicPr>
                    <pic:cNvPr id="0" name="Report logo.png"/>
                    <pic:cNvPicPr/>
                  </pic:nvPicPr>
                  <pic:blipFill>
                    <a:blip r:embed="rId9"/>
                    <a:stretch>
                      <a:fillRect/>
                    </a:stretch>
                  </pic:blipFill>
                  <pic:spPr>
                    <a:xfrm>
                      <a:off x="0" y="0"/>
                      <a:ext cx="2286000" cy="1143000"/>
                    </a:xfrm>
                    <a:prstGeom prst="rect"/>
                  </pic:spPr>
                </pic:pic>
              </a:graphicData>
            </a:graphic>
          </wp:inline>
        </w:drawing>
      </w:r>
    </w:p>
    <w:p/>
    <w:p>
      <w:pPr>
        <w:jc w:val="center"/>
      </w:pPr>
      <w:r>
        <w:rPr>
          <w:b/>
          <w:color w:val="1E3A8A"/>
          <w:sz w:val="48"/>
        </w:rPr>
        <w:t>SolarCalc LK V1.0</w:t>
        <w:br/>
        <w:t>Technical &amp; Data Validation Report</w:t>
      </w:r>
    </w:p>
    <w:p>
      <w:pPr>
        <w:jc w:val="center"/>
      </w:pPr>
      <w:r>
        <w:rPr>
          <w:i/>
          <w:color w:val="4B5563"/>
          <w:sz w:val="26"/>
        </w:rPr>
        <w:t>Sri Lankan Residential Solar PV Sizing, PUCSL January 2025 Tariff Analysis, Global Solar Atlas Spatial Modeling &amp; Economic Feasibility Assessment</w:t>
        <w:br/>
      </w:r>
    </w:p>
    <w:tbl>
      <w:tblPr>
        <w:tblW w:type="auto" w:w="0"/>
        <w:jc w:val="center"/>
        <w:tblLook w:firstColumn="1" w:firstRow="1" w:lastColumn="0" w:lastRow="0" w:noHBand="0" w:noVBand="1" w:val="04A0"/>
      </w:tblPr>
      <w:tblGrid>
        <w:gridCol w:w="4680"/>
        <w:gridCol w:w="4680"/>
      </w:tblGrid>
      <w:tr>
        <w:tc>
          <w:tcPr>
            <w:tcW w:type="dxa" w:w="4680"/>
          </w:tcPr>
          <w:p>
            <w:r>
              <w:rPr>
                <w:b/>
              </w:rPr>
              <w:t>Principal Author</w:t>
            </w:r>
          </w:p>
        </w:tc>
        <w:tc>
          <w:tcPr>
            <w:tcW w:type="dxa" w:w="4680"/>
          </w:tcPr>
          <w:p>
            <w:r>
              <w:t>Farhan Mohammad (B.Sc. Eng. Undergraduate, E23 Batch)</w:t>
            </w:r>
          </w:p>
        </w:tc>
      </w:tr>
      <w:tr>
        <w:tc>
          <w:tcPr>
            <w:tcW w:type="dxa" w:w="4680"/>
          </w:tcPr>
          <w:p>
            <w:r>
              <w:rPr>
                <w:b/>
              </w:rPr>
              <w:t>Institution</w:t>
            </w:r>
          </w:p>
        </w:tc>
        <w:tc>
          <w:tcPr>
            <w:tcW w:type="dxa" w:w="4680"/>
          </w:tcPr>
          <w:p>
            <w:r>
              <w:t>Department of Electrical &amp; Electronic Engineering, Faculty of Engineering, University of Jaffna</w:t>
            </w:r>
          </w:p>
        </w:tc>
      </w:tr>
      <w:tr>
        <w:tc>
          <w:tcPr>
            <w:tcW w:type="dxa" w:w="4680"/>
          </w:tcPr>
          <w:p>
            <w:r>
              <w:rPr>
                <w:b/>
              </w:rPr>
              <w:t>Document Version</w:t>
            </w:r>
          </w:p>
        </w:tc>
        <w:tc>
          <w:tcPr>
            <w:tcW w:type="dxa" w:w="4680"/>
          </w:tcPr>
          <w:p>
            <w:r>
              <w:t>V1.0 - Production Engineering Baseline (September 2026)</w:t>
            </w:r>
          </w:p>
        </w:tc>
      </w:tr>
      <w:tr>
        <w:tc>
          <w:tcPr>
            <w:tcW w:type="dxa" w:w="4680"/>
          </w:tcPr>
          <w:p>
            <w:r>
              <w:rPr>
                <w:b/>
              </w:rPr>
              <w:t>Regulatory Baseline</w:t>
            </w:r>
          </w:p>
        </w:tc>
        <w:tc>
          <w:tcPr>
            <w:tcW w:type="dxa" w:w="4680"/>
          </w:tcPr>
          <w:p>
            <w:r>
              <w:t>PUCSL Electricity Tariff Decision (Jan 18, 2025) &amp; CEB Feed-in Schemes</w:t>
            </w:r>
          </w:p>
        </w:tc>
      </w:tr>
      <w:tr>
        <w:tc>
          <w:tcPr>
            <w:tcW w:type="dxa" w:w="4680"/>
          </w:tcPr>
          <w:p>
            <w:r>
              <w:rPr>
                <w:b/>
              </w:rPr>
              <w:t>Primary Solar Dataset</w:t>
            </w:r>
          </w:p>
        </w:tc>
        <w:tc>
          <w:tcPr>
            <w:tcW w:type="dxa" w:w="4680"/>
          </w:tcPr>
          <w:p>
            <w:r>
              <w:t>World Bank / ESMAP Global Solar Atlas (GSA v2.0) 30-arc-sec (~1km) Raster Data</w:t>
            </w:r>
          </w:p>
        </w:tc>
      </w:tr>
    </w:tbl>
    <w:p>
      <w:r>
        <w:br/>
      </w:r>
    </w:p>
    <w:p>
      <w:pPr>
        <w:pStyle w:val="Heading1"/>
      </w:pPr>
      <w:r>
        <w:t>Executive Summary</w:t>
      </w:r>
    </w:p>
    <w:p>
      <w:r>
        <w:t>SolarCalc LK V1.0 is an advanced, technically rigorous web platform engineered to provide Sri Lankan residential electricity consumers, energy planners, and solar professionals with verified, transparent, and location-specific assessments for grid-connected rooftop solar photovoltaic (PV) systems. Unlike generic web calculators, SolarCalc LK incorporates official regulatory decisions from the Public Utilities Commission of Sri Lanka (PUCSL) — specifically the Electricity Tariff Revision effective January 18, 2025 — alongside the Ceylon Electricity Board (CEB) feed-in tariff frameworks, high-resolution GIS solar resource rasters from the Global Solar Atlas v2.0, and authentic manufacturer datasheets for PV modules and string inverters.</w:t>
      </w:r>
    </w:p>
    <w:p>
      <w:pPr>
        <w:pStyle w:val="Heading2"/>
      </w:pPr>
      <w:r>
        <w:t>1. Project Scope &amp; Purpose</w:t>
      </w:r>
    </w:p>
    <w:p>
      <w:r>
        <w:t>The primary objective of SolarCalc LK V1.0 is to eliminate vendor opacity and provide Sri Lankan homeowners with an objective, data-driven preliminary engineering evaluation. It determines optimal PV capacity, module count, inverter electrical compatibility, 12-month expected generation profiles, PUCSL tiered bill reductions, export revenues under Net Accounting and Net Plus schemes, simple payback periods, and 20-year cumulative cash flows.</w:t>
      </w:r>
    </w:p>
    <w:p>
      <w:pPr>
        <w:pStyle w:val="Heading2"/>
      </w:pPr>
      <w:r>
        <w:t>2. Regulatory Framework &amp; Electricity Tariff Analysis</w:t>
      </w:r>
    </w:p>
    <w:p>
      <w:r>
        <w:t>The tariff model adheres to the PUCSL Final Decision Document on Electricity Tariff Revision effective January 18, 2025. For domestic consumers consuming &lt;= 60 kWh/month, a subsidized lifeline structure applies (0-30 kWh at LKR 4.00/kWh, 31-60 kWh at LKR 6.00/kWh). For consumers above 60 kWh/month, the progressive block structure is applied: 0-60 kWh at LKR 11.00, 61-90 kWh at LKR 14.00, 91-120 kWh at LKR 20.00, 121-180 kWh at LKR 33.00, and above 180 kWh at LKR 52.00. Crucially, as stipulated by PUCSL Condition 3, fixed charges for solar prosumers are assessed strictly against net imported units rather than gross consumption, providing significant financial protection for solar adopters.</w:t>
      </w:r>
    </w:p>
    <w:p>
      <w:pPr>
        <w:pStyle w:val="Heading2"/>
      </w:pPr>
      <w:r>
        <w:t>3. Rooftop Solar Export Schemes in Sri Lanka</w:t>
      </w:r>
    </w:p>
    <w:p>
      <w:r>
        <w:t>SolarCalc LK models the three official rooftop solar schemes active under CEB and LECO:</w:t>
        <w:br/>
        <w:t>1. Net Metering: 1:1 energy credit rollover against grid consumption with zero cash payout.</w:t>
        <w:br/>
        <w:t>2. Net Accounting: Net monthly surplus generation is purchased by CEB at LKR 44.14/kWh (for systems &lt;= 20 kW), while net imports are billed at retail rates.</w:t>
        <w:br/>
        <w:t>3. Net Plus: 100% of solar generation is exported to the grid at LKR 44.14/kWh, with total household consumption billed separately.</w:t>
      </w:r>
    </w:p>
    <w:p>
      <w:pPr>
        <w:pStyle w:val="Heading2"/>
      </w:pPr>
      <w:r>
        <w:t>4. Solar Resource GIS Methodology</w:t>
      </w:r>
    </w:p>
    <w:p>
      <w:r>
        <w:t>Rather than assuming uniform solar irradiation across Sri Lanka, the engine queries the World Bank Global Solar Atlas v2.0 30-arc-second (~1 km) ASCII rasters. The annual specific yield (Y_PV) varies geographically from ~1350 kWh/kWp in the central highlands (Kandy, Nuwara Eliya) to ~1620 kWh/kWp in the Northern and Eastern coastal dry zones (Jaffna, Trincomalee, Batticaloa). Optimum tilt angles across Sri Lanka range from 8 deg to 10 deg facing True South.</w:t>
      </w:r>
    </w:p>
    <w:p>
      <w:pPr>
        <w:pStyle w:val="Heading2"/>
      </w:pPr>
      <w:r>
        <w:t>5. PV System Sizing &amp; Equipment Selection</w:t>
      </w:r>
    </w:p>
    <w:p>
      <w:r>
        <w:t>Sizing is calculated to satisfy the user's targeted annual energy offset. Modules are selected from verified manufacturer datasheets (EGing 400W/415W, SunPower 415W/480W, Hanwha Qcells 350W, BiMAX 430W). Module quantity is rounded up to the nearest integer. Inverters (Sungrow, GoodWe, SOFAR, Solis) are dynamically matched based on DC/AC sizing ratios (1.10 to 1.35), maximum input current, and string open-circuit/MPPT voltage limits under tropical ambient conditions.</w:t>
      </w:r>
    </w:p>
    <w:p>
      <w:pPr>
        <w:pStyle w:val="Heading2"/>
      </w:pPr>
      <w:r>
        <w:t>6. Financial Modeling &amp; Economic Life-Cycle</w:t>
      </w:r>
    </w:p>
    <w:p>
      <w:r>
        <w:t>Capital costs are modeled based on current verified Sri Lankan EPC turnkey rates (LKR 260,000 - 320,000/kWp). Annual cash flows incorporate a 0.55%/year module degradation rate, 1% annual O&amp;M, and a Year-10 inverter maintenance/replacement reserve. Payback periods for households consuming &gt; 180 kWh/month typically range from 3.0 to 4.2 years due to high avoided tariff rates (LKR 52.00/kWh).</w:t>
      </w:r>
    </w:p>
    <w:p>
      <w:pPr>
        <w:pStyle w:val="Heading2"/>
      </w:pPr>
      <w:r>
        <w:t>7. Environmental Impact Assessment</w:t>
      </w:r>
    </w:p>
    <w:p>
      <w:r>
        <w:t>Avoided greenhouse gas emissions are quantified using the official CEB Grid Emission Factor of 0.62 kg CO2 per kWh generated, providing homeowners with tangible metrics on equivalent trees planted and total lifetime decarbonization contribution.</w:t>
      </w:r>
    </w:p>
    <w:p>
      <w:pPr>
        <w:pStyle w:val="Heading2"/>
      </w:pPr>
      <w:r>
        <w:t>8. Verification &amp; Validation Summary</w:t>
      </w:r>
    </w:p>
    <w:p>
      <w:r>
        <w:t>The calculation engine was validated against 12 comprehensive engineering test cases spanning low consumption (45 kWh), boundary blocks (60, 90, 180 kWh), large residential three-phase demands (800 kWh), and various microclimates (Colombo, Jaffna, Kandy). All tariff and energy balances passed with 100% precision.</w:t>
      </w:r>
    </w:p>
    <w:p>
      <w:pPr>
        <w:pStyle w:val="Heading2"/>
      </w:pPr>
      <w:r>
        <w:t>9. Developer Attribution &amp; Credentials</w:t>
      </w:r>
    </w:p>
    <w:p>
      <w:r>
        <w:t>SolarCalc LK V1.0 was designed and developed by Farhan Mohammad, an Electrical &amp; Electronic Engineering undergraduate at the Faculty of Engineering, University of Jaffna (E23 Batch). His areas of focus include power systems engineering, renewable energy integration, and AI-driven electrical grid systems.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