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jc w:val="center"/>
      </w:pPr>
      <w:r>
        <w:rPr>
          <w:b/>
          <w:bCs/>
          <w:color w:val="1F4E79"/>
          <w:sz w:val="48"/>
          <w:szCs w:val="48"/>
        </w:rPr>
        <w:t xml:space="preserve">Laporan Pemeriksaan Data</w:t>
      </w:r>
    </w:p>
    <w:p>
      <w:pPr>
        <w:spacing w:after="600"/>
        <w:jc w:val="center"/>
      </w:pPr>
      <w:r>
        <w:rPr>
          <w:color w:val="2E75B6"/>
          <w:sz w:val="32"/>
          <w:szCs w:val="32"/>
        </w:rPr>
        <w:t xml:space="preserve">EverMart Online Transactions</w:t>
      </w:r>
    </w:p>
    <w:p>
      <w:pPr>
        <w:pStyle w:val="Heading1"/>
        <w:spacing w:after="120" w:before="240"/>
      </w:pPr>
      <w:r>
        <w:t xml:space="preserve">1. Ringkasan</w:t>
      </w:r>
    </w:p>
    <w:p>
      <w:pPr>
        <w:spacing w:after="120"/>
      </w:pPr>
      <w:r>
        <w:t xml:space="preserve">Dokumen ini merangkum hasil pemeriksaan data EverMart Online Transactions sebagai bahan presentasi: struktur tabel, variabel, jumlah baris dan kolom, ringkasan angka, serta interpretasinya.</w:t>
      </w:r>
    </w:p>
    <w:p>
      <w:pPr>
        <w:spacing w:after="120"/>
      </w:pPr>
      <w:r>
        <w:t xml:space="preserve">Catatan penting: tabel Transactions (evermart_online_transactions.xlsx) tidak ikut ter-upload, dan data di dalam file .pbix terkompresi sehingga tidak bisa dibaca di luar Power BI. Karena itu angka transaksi (total revenue, jumlah transaksi) belum dapat dihitung dan ditandai sebagai "menunggu data".</w:t>
      </w:r>
    </w:p>
    <w:p>
      <w:pPr>
        <w:pStyle w:val="Heading1"/>
        <w:spacing w:after="120" w:before="240"/>
      </w:pPr>
      <w:r>
        <w:t xml:space="preserve">2. Struktur Data</w:t>
      </w:r>
    </w:p>
    <w:p>
      <w:pPr>
        <w:spacing w:after="120"/>
      </w:pPr>
      <w:r>
        <w:t xml:space="preserve">Data tersusun sebagai model bintang (star schema) dengan satu tabel transaksi yang terhubung ke dua tabel dimensi.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300"/>
        <w:gridCol w:w="1300"/>
        <w:gridCol w:w="4560"/>
      </w:tblGrid>
      <w:tr>
        <w:trPr>
          <w:tblHeader/>
        </w:trPr>
        <w:tc>
          <w:tcPr>
            <w:tcW w:type="dxa" w:w="2200"/>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b/>
                <w:bCs/>
                <w:color w:val="FFFFFF"/>
                <w:sz w:val="20"/>
                <w:szCs w:val="20"/>
              </w:rPr>
              <w:t xml:space="preserve">Tabel</w:t>
            </w:r>
          </w:p>
        </w:tc>
        <w:tc>
          <w:tcPr>
            <w:tcW w:type="dxa" w:w="1300"/>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b/>
                <w:bCs/>
                <w:color w:val="FFFFFF"/>
                <w:sz w:val="20"/>
                <w:szCs w:val="20"/>
              </w:rPr>
              <w:t xml:space="preserve">Baris</w:t>
            </w:r>
          </w:p>
        </w:tc>
        <w:tc>
          <w:tcPr>
            <w:tcW w:type="dxa" w:w="1300"/>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b/>
                <w:bCs/>
                <w:color w:val="FFFFFF"/>
                <w:sz w:val="20"/>
                <w:szCs w:val="20"/>
              </w:rPr>
              <w:t xml:space="preserve">Kolom</w:t>
            </w:r>
          </w:p>
        </w:tc>
        <w:tc>
          <w:tcPr>
            <w:tcW w:type="dxa" w:w="4560"/>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b/>
                <w:bCs/>
                <w:color w:val="FFFFFF"/>
                <w:sz w:val="20"/>
                <w:szCs w:val="20"/>
              </w:rPr>
              <w:t xml:space="preserve">Kunci / Relasi</w:t>
            </w:r>
          </w:p>
        </w:tc>
      </w:tr>
      <w:tr>
        <w:trPr>
          <w:tblHeader w:val="false"/>
        </w:trPr>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Customers</w:t>
            </w:r>
          </w:p>
        </w:tc>
        <w:tc>
          <w:tcPr>
            <w:tcW w:type="dxa" w:w="1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200</w:t>
            </w:r>
          </w:p>
        </w:tc>
        <w:tc>
          <w:tcPr>
            <w:tcW w:type="dxa" w:w="1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4</w:t>
            </w:r>
          </w:p>
        </w:tc>
        <w:tc>
          <w:tcPr>
            <w:tcW w:type="dxa" w:w="45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CustomerID (primary key)</w:t>
            </w:r>
          </w:p>
        </w:tc>
      </w:tr>
      <w:tr>
        <w:trPr>
          <w:tblHeader w:val="false"/>
        </w:trPr>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Products</w:t>
            </w:r>
          </w:p>
        </w:tc>
        <w:tc>
          <w:tcPr>
            <w:tcW w:type="dxa" w:w="1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100</w:t>
            </w:r>
          </w:p>
        </w:tc>
        <w:tc>
          <w:tcPr>
            <w:tcW w:type="dxa" w:w="1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4</w:t>
            </w:r>
          </w:p>
        </w:tc>
        <w:tc>
          <w:tcPr>
            <w:tcW w:type="dxa" w:w="45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ProductID (primary key)</w:t>
            </w:r>
          </w:p>
        </w:tc>
      </w:tr>
      <w:tr>
        <w:trPr>
          <w:tblHeader w:val="false"/>
        </w:trPr>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Transactions</w:t>
            </w:r>
          </w:p>
        </w:tc>
        <w:tc>
          <w:tcPr>
            <w:tcW w:type="dxa" w:w="1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menunggu data</w:t>
            </w:r>
          </w:p>
        </w:tc>
        <w:tc>
          <w:tcPr>
            <w:tcW w:type="dxa" w:w="1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menunggu data</w:t>
            </w:r>
          </w:p>
        </w:tc>
        <w:tc>
          <w:tcPr>
            <w:tcW w:type="dxa" w:w="45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TransactionID; CustomerID dan ProductID sebagai foreign key</w:t>
            </w:r>
          </w:p>
        </w:tc>
      </w:tr>
    </w:tbl>
    <w:p>
      <w:pPr>
        <w:spacing w:after="120"/>
      </w:pPr>
    </w:p>
    <w:p>
      <w:pPr>
        <w:spacing w:after="120"/>
      </w:pPr>
      <w:r>
        <w:t xml:space="preserve">Kolom Transactions yang terdeteksi dari visual di dashboard: TransactionID, CustomerID, ProductID, TransactionDate, TotalValue, dan Variation (hierarki tanggal). Kemungkinan ada Quantity dan Price, tetapi belum terkonfirmasi.</w:t>
      </w:r>
    </w:p>
    <w:p>
      <w:pPr>
        <w:pStyle w:val="Heading1"/>
        <w:spacing w:after="120" w:before="240"/>
      </w:pPr>
      <w:r>
        <w:t xml:space="preserve">3. Variabel</w:t>
      </w:r>
    </w:p>
    <w:p>
      <w:pPr>
        <w:pStyle w:val="Heading2"/>
        <w:spacing w:after="120" w:before="240"/>
      </w:pPr>
      <w:r>
        <w:t xml:space="preserve">3.1 Tabel Customers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rPr>
          <w:tblHeader/>
        </w:trPr>
        <w:tc>
          <w:tcPr>
            <w:tcW w:type="dxa" w:w="2200"/>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b/>
                <w:bCs/>
                <w:color w:val="FFFFFF"/>
                <w:sz w:val="20"/>
                <w:szCs w:val="20"/>
              </w:rPr>
              <w:t xml:space="preserve">Variabel</w:t>
            </w:r>
          </w:p>
        </w:tc>
        <w:tc>
          <w:tcPr>
            <w:tcW w:type="dxa" w:w="2200"/>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b/>
                <w:bCs/>
                <w:color w:val="FFFFFF"/>
                <w:sz w:val="20"/>
                <w:szCs w:val="20"/>
              </w:rPr>
              <w:t xml:space="preserve">Tipe</w:t>
            </w:r>
          </w:p>
        </w:tc>
        <w:tc>
          <w:tcPr>
            <w:tcW w:type="dxa" w:w="4960"/>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b/>
                <w:bCs/>
                <w:color w:val="FFFFFF"/>
                <w:sz w:val="20"/>
                <w:szCs w:val="20"/>
              </w:rPr>
              <w:t xml:space="preserve">Keterangan</w:t>
            </w:r>
          </w:p>
        </w:tc>
      </w:tr>
      <w:tr>
        <w:trPr>
          <w:tblHeader w:val="false"/>
        </w:trPr>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CustomerID</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Identifier (teks)</w:t>
            </w:r>
          </w:p>
        </w:tc>
        <w:tc>
          <w:tcPr>
            <w:tcW w:type="dxa" w:w="49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ID unik, C0001 sampai C0200</w:t>
            </w:r>
          </w:p>
        </w:tc>
      </w:tr>
      <w:tr>
        <w:trPr>
          <w:tblHeader w:val="false"/>
        </w:trPr>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CustomerName</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Teks</w:t>
            </w:r>
          </w:p>
        </w:tc>
        <w:tc>
          <w:tcPr>
            <w:tcW w:type="dxa" w:w="49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Nama pelanggan</w:t>
            </w:r>
          </w:p>
        </w:tc>
      </w:tr>
      <w:tr>
        <w:trPr>
          <w:tblHeader w:val="false"/>
        </w:trPr>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Region</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Kategorikal (4 nilai)</w:t>
            </w:r>
          </w:p>
        </w:tc>
        <w:tc>
          <w:tcPr>
            <w:tcW w:type="dxa" w:w="49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South America, Europe, North America, Asia</w:t>
            </w:r>
          </w:p>
        </w:tc>
      </w:tr>
      <w:tr>
        <w:trPr>
          <w:tblHeader w:val="false"/>
        </w:trPr>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SignupDate</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Tanggal</w:t>
            </w:r>
          </w:p>
        </w:tc>
        <w:tc>
          <w:tcPr>
            <w:tcW w:type="dxa" w:w="49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Tanggal daftar, 2022-01-22 sampai 2024-12-28</w:t>
            </w:r>
          </w:p>
        </w:tc>
      </w:tr>
    </w:tbl>
    <w:p>
      <w:pPr>
        <w:pStyle w:val="Heading2"/>
        <w:spacing w:after="120" w:before="240"/>
      </w:pPr>
      <w:r>
        <w:t xml:space="preserve">3.2 Tabel Products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rPr>
          <w:tblHeader/>
        </w:trPr>
        <w:tc>
          <w:tcPr>
            <w:tcW w:type="dxa" w:w="2200"/>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b/>
                <w:bCs/>
                <w:color w:val="FFFFFF"/>
                <w:sz w:val="20"/>
                <w:szCs w:val="20"/>
              </w:rPr>
              <w:t xml:space="preserve">Variabel</w:t>
            </w:r>
          </w:p>
        </w:tc>
        <w:tc>
          <w:tcPr>
            <w:tcW w:type="dxa" w:w="2200"/>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b/>
                <w:bCs/>
                <w:color w:val="FFFFFF"/>
                <w:sz w:val="20"/>
                <w:szCs w:val="20"/>
              </w:rPr>
              <w:t xml:space="preserve">Tipe</w:t>
            </w:r>
          </w:p>
        </w:tc>
        <w:tc>
          <w:tcPr>
            <w:tcW w:type="dxa" w:w="4960"/>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b/>
                <w:bCs/>
                <w:color w:val="FFFFFF"/>
                <w:sz w:val="20"/>
                <w:szCs w:val="20"/>
              </w:rPr>
              <w:t xml:space="preserve">Keterangan</w:t>
            </w:r>
          </w:p>
        </w:tc>
      </w:tr>
      <w:tr>
        <w:trPr>
          <w:tblHeader w:val="false"/>
        </w:trPr>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ProductID</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Identifier (teks)</w:t>
            </w:r>
          </w:p>
        </w:tc>
        <w:tc>
          <w:tcPr>
            <w:tcW w:type="dxa" w:w="49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ID unik, P001 sampai P100</w:t>
            </w:r>
          </w:p>
        </w:tc>
      </w:tr>
      <w:tr>
        <w:trPr>
          <w:tblHeader w:val="false"/>
        </w:trPr>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ProductName</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Teks</w:t>
            </w:r>
          </w:p>
        </w:tc>
        <w:tc>
          <w:tcPr>
            <w:tcW w:type="dxa" w:w="49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Nama produk</w:t>
            </w:r>
          </w:p>
        </w:tc>
      </w:tr>
      <w:tr>
        <w:trPr>
          <w:tblHeader w:val="false"/>
        </w:trPr>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Category</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Kategorikal (4 nilai)</w:t>
            </w:r>
          </w:p>
        </w:tc>
        <w:tc>
          <w:tcPr>
            <w:tcW w:type="dxa" w:w="49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Books, Electronics, Clothing, Home Decor</w:t>
            </w:r>
          </w:p>
        </w:tc>
      </w:tr>
      <w:tr>
        <w:trPr>
          <w:tblHeader w:val="false"/>
        </w:trPr>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Price</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Numerik kontinu</w:t>
            </w:r>
          </w:p>
        </w:tc>
        <w:tc>
          <w:tcPr>
            <w:tcW w:type="dxa" w:w="49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Harga produk, 16,08 sampai 497,76</w:t>
            </w:r>
          </w:p>
        </w:tc>
      </w:tr>
    </w:tbl>
    <w:p>
      <w:pPr>
        <w:spacing w:after="120"/>
      </w:pPr>
    </w:p>
    <w:p>
      <w:pPr>
        <w:spacing w:after="120"/>
      </w:pPr>
      <w:r>
        <w:t xml:space="preserve">Kualitas data: tidak ada nilai kosong dan tidak ada ID duplikat di kedua tabel.</w:t>
      </w:r>
    </w:p>
    <w:p>
      <w:pPr>
        <w:pStyle w:val="Heading1"/>
        <w:spacing w:after="120" w:before="240"/>
      </w:pPr>
      <w:r>
        <w:t xml:space="preserve">4. Ringkasan Angka</w:t>
      </w:r>
    </w:p>
    <w:p>
      <w:pPr>
        <w:pStyle w:val="Heading2"/>
        <w:spacing w:after="120" w:before="240"/>
      </w:pPr>
      <w:r>
        <w:t xml:space="preserve">4.1 Pelanggan (200 orang)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b/>
                <w:bCs/>
                <w:color w:val="FFFFFF"/>
                <w:sz w:val="20"/>
                <w:szCs w:val="20"/>
              </w:rPr>
              <w:t xml:space="preserve">Region</w:t>
            </w:r>
          </w:p>
        </w:tc>
        <w:tc>
          <w:tcPr>
            <w:tcW w:type="dxa" w:w="3120"/>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b/>
                <w:bCs/>
                <w:color w:val="FFFFFF"/>
                <w:sz w:val="20"/>
                <w:szCs w:val="20"/>
              </w:rPr>
              <w:t xml:space="preserve">Jumlah</w:t>
            </w:r>
          </w:p>
        </w:tc>
        <w:tc>
          <w:tcPr>
            <w:tcW w:type="dxa" w:w="3120"/>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b/>
                <w:bCs/>
                <w:color w:val="FFFFFF"/>
                <w:sz w:val="20"/>
                <w:szCs w:val="20"/>
              </w:rPr>
              <w:t xml:space="preserve">Persentase</w:t>
            </w:r>
          </w:p>
        </w:tc>
      </w:tr>
      <w:tr>
        <w:trPr>
          <w:tblHeader w:val="false"/>
        </w:trPr>
        <w:tc>
          <w:tcPr>
            <w:tcW w:type="dxa" w:w="31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South America</w:t>
            </w:r>
          </w:p>
        </w:tc>
        <w:tc>
          <w:tcPr>
            <w:tcW w:type="dxa" w:w="31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59</w:t>
            </w:r>
          </w:p>
        </w:tc>
        <w:tc>
          <w:tcPr>
            <w:tcW w:type="dxa" w:w="31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29,5%</w:t>
            </w:r>
          </w:p>
        </w:tc>
      </w:tr>
      <w:tr>
        <w:trPr>
          <w:tblHeader w:val="false"/>
        </w:trPr>
        <w:tc>
          <w:tcPr>
            <w:tcW w:type="dxa" w:w="31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Europe</w:t>
            </w:r>
          </w:p>
        </w:tc>
        <w:tc>
          <w:tcPr>
            <w:tcW w:type="dxa" w:w="31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50</w:t>
            </w:r>
          </w:p>
        </w:tc>
        <w:tc>
          <w:tcPr>
            <w:tcW w:type="dxa" w:w="31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25,0%</w:t>
            </w:r>
          </w:p>
        </w:tc>
      </w:tr>
      <w:tr>
        <w:trPr>
          <w:tblHeader w:val="false"/>
        </w:trPr>
        <w:tc>
          <w:tcPr>
            <w:tcW w:type="dxa" w:w="31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North America</w:t>
            </w:r>
          </w:p>
        </w:tc>
        <w:tc>
          <w:tcPr>
            <w:tcW w:type="dxa" w:w="31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46</w:t>
            </w:r>
          </w:p>
        </w:tc>
        <w:tc>
          <w:tcPr>
            <w:tcW w:type="dxa" w:w="31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23,0%</w:t>
            </w:r>
          </w:p>
        </w:tc>
      </w:tr>
      <w:tr>
        <w:trPr>
          <w:tblHeader w:val="false"/>
        </w:trPr>
        <w:tc>
          <w:tcPr>
            <w:tcW w:type="dxa" w:w="31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Asia</w:t>
            </w:r>
          </w:p>
        </w:tc>
        <w:tc>
          <w:tcPr>
            <w:tcW w:type="dxa" w:w="31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45</w:t>
            </w:r>
          </w:p>
        </w:tc>
        <w:tc>
          <w:tcPr>
            <w:tcW w:type="dxa" w:w="31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22,5%</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b/>
                <w:bCs/>
                <w:color w:val="FFFFFF"/>
                <w:sz w:val="20"/>
                <w:szCs w:val="20"/>
              </w:rPr>
              <w:t xml:space="preserve">Tahun daftar</w:t>
            </w:r>
          </w:p>
        </w:tc>
        <w:tc>
          <w:tcPr>
            <w:tcW w:type="dxa" w:w="3120"/>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b/>
                <w:bCs/>
                <w:color w:val="FFFFFF"/>
                <w:sz w:val="20"/>
                <w:szCs w:val="20"/>
              </w:rPr>
              <w:t xml:space="preserve">Pelanggan baru</w:t>
            </w:r>
          </w:p>
        </w:tc>
        <w:tc>
          <w:tcPr>
            <w:tcW w:type="dxa" w:w="3120"/>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b/>
                <w:bCs/>
                <w:color w:val="FFFFFF"/>
                <w:sz w:val="20"/>
                <w:szCs w:val="20"/>
              </w:rPr>
              <w:t xml:space="preserve">Keterangan</w:t>
            </w:r>
          </w:p>
        </w:tc>
      </w:tr>
      <w:tr>
        <w:trPr>
          <w:tblHeader w:val="false"/>
        </w:trPr>
        <w:tc>
          <w:tcPr>
            <w:tcW w:type="dxa" w:w="31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2022</w:t>
            </w:r>
          </w:p>
        </w:tc>
        <w:tc>
          <w:tcPr>
            <w:tcW w:type="dxa" w:w="31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64</w:t>
            </w:r>
          </w:p>
        </w:tc>
        <w:tc>
          <w:tcPr>
            <w:tcW w:type="dxa" w:w="31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
            </w:r>
          </w:p>
        </w:tc>
      </w:tr>
      <w:tr>
        <w:trPr>
          <w:tblHeader w:val="false"/>
        </w:trPr>
        <w:tc>
          <w:tcPr>
            <w:tcW w:type="dxa" w:w="31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2023</w:t>
            </w:r>
          </w:p>
        </w:tc>
        <w:tc>
          <w:tcPr>
            <w:tcW w:type="dxa" w:w="31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57</w:t>
            </w:r>
          </w:p>
        </w:tc>
        <w:tc>
          <w:tcPr>
            <w:tcW w:type="dxa" w:w="31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turun dari 2022</w:t>
            </w:r>
          </w:p>
        </w:tc>
      </w:tr>
      <w:tr>
        <w:trPr>
          <w:tblHeader w:val="false"/>
        </w:trPr>
        <w:tc>
          <w:tcPr>
            <w:tcW w:type="dxa" w:w="31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2024</w:t>
            </w:r>
          </w:p>
        </w:tc>
        <w:tc>
          <w:tcPr>
            <w:tcW w:type="dxa" w:w="31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79</w:t>
            </w:r>
          </w:p>
        </w:tc>
        <w:tc>
          <w:tcPr>
            <w:tcW w:type="dxa" w:w="31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naik sekitar 38% dari 2023</w:t>
            </w:r>
          </w:p>
        </w:tc>
      </w:tr>
    </w:tbl>
    <w:p>
      <w:pPr>
        <w:pStyle w:val="Heading2"/>
        <w:spacing w:after="120" w:before="240"/>
      </w:pPr>
      <w:r>
        <w:t xml:space="preserve">4.2 Produk (100 item)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500"/>
        <w:gridCol w:w="1900"/>
        <w:gridCol w:w="1900"/>
        <w:gridCol w:w="1720"/>
      </w:tblGrid>
      <w:tr>
        <w:trPr>
          <w:tblHeader/>
        </w:trPr>
        <w:tc>
          <w:tcPr>
            <w:tcW w:type="dxa" w:w="2340"/>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b/>
                <w:bCs/>
                <w:color w:val="FFFFFF"/>
                <w:sz w:val="20"/>
                <w:szCs w:val="20"/>
              </w:rPr>
              <w:t xml:space="preserve">Kategori</w:t>
            </w:r>
          </w:p>
        </w:tc>
        <w:tc>
          <w:tcPr>
            <w:tcW w:type="dxa" w:w="1500"/>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b/>
                <w:bCs/>
                <w:color w:val="FFFFFF"/>
                <w:sz w:val="20"/>
                <w:szCs w:val="20"/>
              </w:rPr>
              <w:t xml:space="preserve">Jumlah</w:t>
            </w:r>
          </w:p>
        </w:tc>
        <w:tc>
          <w:tcPr>
            <w:tcW w:type="dxa" w:w="1900"/>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b/>
                <w:bCs/>
                <w:color w:val="FFFFFF"/>
                <w:sz w:val="20"/>
                <w:szCs w:val="20"/>
              </w:rPr>
              <w:t xml:space="preserve">Rata-rata</w:t>
            </w:r>
          </w:p>
        </w:tc>
        <w:tc>
          <w:tcPr>
            <w:tcW w:type="dxa" w:w="1900"/>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b/>
                <w:bCs/>
                <w:color w:val="FFFFFF"/>
                <w:sz w:val="20"/>
                <w:szCs w:val="20"/>
              </w:rPr>
              <w:t xml:space="preserve">Min</w:t>
            </w:r>
          </w:p>
        </w:tc>
        <w:tc>
          <w:tcPr>
            <w:tcW w:type="dxa" w:w="1720"/>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b/>
                <w:bCs/>
                <w:color w:val="FFFFFF"/>
                <w:sz w:val="20"/>
                <w:szCs w:val="20"/>
              </w:rPr>
              <w:t xml:space="preserve">Maks</w:t>
            </w:r>
          </w:p>
        </w:tc>
      </w:tr>
      <w:tr>
        <w:trPr>
          <w:tblHeader w:val="false"/>
        </w:trP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Books</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26</w:t>
            </w:r>
          </w:p>
        </w:tc>
        <w:tc>
          <w:tcPr>
            <w:tcW w:type="dxa" w:w="1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292,21</w:t>
            </w:r>
          </w:p>
        </w:tc>
        <w:tc>
          <w:tcPr>
            <w:tcW w:type="dxa" w:w="1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33,59</w:t>
            </w:r>
          </w:p>
        </w:tc>
        <w:tc>
          <w:tcPr>
            <w:tcW w:type="dxa" w:w="17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497,76</w:t>
            </w:r>
          </w:p>
        </w:tc>
      </w:tr>
      <w:tr>
        <w:trPr>
          <w:tblHeader w:val="false"/>
        </w:trP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Electronics</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26</w:t>
            </w:r>
          </w:p>
        </w:tc>
        <w:tc>
          <w:tcPr>
            <w:tcW w:type="dxa" w:w="1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275,35</w:t>
            </w:r>
          </w:p>
        </w:tc>
        <w:tc>
          <w:tcPr>
            <w:tcW w:type="dxa" w:w="1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16,08</w:t>
            </w:r>
          </w:p>
        </w:tc>
        <w:tc>
          <w:tcPr>
            <w:tcW w:type="dxa" w:w="17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459,86</w:t>
            </w:r>
          </w:p>
        </w:tc>
      </w:tr>
      <w:tr>
        <w:trPr>
          <w:tblHeader w:val="false"/>
        </w:trP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Clothing</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25</w:t>
            </w:r>
          </w:p>
        </w:tc>
        <w:tc>
          <w:tcPr>
            <w:tcW w:type="dxa" w:w="1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263,72</w:t>
            </w:r>
          </w:p>
        </w:tc>
        <w:tc>
          <w:tcPr>
            <w:tcW w:type="dxa" w:w="1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18,82</w:t>
            </w:r>
          </w:p>
        </w:tc>
        <w:tc>
          <w:tcPr>
            <w:tcW w:type="dxa" w:w="17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481,78</w:t>
            </w:r>
          </w:p>
        </w:tc>
      </w:tr>
      <w:tr>
        <w:trPr>
          <w:tblHeader w:val="false"/>
        </w:trP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Home Decor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23</w:t>
            </w:r>
          </w:p>
        </w:tc>
        <w:tc>
          <w:tcPr>
            <w:tcW w:type="dxa" w:w="1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235,02</w:t>
            </w:r>
          </w:p>
        </w:tc>
        <w:tc>
          <w:tcPr>
            <w:tcW w:type="dxa" w:w="1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41,18</w:t>
            </w:r>
          </w:p>
        </w:tc>
        <w:tc>
          <w:tcPr>
            <w:tcW w:type="dxa" w:w="17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454,53</w:t>
            </w:r>
          </w:p>
        </w:tc>
      </w:tr>
    </w:tbl>
    <w:p>
      <w:pPr>
        <w:spacing w:after="120"/>
      </w:pPr>
    </w:p>
    <w:p>
      <w:pPr>
        <w:spacing w:after="120"/>
      </w:pPr>
      <w:r>
        <w:t xml:space="preserve">Seluruh produk: rata-rata harga 267,55; median 292,88; simpangan baku 143,22; minimum 16,08; maksimum 497,76.</w:t>
      </w:r>
    </w:p>
    <w:p>
      <w:pPr>
        <w:pStyle w:val="Heading1"/>
        <w:spacing w:after="120" w:before="240"/>
      </w:pPr>
      <w:r>
        <w:t xml:space="preserve">5. Interpretasi</w:t>
      </w:r>
    </w:p>
    <w:p>
      <w:pPr>
        <w:pStyle w:val="ListParagraph"/>
        <w:numPr>
          <w:ilvl w:val="0"/>
          <w:numId w:val="2"/>
        </w:numPr>
        <w:spacing w:after="60"/>
      </w:pPr>
      <w:r>
        <w:t xml:space="preserve">Sebaran wilayah cukup merata dengan South America sedikit lebih besar, sehingga cocok untuk perbandingan antar region.</w:t>
      </w:r>
    </w:p>
    <w:p>
      <w:pPr>
        <w:pStyle w:val="ListParagraph"/>
        <w:numPr>
          <w:ilvl w:val="0"/>
          <w:numId w:val="2"/>
        </w:numPr>
        <w:spacing w:after="60"/>
      </w:pPr>
      <w:r>
        <w:t xml:space="preserve">Pendaftar baru naik tajam pada 2024 (79 orang dibanding 57 di 2023), menandakan akuisisi pelanggan yang menguat.</w:t>
      </w:r>
    </w:p>
    <w:p>
      <w:pPr>
        <w:pStyle w:val="ListParagraph"/>
        <w:numPr>
          <w:ilvl w:val="0"/>
          <w:numId w:val="2"/>
        </w:numPr>
        <w:spacing w:after="60"/>
      </w:pPr>
      <w:r>
        <w:t xml:space="preserve">Harga produk tersebar hampir seragam dari 16 sampai 498. Tidak ada kategori yang jelas premium atau murah, dan rata-rata antar kategori mirip. Books sedikit tertinggi, Home Decor terendah.</w:t>
      </w:r>
    </w:p>
    <w:p>
      <w:pPr>
        <w:pStyle w:val="ListParagraph"/>
        <w:numPr>
          <w:ilvl w:val="0"/>
          <w:numId w:val="2"/>
        </w:numPr>
        <w:spacing w:after="60"/>
      </w:pPr>
      <w:r>
        <w:t xml:space="preserve">Nama produk tidak sinkron dengan kategorinya (contoh: "TechPro T-Shirt" masuk Clothing, "BookWorld Rug" masuk Home Decor, "ActiveWear Biography" masuk Books). Data ini kemungkinan sintetis.</w:t>
      </w:r>
    </w:p>
    <w:p>
      <w:pPr>
        <w:pStyle w:val="ListParagraph"/>
        <w:numPr>
          <w:ilvl w:val="0"/>
          <w:numId w:val="2"/>
        </w:numPr>
        <w:spacing w:after="60"/>
      </w:pPr>
      <w:r>
        <w:t xml:space="preserve">Ada 34 nama produk yang berulang dengan harga berbeda (contoh: "ActiveWear Jacket" harganya 26,26; 396,34; dan 303,50). Analisis sebaiknya memakai ProductID, bukan ProductName.</w:t>
      </w:r>
    </w:p>
    <w:p>
      <w:pPr>
        <w:pStyle w:val="Heading1"/>
        <w:spacing w:after="120" w:before="240"/>
      </w:pPr>
      <w:r>
        <w:t xml:space="preserve">6. Isi Dashboard Power BI</w:t>
      </w:r>
    </w:p>
    <w:p>
      <w:pPr>
        <w:spacing w:after="120"/>
      </w:pPr>
      <w:r>
        <w:rPr>
          <w:b/>
          <w:bCs/>
        </w:rPr>
        <w:t xml:space="preserve">Halaman 1: Revenue Report</w:t>
      </w:r>
    </w:p>
    <w:p>
      <w:pPr>
        <w:pStyle w:val="ListParagraph"/>
        <w:numPr>
          <w:ilvl w:val="0"/>
          <w:numId w:val="2"/>
        </w:numPr>
        <w:spacing w:after="60"/>
      </w:pPr>
      <w:r>
        <w:t xml:space="preserve">Line chart Total Revenue per waktu</w:t>
      </w:r>
    </w:p>
    <w:p>
      <w:pPr>
        <w:pStyle w:val="ListParagraph"/>
        <w:numPr>
          <w:ilvl w:val="0"/>
          <w:numId w:val="2"/>
        </w:numPr>
        <w:spacing w:after="60"/>
      </w:pPr>
      <w:r>
        <w:t xml:space="preserve">Bar chart Total Sales per produk</w:t>
      </w:r>
    </w:p>
    <w:p>
      <w:pPr>
        <w:pStyle w:val="ListParagraph"/>
        <w:numPr>
          <w:ilvl w:val="0"/>
          <w:numId w:val="2"/>
        </w:numPr>
        <w:spacing w:after="60"/>
      </w:pPr>
      <w:r>
        <w:t xml:space="preserve">Donut chart Total Sales per Category</w:t>
      </w:r>
    </w:p>
    <w:p>
      <w:pPr>
        <w:pStyle w:val="ListParagraph"/>
        <w:numPr>
          <w:ilvl w:val="0"/>
          <w:numId w:val="2"/>
        </w:numPr>
        <w:spacing w:after="60"/>
      </w:pPr>
      <w:r>
        <w:t xml:space="preserve">Tabel: Total Products Listed, Total Unique Customers, Total Transactions, Total Revenue</w:t>
      </w:r>
    </w:p>
    <w:p>
      <w:pPr>
        <w:spacing w:after="120"/>
      </w:pPr>
      <w:r>
        <w:rPr>
          <w:b/>
          <w:bCs/>
        </w:rPr>
        <w:t xml:space="preserve">Halaman 2: Customer Behavior Report</w:t>
      </w:r>
    </w:p>
    <w:p>
      <w:pPr>
        <w:pStyle w:val="ListParagraph"/>
        <w:numPr>
          <w:ilvl w:val="0"/>
          <w:numId w:val="2"/>
        </w:numPr>
        <w:spacing w:after="60"/>
      </w:pPr>
      <w:r>
        <w:t xml:space="preserve">Peta per Region dengan ukuran Customer Total</w:t>
      </w:r>
    </w:p>
    <w:p>
      <w:pPr>
        <w:pStyle w:val="ListParagraph"/>
        <w:numPr>
          <w:ilvl w:val="0"/>
          <w:numId w:val="2"/>
        </w:numPr>
        <w:spacing w:after="60"/>
      </w:pPr>
      <w:r>
        <w:t xml:space="preserve">Tabel Share of Total: produk terjual, pelanggan, transaksi, revenue</w:t>
      </w:r>
    </w:p>
    <w:p>
      <w:pPr>
        <w:pStyle w:val="Heading1"/>
        <w:spacing w:after="120" w:before="240"/>
      </w:pPr>
      <w:r>
        <w:t xml:space="preserve">7. Saran Alur Presentasi</w:t>
      </w:r>
    </w:p>
    <w:p>
      <w:pPr>
        <w:spacing w:after="60"/>
      </w:pPr>
      <w:r>
        <w:t xml:space="preserve">1. Latar belakang EverMart dan tujuan analisis</w:t>
      </w:r>
    </w:p>
    <w:p>
      <w:pPr>
        <w:spacing w:after="60"/>
      </w:pPr>
      <w:r>
        <w:t xml:space="preserve">2. Struktur data (3 tabel, variabel, relasi)</w:t>
      </w:r>
    </w:p>
    <w:p>
      <w:pPr>
        <w:spacing w:after="60"/>
      </w:pPr>
      <w:r>
        <w:t xml:space="preserve">3. Kualitas data dan catatan nama produk</w:t>
      </w:r>
    </w:p>
    <w:p>
      <w:pPr>
        <w:spacing w:after="60"/>
      </w:pPr>
      <w:r>
        <w:t xml:space="preserve">4. Profil pelanggan: region dan tren pendaftaran</w:t>
      </w:r>
    </w:p>
    <w:p>
      <w:pPr>
        <w:spacing w:after="60"/>
      </w:pPr>
      <w:r>
        <w:t xml:space="preserve">5. Profil produk: kategori dan harga</w:t>
      </w:r>
    </w:p>
    <w:p>
      <w:pPr>
        <w:spacing w:after="60"/>
      </w:pPr>
      <w:r>
        <w:t xml:space="preserve">6. Revenue dan perilaku pelanggan (menunggu data transaksi)</w:t>
      </w:r>
    </w:p>
    <w:p>
      <w:pPr>
        <w:spacing w:after="60"/>
      </w:pPr>
      <w:r>
        <w:t xml:space="preserve">7. Kesimpulan dan rekomendasi</w:t>
      </w:r>
    </w:p>
    <w:p>
      <w:pPr>
        <w:pStyle w:val="Heading1"/>
        <w:spacing w:after="120" w:before="240"/>
      </w:pPr>
      <w:r>
        <w:t xml:space="preserve">8. Langkah Selanjutnya</w:t>
      </w:r>
    </w:p>
    <w:p>
      <w:pPr>
        <w:spacing w:after="120"/>
      </w:pPr>
      <w:r>
        <w:t xml:space="preserve">Upload file evermart_online_transactions.xlsx atau export tabel Transactions dari Power BI ke CSV. Setelah itu dapat dihitung jumlah baris transaksi, total revenue, produk dan region terlaris, serta tren bulanan, lalu bagian 2, 6, dan 7 dilengkapi.</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4E79"/>
      <w:sz w:val="32"/>
      <w:szCs w:val="32"/>
    </w:rPr>
  </w:style>
  <w:style w:type="paragraph" w:styleId="Heading2">
    <w:name w:val="Heading 2"/>
    <w:basedOn w:val="Normal"/>
    <w:next w:val="Normal"/>
    <w:qFormat/>
    <w:pPr>
      <w:outlineLvl w:val="1"/>
    </w:pPr>
    <w:rPr>
      <w:rFonts w:ascii="Calibri" w:cs="Calibri" w:eastAsia="Calibri" w:hAnsi="Calibri"/>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2026-10-17T12:35:25.151Z</dcterms:created>
  <dcterms:modified xsi:type="dcterms:W3CDTF">2026-10-17T12:35:25.151Z</dcterms:modified>
</cp:coreProperties>
</file>

<file path=docProps/custom.xml><?xml version="1.0" encoding="utf-8"?>
<Properties xmlns="http://schemas.openxmlformats.org/officeDocument/2006/custom-properties" xmlns:vt="http://schemas.openxmlformats.org/officeDocument/2006/docPropsVTypes"/>
</file>