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Januari–Desember 2025, sesuai dengan periode data yang digunakan pada Bab I,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CV Putra Pondok Indah merupakan usaha konveksi di bidang industri tekstil yang memproduksi songkok dengan merek Pondok Indah dan berlokasi di Bungah, Kabupaten Gresik, Jawa Timur. Usaha ini didirikan pada tahun 1991 oleh H. Khusnul Ma’arif bin Abdullah, kemudian diteruskan oleh putranya, Dr. M. Jamaluddin, M.Pd., yang saat ini menjadi pemilik perusahaan. Pada awal berdirinya, usaha ini hanya menjual songkok jadi yang dibeli dari pengrajin atau pemasok lain. Usaha tersebut kemudian berkembang hingga mampu memproduksi songkok secara mandiri dan menerima pesanan khusus (custom) dengan label Pondok Indah.</w:t>
      </w:r>
    </w:p>
    <w:p>
      <w:pPr>
        <w:spacing w:line="360" w:lineRule="auto" w:after="120"/>
        <w:ind w:firstLine="709"/>
        <w:jc w:val="both"/>
      </w:pPr>
      <w:r>
        <w:rPr>
          <w:b w:val="0"/>
          <w:i w:val="0"/>
        </w:rPr>
        <w:t>Seiring perkembangannya, usaha yang semula belum berbadan usaha berubah menjadi Usaha Dagang (UD) pada tahun 2001, kemudian menjadi persekutuan komanditer (CV) pada tahun 2023. Pada tahun 2025 perusahaan memperoleh sertifikat halal. Perusahaan berkomitmen menghasilkan songkok berkualitas yang memadukan unsur tradisional dan modern. Produk dipasarkan melalui 11 reseller/toko yang tersebar di dua provinsi, yaitu 4 di Jawa Timur dan 7 di Jawa Tengah.</w:t>
      </w:r>
    </w:p>
    <w:p>
      <w:pPr>
        <w:spacing w:line="360" w:lineRule="auto" w:after="120"/>
        <w:ind w:firstLine="709"/>
        <w:jc w:val="both"/>
      </w:pPr>
      <w:r>
        <w:rPr>
          <w:b w:val="0"/>
          <w:i w:val="0"/>
        </w:rPr>
        <w:t>Perusahaan memproduksi 24 varian songkok yang terdiri atas 8 varian polos (Non-AC, AC, Full AC, dan susun) dan 16 varian bermotif bordir. Penjualan dilakukan dalam satuan kodi (1 kodi = 20 pcs) dengan harga Rp760.000–Rp1.100.000 per kodi.</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after="40"/>
        <w:jc w:val="center"/>
      </w:pPr>
      <w:r>
        <w:drawing>
          <wp:inline xmlns:a="http://schemas.openxmlformats.org/drawingml/2006/main" xmlns:pic="http://schemas.openxmlformats.org/drawingml/2006/picture">
            <wp:extent cx="5220000" cy="4027234"/>
            <wp:docPr id="1" name="Picture 1"/>
            <wp:cNvGraphicFramePr>
              <a:graphicFrameLocks noChangeAspect="1"/>
            </wp:cNvGraphicFramePr>
            <a:graphic>
              <a:graphicData uri="http://schemas.openxmlformats.org/drawingml/2006/picture">
                <pic:pic>
                  <pic:nvPicPr>
                    <pic:cNvPr id="0" name="struktur.png"/>
                    <pic:cNvPicPr/>
                  </pic:nvPicPr>
                  <pic:blipFill>
                    <a:blip r:embed="rId9"/>
                    <a:stretch>
                      <a:fillRect/>
                    </a:stretch>
                  </pic:blipFill>
                  <pic:spPr>
                    <a:xfrm>
                      <a:off x="0" y="0"/>
                      <a:ext cx="5220000" cy="4027234"/>
                    </a:xfrm>
                    <a:prstGeom prst="rect"/>
                  </pic:spPr>
                </pic:pic>
              </a:graphicData>
            </a:graphic>
          </wp:inline>
        </w:drawing>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 2025</w:t>
      </w:r>
    </w:p>
    <w:p>
      <w:pPr>
        <w:spacing w:line="360" w:lineRule="auto" w:after="120"/>
        <w:ind w:firstLine="709"/>
        <w:jc w:val="both"/>
      </w:pPr>
      <w:r>
        <w:rPr>
          <w:b w:val="0"/>
          <w:i w:val="0"/>
        </w:rPr>
        <w:t xml:space="preserve">Berdasarkan Gambar 4.1, pemilik berada pada posisi tertinggi dan membawahi bagian produksi yang dipimpin oleh seorang kepala produksi. Bagian produksi membawahi tiga bagian, yaitu bagian gudang/persediaan (2 orang), bagian penjahitan (10 orang), dan bagian packaging (4 orang), sehingga jumlah tenaga kerja tetap di luar pemilik adalah 17 orang. Di luar tenaga kerja tetap tersebut, hasil observasi menunjukkan bahwa perusahaan mempekerjakan tenaga kerja borongan dalam jumlah banyak, yaitu pekerja yang bekerja di rumah masing-masing dan dibayar setelah mencapai target hasil kerja </w:t>
      </w:r>
      <w:r>
        <w:rPr>
          <w:b w:val="0"/>
          <w:i w:val="0"/>
          <w:highlight w:val="yellow"/>
        </w:rPr>
        <w:t>[jumlah tenaga borongan pada musim puncak dan di luar musim puncak 2025]</w:t>
      </w:r>
      <w:r>
        <w:rPr>
          <w:b w:val="0"/>
          <w:i w:val="0"/>
        </w:rPr>
        <w:t>. Tenaga borongan tidak tercantum dalam struktur organisasi karena bukan pekerja tetap. Sistem kerja tenaga borongan dijelaskan pada subbab 4.1.3. Struktur organisasi yang sederhana dengan pemilik yang terlibat langsung dalam pengambilan keputusan ini merupakan karakteristik umum UMKM (Garengo, Biazzo, &amp; Bititci, 2005).</w:t>
      </w:r>
    </w:p>
    <w:p>
      <w:pPr>
        <w:spacing w:line="360" w:lineRule="auto" w:after="120"/>
        <w:jc w:val="left"/>
      </w:pPr>
      <w:r>
        <w:rPr>
          <w:b/>
          <w:i w:val="0"/>
        </w:rPr>
        <w:t>4.1.3 Proses Produksi Songkok</w:t>
      </w:r>
    </w:p>
    <w:p>
      <w:pPr>
        <w:spacing w:line="360" w:lineRule="auto" w:after="120"/>
        <w:ind w:firstLine="709"/>
        <w:jc w:val="both"/>
      </w:pPr>
      <w:r>
        <w:rPr>
          <w:b w:val="0"/>
          <w:i w:val="0"/>
        </w:rPr>
        <w:t xml:space="preserve">Proses produksi songkok di CV Putra Pondok Indah menggunakan sistem satu paket, yaitu setiap penjahit mengerjakan songkok secara utuh mulai dari pemotongan pola kain beludru, penjahitan badan dan tutup songkok, pemasangan bos-bosan (lapisan dalam), hingga pemasangan label atau motif bordir. Pekerjaan tidak dibagi per tahapan kepada pekerja yang berbeda seperti pada lini perakitan. Songkok yang telah selesai diserahkan kepada bagian packaging untuk diperiksa, dirapikan (finishing), dan dikemas per kodi, kemudian disimpan di gudang sebelum dikirim kepada reseller. </w:t>
      </w:r>
      <w:r>
        <w:rPr>
          <w:b w:val="0"/>
          <w:i w:val="0"/>
          <w:highlight w:val="yellow"/>
        </w:rPr>
        <w:t>[Konfirmasi: apakah pemotongan pola juga dilakukan oleh penjahit, dan apakah pemeriksaan kualitas dilakukan di bagian packaging.]</w:t>
      </w:r>
    </w:p>
    <w:p>
      <w:pPr>
        <w:spacing w:line="360" w:lineRule="auto" w:after="120"/>
        <w:ind w:firstLine="709"/>
        <w:jc w:val="both"/>
      </w:pPr>
      <w:r>
        <w:rPr>
          <w:b w:val="0"/>
          <w:i w:val="0"/>
        </w:rPr>
        <w:t>Sistem satu paket tersebut merupakan ciri produksi kerajinan (craft production), yaitu produksi yang mengandalkan pekerja terampil yang menguasai seluruh proses pembuatan produk dengan peralatan sederhana (Womack, Jones, &amp; Roos, 1990). Konsekuensinya, kapasitas produksi sangat bergantung pada jumlah dan keterampilan penjahit, sedangkan kualitas setiap songkok bergantung pada keahlian penjahit yang membuatnya. Kondisi ini menjadi dasar dimasukkannya dimensi Craft Workforce Capability dan indikator konsistensi kualitas dalam arsitektur KPI. Bahan baku utama terdiri atas kain beludru (yard), bos-bosan (kodi), dan label (lusin). Diagram alir proses produksi disajikan pada Gambar 4.2.</w:t>
      </w:r>
    </w:p>
    <w:p>
      <w:pPr>
        <w:spacing w:line="360" w:lineRule="auto" w:after="120"/>
        <w:ind w:firstLine="709"/>
        <w:jc w:val="both"/>
      </w:pPr>
      <w:r>
        <w:rPr>
          <w:b w:val="0"/>
          <w:i w:val="0"/>
        </w:rPr>
        <w:t xml:space="preserve">Selain penjahit tetap, produksi juga dikerjakan oleh tenaga kerja borongan dengan sistem kerja di rumah. Tenaga borongan datang ke perusahaan untuk mengambil bahan baku, kemudian mengerjakan songkok di rumah masing-masing. Setiap tenaga borongan memiliki target jumlah songkok yang harus diselesaikan, dan upah baru dibayarkan setelah hasil kerja disetorkan dan target tersebut tercapai </w:t>
      </w:r>
      <w:r>
        <w:rPr>
          <w:b w:val="0"/>
          <w:i w:val="0"/>
          <w:highlight w:val="yellow"/>
        </w:rPr>
        <w:t>[target per orang, misalnya … kodi per minggu; besaran upah per kodi; apakah tenaga borongan juga mengerjakan songkok secara satu paket]</w:t>
      </w:r>
      <w:r>
        <w:rPr>
          <w:b w:val="0"/>
          <w:i w:val="0"/>
        </w:rPr>
        <w:t xml:space="preserve">. Sistem ini termasuk kategori kerja rumahan (home work), yaitu pekerjaan yang dilakukan seseorang di rumahnya atas pesanan pemberi kerja untuk menghasilkan produk sesuai spesifikasi pemberi kerja dengan imbalan upah, siapa pun yang menyediakan bahan bakunya (International Labour Organization </w:t>
      </w:r>
      <w:r>
        <w:rPr>
          <w:b w:val="0"/>
          <w:i w:val="0"/>
          <w:highlight w:val="yellow"/>
        </w:rPr>
        <w:t>[ILO]</w:t>
      </w:r>
      <w:r>
        <w:rPr>
          <w:b w:val="0"/>
          <w:i w:val="0"/>
        </w:rPr>
        <w:t>, 1996).</w:t>
      </w:r>
    </w:p>
    <w:p>
      <w:pPr>
        <w:spacing w:line="360" w:lineRule="auto" w:after="120"/>
        <w:ind w:firstLine="709"/>
        <w:jc w:val="both"/>
      </w:pPr>
      <w:r>
        <w:rPr>
          <w:b w:val="0"/>
          <w:i w:val="0"/>
        </w:rPr>
        <w:t>Sistem kerja rumahan memungkinkan perusahaan menambah kapasitas produksi tanpa menambah pekerja tetap maupun ruang produksi, terutama pada musim puncak. Namun, karena pekerjaan dilakukan di luar pengawasan langsung perusahaan, mutu songkok hanya dapat dikendalikan pada saat hasil kerja disetorkan, dan waktu penyelesaian bergantung pada masing-masing pekerja. Oleh karena itu, pemeriksaan jumlah dan kualitas hasil setoran menjadi titik kendali penting dalam proses produksi (Gambar 4.2). Kondisi ini berkaitan langsung dengan KPI fleksibilitas kapasitas musim puncak (A3), produktivitas tenaga kerja (H3), transfer pengetahuan pengrajin (H4), serta KPI kualitas (Q1–Q3).</w:t>
      </w:r>
    </w:p>
    <w:p>
      <w:pPr>
        <w:spacing w:after="40"/>
        <w:jc w:val="center"/>
      </w:pPr>
      <w:r>
        <w:drawing>
          <wp:inline xmlns:a="http://schemas.openxmlformats.org/drawingml/2006/main" xmlns:pic="http://schemas.openxmlformats.org/drawingml/2006/picture">
            <wp:extent cx="4500000" cy="3547059"/>
            <wp:docPr id="2" name="Picture 2"/>
            <wp:cNvGraphicFramePr>
              <a:graphicFrameLocks noChangeAspect="1"/>
            </wp:cNvGraphicFramePr>
            <a:graphic>
              <a:graphicData uri="http://schemas.openxmlformats.org/drawingml/2006/picture">
                <pic:pic>
                  <pic:nvPicPr>
                    <pic:cNvPr id="0" name="alur.png"/>
                    <pic:cNvPicPr/>
                  </pic:nvPicPr>
                  <pic:blipFill>
                    <a:blip r:embed="rId10"/>
                    <a:stretch>
                      <a:fillRect/>
                    </a:stretch>
                  </pic:blipFill>
                  <pic:spPr>
                    <a:xfrm>
                      <a:off x="0" y="0"/>
                      <a:ext cx="4500000" cy="3547059"/>
                    </a:xfrm>
                    <a:prstGeom prst="rect"/>
                  </pic:spPr>
                </pic:pic>
              </a:graphicData>
            </a:graphic>
          </wp:inline>
        </w:drawing>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 dan wawancara, 2025</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Januari–Desember 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tahun 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tahun 2025 melonjak pada Februari–April (periode Ramadan–Idulfitri), dengan puncak 2.250 kodi pada April, dan turun hingga 390 kodi pada November.</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833 kodi per bulan, maksimum 1.150 kodi), sehingga pada 5 dari 12 bulan (Februari–Juni 2025)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rPr>
              <w:t>Perusahaan mempekerjakan tenaga borongan dalam jumlah banyak di luar 17 tenaga kerja tetap, dengan sistem kerja di rumah dan upah berbasis target, sehingga kapasitas produksi, terutama pada musim puncak, bergantung pada ketersediaan dan kedisiplinan tenaga borongan.</w:t>
            </w:r>
          </w:p>
        </w:tc>
      </w:tr>
    </w:tbl>
    <w:p>
      <w:pPr>
        <w:spacing w:line="360" w:lineRule="auto" w:after="200"/>
        <w:jc w:val="left"/>
      </w:pPr>
      <w:r>
        <w:rPr>
          <w:b w:val="0"/>
          <w:i w:val="0"/>
          <w:sz w:val="20"/>
        </w:rPr>
        <w:t>Sumber: Survei awal dan data operasional perusahaan 2025</w:t>
      </w:r>
    </w:p>
    <w:p>
      <w:pPr>
        <w:spacing w:line="360" w:lineRule="auto" w:after="120"/>
        <w:ind w:firstLine="709"/>
        <w:jc w:val="both"/>
      </w:pPr>
      <w:r>
        <w:rPr>
          <w:b w:val="0"/>
          <w:i w:val="0"/>
        </w:rPr>
        <w:t>Temuan pertama dan kedua menunjukkan pola musiman, yaitu pola permintaan yang meningkat pada periode tertentu dan berulang setiap tahun (Hyndman &amp; Athanasopoulos, 2021); pada data 2025 lonjakan terjadi pada periode Ramadan–Idulfitri.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et al.,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rPr>
              <w:t xml:space="preserve">Produksi menggunakan sistem satu paket: setiap penjahit mengerjakan satu songkok secara utuh, kemudian hasilnya diserahkan ke bagian packaging (Gambar 4.2). </w:t>
            </w:r>
            <w:r>
              <w:rPr>
                <w:b w:val="0"/>
                <w:i w:val="0"/>
                <w:sz w:val="20"/>
                <w:highlight w:val="yellow"/>
              </w:rPr>
              <w:t>[waktu pengerjaan per songkok/per kodi]</w:t>
            </w:r>
          </w:p>
        </w:tc>
      </w:tr>
      <w:tr>
        <w:tc>
          <w:tcPr>
            <w:tcW w:type="dxa" w:w="567"/>
          </w:tcPr>
          <w:p>
            <w:pPr>
              <w:spacing w:after="0"/>
            </w:pPr>
            <w:r/>
            <w:r>
              <w:rPr>
                <w:b w:val="0"/>
                <w:i w:val="0"/>
                <w:sz w:val="20"/>
              </w:rPr>
              <w:t>2</w:t>
            </w:r>
          </w:p>
        </w:tc>
        <w:tc>
          <w:tcPr>
            <w:tcW w:type="dxa" w:w="2551"/>
          </w:tcPr>
          <w:p>
            <w:pPr>
              <w:spacing w:after="0"/>
            </w:pPr>
            <w:r/>
            <w:r>
              <w:rPr>
                <w:b w:val="0"/>
                <w:i w:val="0"/>
                <w:sz w:val="20"/>
              </w:rPr>
              <w:t>Tenaga kerja</w:t>
            </w:r>
          </w:p>
        </w:tc>
        <w:tc>
          <w:tcPr>
            <w:tcW w:type="dxa" w:w="5102"/>
          </w:tcPr>
          <w:p>
            <w:pPr>
              <w:spacing w:after="0"/>
            </w:pPr>
            <w:r/>
            <w:r>
              <w:rPr>
                <w:b w:val="0"/>
                <w:i w:val="0"/>
                <w:sz w:val="20"/>
              </w:rPr>
              <w:t xml:space="preserve">Selain 17 tenaga kerja tetap, terdapat banyak tenaga kerja borongan. Tenaga borongan mengambil bahan baku di perusahaan, mengerjakan songkok di rumah masing-masing, lalu menyetorkan hasilnya; upah dibayar setelah target tercapai. </w:t>
            </w:r>
            <w:r>
              <w:rPr>
                <w:b w:val="0"/>
                <w:i w:val="0"/>
                <w:sz w:val="20"/>
                <w:highlight w:val="yellow"/>
              </w:rPr>
              <w:t>[jumlah tenaga borongan; target per orang]</w:t>
            </w:r>
          </w:p>
        </w:tc>
      </w:tr>
      <w:tr>
        <w:tc>
          <w:tcPr>
            <w:tcW w:type="dxa" w:w="567"/>
          </w:tcPr>
          <w:p>
            <w:pPr>
              <w:spacing w:after="0"/>
            </w:pPr>
            <w:r/>
            <w:r>
              <w:rPr>
                <w:b w:val="0"/>
                <w:i w:val="0"/>
                <w:sz w:val="20"/>
              </w:rPr>
              <w:t>3</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4</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5</w:t>
            </w:r>
          </w:p>
        </w:tc>
        <w:tc>
          <w:tcPr>
            <w:tcW w:type="dxa" w:w="2551"/>
          </w:tcPr>
          <w:p>
            <w:pPr>
              <w:spacing w:after="0"/>
            </w:pPr>
            <w:r/>
            <w:r>
              <w:rPr>
                <w:b w:val="0"/>
                <w:i w:val="0"/>
                <w:sz w:val="20"/>
              </w:rPr>
              <w:t>Pengendalian kualitas</w:t>
            </w:r>
          </w:p>
        </w:tc>
        <w:tc>
          <w:tcPr>
            <w:tcW w:type="dxa" w:w="5102"/>
          </w:tcPr>
          <w:p>
            <w:pPr>
              <w:spacing w:after="0"/>
            </w:pPr>
            <w:r/>
            <w:r>
              <w:rPr>
                <w:b w:val="0"/>
                <w:i w:val="0"/>
                <w:sz w:val="20"/>
                <w:highlight w:val="yellow"/>
              </w:rPr>
              <w:t>[inspeksi produk dan jenis cacat yang ditemukan]</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diganti dengan kode E1–E6. Pemetaan berdasarkan fungsi aktual terlihat pada E5: dalam struktur organisasi (Gambar 4.1) E5 tercatat pada bagian packaging, tetapi dalam praktik berperan sebagai pengrajin senior/tenaga kerja ahli, sehingga E5 mewakili fungsi pengrajin senior, sedangkan E6 mewakili fungsi finishing dan packaging.</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Januari–Desember 2025 (12 bulan). Periode ini dipilih agar sesuai dengan data yang digunakan pada latar belakang penelitian (Bab I) dan mencakup satu siklus musiman penuh, yaitu sebelum, selama, dan setelah Ramadan–Idulfitri. Data operasional ini merupakan data runtun waktu (time series), yaitu data yang dicatat secara berurutan pada interval waktu yang tetap (Hyndman &amp; Athanasopoulos, 2021). Data dihimpun ke dalam enam dimensi,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474"/>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701"/>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474"/>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701"/>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12</w:t>
            </w:r>
          </w:p>
        </w:tc>
        <w:tc>
          <w:tcPr>
            <w:tcW w:type="dxa" w:w="1701"/>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Produksi dan permintaan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7.512</w:t>
            </w:r>
          </w:p>
        </w:tc>
        <w:tc>
          <w:tcPr>
            <w:tcW w:type="dxa" w:w="1701"/>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36</w:t>
            </w:r>
          </w:p>
        </w:tc>
        <w:tc>
          <w:tcPr>
            <w:tcW w:type="dxa" w:w="1701"/>
          </w:tcPr>
          <w:p>
            <w:pPr>
              <w:spacing w:after="0"/>
            </w:pPr>
            <w:r/>
            <w:r>
              <w:rPr>
                <w:b w:val="0"/>
                <w:i w:val="0"/>
                <w:sz w:val="20"/>
              </w:rPr>
              <w:t>Yard, kodi, lusin</w:t>
            </w:r>
          </w:p>
        </w:tc>
      </w:tr>
    </w:tbl>
    <w:p>
      <w:pPr>
        <w:spacing w:line="360" w:lineRule="auto" w:after="200"/>
        <w:jc w:val="left"/>
      </w:pPr>
      <w:r>
        <w:rPr>
          <w:b w:val="0"/>
          <w:i w:val="0"/>
          <w:sz w:val="20"/>
        </w:rPr>
        <w:t>Sumber: CV Putra Pondok Indah, 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yang berlaku pada tahun 2025,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 2025</w:t>
      </w:r>
    </w:p>
    <w:p>
      <w:pPr>
        <w:spacing w:line="360" w:lineRule="auto" w:after="120"/>
        <w:jc w:val="left"/>
      </w:pPr>
      <w:r>
        <w:rPr>
          <w:b/>
          <w:i w:val="0"/>
        </w:rPr>
        <w:t>4.4.2 Data Produksi, Permintaan, dan Penjualan Bulanan</w:t>
      </w:r>
    </w:p>
    <w:p>
      <w:pPr>
        <w:spacing w:line="360" w:lineRule="auto" w:after="120"/>
        <w:ind w:firstLine="709"/>
        <w:jc w:val="both"/>
      </w:pPr>
      <w:r>
        <w:rPr>
          <w:b w:val="0"/>
          <w:i w:val="0"/>
        </w:rPr>
        <w:t>Data produksi, permintaan, dan nilai penjualan seluruh produk setiap bulan pada tahun 2025 disajikan pada Tabel 4.12.</w:t>
      </w:r>
    </w:p>
    <w:p>
      <w:pPr>
        <w:spacing w:line="360" w:lineRule="auto" w:after="40"/>
        <w:jc w:val="center"/>
      </w:pPr>
      <w:r>
        <w:rPr>
          <w:b/>
          <w:i w:val="0"/>
        </w:rPr>
        <w:t>Tabel 4.12 Data Produksi, Permintaan, dan Nilai Penjualan Bulanan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Bulan</w:t>
            </w:r>
          </w:p>
        </w:tc>
        <w:tc>
          <w:tcPr>
            <w:tcW w:type="dxa" w:w="1474"/>
          </w:tcPr>
          <w:p>
            <w:pPr>
              <w:spacing w:after="0"/>
              <w:jc w:val="center"/>
            </w:pPr>
            <w:r/>
            <w:r>
              <w:rPr>
                <w:b/>
                <w:i w:val="0"/>
                <w:sz w:val="20"/>
              </w:rPr>
              <w:t>Produksi (kodi)</w:t>
            </w:r>
          </w:p>
        </w:tc>
        <w:tc>
          <w:tcPr>
            <w:tcW w:type="dxa" w:w="1587"/>
          </w:tcPr>
          <w:p>
            <w:pPr>
              <w:spacing w:after="0"/>
              <w:jc w:val="center"/>
            </w:pPr>
            <w:r/>
            <w:r>
              <w:rPr>
                <w:b/>
                <w:i w:val="0"/>
                <w:sz w:val="20"/>
              </w:rPr>
              <w:t>Permintaan (kodi)</w:t>
            </w:r>
          </w:p>
        </w:tc>
        <w:tc>
          <w:tcPr>
            <w:tcW w:type="dxa" w:w="1928"/>
          </w:tcPr>
          <w:p>
            <w:pPr>
              <w:spacing w:after="0"/>
              <w:jc w:val="center"/>
            </w:pPr>
            <w:r/>
            <w:r>
              <w:rPr>
                <w:b/>
                <w:i w:val="0"/>
                <w:sz w:val="20"/>
              </w:rPr>
              <w:t>Selisih produksi – permintaan (kodi)</w:t>
            </w:r>
          </w:p>
        </w:tc>
        <w:tc>
          <w:tcPr>
            <w:tcW w:type="dxa" w:w="1928"/>
          </w:tcPr>
          <w:p>
            <w:pPr>
              <w:spacing w:after="0"/>
              <w:jc w:val="center"/>
            </w:pPr>
            <w:r/>
            <w:r>
              <w:rPr>
                <w:b/>
                <w:i w:val="0"/>
                <w:sz w:val="20"/>
              </w:rPr>
              <w:t>Nilai penjualan (Rp)</w:t>
            </w:r>
          </w:p>
        </w:tc>
      </w:tr>
      <w:tr>
        <w:tc>
          <w:tcPr>
            <w:tcW w:type="dxa" w:w="1474"/>
          </w:tcPr>
          <w:p>
            <w:pPr>
              <w:spacing w:after="0"/>
            </w:pPr>
            <w:r/>
            <w:r>
              <w:rPr>
                <w:b w:val="0"/>
                <w:i w:val="0"/>
                <w:sz w:val="20"/>
              </w:rPr>
              <w:t>Januari</w:t>
            </w:r>
          </w:p>
        </w:tc>
        <w:tc>
          <w:tcPr>
            <w:tcW w:type="dxa" w:w="1474"/>
          </w:tcPr>
          <w:p>
            <w:pPr>
              <w:spacing w:after="0"/>
              <w:jc w:val="center"/>
            </w:pPr>
            <w:r/>
            <w:r>
              <w:rPr>
                <w:b w:val="0"/>
                <w:i w:val="0"/>
                <w:sz w:val="20"/>
              </w:rPr>
              <w:t>800</w:t>
            </w:r>
          </w:p>
        </w:tc>
        <w:tc>
          <w:tcPr>
            <w:tcW w:type="dxa" w:w="1587"/>
          </w:tcPr>
          <w:p>
            <w:pPr>
              <w:spacing w:after="0"/>
              <w:jc w:val="center"/>
            </w:pPr>
            <w:r/>
            <w:r>
              <w:rPr>
                <w:b w:val="0"/>
                <w:i w:val="0"/>
                <w:sz w:val="20"/>
              </w:rPr>
              <w:t>720</w:t>
            </w:r>
          </w:p>
        </w:tc>
        <w:tc>
          <w:tcPr>
            <w:tcW w:type="dxa" w:w="1928"/>
          </w:tcPr>
          <w:p>
            <w:pPr>
              <w:spacing w:after="0"/>
              <w:jc w:val="center"/>
            </w:pPr>
            <w:r/>
            <w:r>
              <w:rPr>
                <w:b w:val="0"/>
                <w:i w:val="0"/>
                <w:sz w:val="20"/>
              </w:rPr>
              <w:t>80</w:t>
            </w:r>
          </w:p>
        </w:tc>
        <w:tc>
          <w:tcPr>
            <w:tcW w:type="dxa" w:w="1928"/>
          </w:tcPr>
          <w:p>
            <w:pPr>
              <w:spacing w:after="0"/>
              <w:jc w:val="center"/>
            </w:pPr>
            <w:r/>
            <w:r>
              <w:rPr>
                <w:b w:val="0"/>
                <w:i w:val="0"/>
                <w:sz w:val="20"/>
              </w:rPr>
              <w:t>653.544.000</w:t>
            </w:r>
          </w:p>
        </w:tc>
      </w:tr>
      <w:tr>
        <w:tc>
          <w:tcPr>
            <w:tcW w:type="dxa" w:w="1474"/>
          </w:tcPr>
          <w:p>
            <w:pPr>
              <w:spacing w:after="0"/>
            </w:pPr>
            <w:r/>
            <w:r>
              <w:rPr>
                <w:b w:val="0"/>
                <w:i w:val="0"/>
                <w:sz w:val="20"/>
              </w:rPr>
              <w:t>Februari</w:t>
            </w:r>
          </w:p>
        </w:tc>
        <w:tc>
          <w:tcPr>
            <w:tcW w:type="dxa" w:w="1474"/>
          </w:tcPr>
          <w:p>
            <w:pPr>
              <w:spacing w:after="0"/>
              <w:jc w:val="center"/>
            </w:pPr>
            <w:r/>
            <w:r>
              <w:rPr>
                <w:b w:val="0"/>
                <w:i w:val="0"/>
                <w:sz w:val="20"/>
              </w:rPr>
              <w:t>850</w:t>
            </w:r>
          </w:p>
        </w:tc>
        <w:tc>
          <w:tcPr>
            <w:tcW w:type="dxa" w:w="1587"/>
          </w:tcPr>
          <w:p>
            <w:pPr>
              <w:spacing w:after="0"/>
              <w:jc w:val="center"/>
            </w:pPr>
            <w:r/>
            <w:r>
              <w:rPr>
                <w:b w:val="0"/>
                <w:i w:val="0"/>
                <w:sz w:val="20"/>
              </w:rPr>
              <w:t>910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826.007.000</w:t>
            </w:r>
          </w:p>
        </w:tc>
      </w:tr>
      <w:tr>
        <w:tc>
          <w:tcPr>
            <w:tcW w:type="dxa" w:w="1474"/>
          </w:tcPr>
          <w:p>
            <w:pPr>
              <w:spacing w:after="0"/>
            </w:pPr>
            <w:r/>
            <w:r>
              <w:rPr>
                <w:b w:val="0"/>
                <w:i w:val="0"/>
                <w:sz w:val="20"/>
              </w:rPr>
              <w:t>Maret</w:t>
            </w:r>
          </w:p>
        </w:tc>
        <w:tc>
          <w:tcPr>
            <w:tcW w:type="dxa" w:w="1474"/>
          </w:tcPr>
          <w:p>
            <w:pPr>
              <w:spacing w:after="0"/>
              <w:jc w:val="center"/>
            </w:pPr>
            <w:r/>
            <w:r>
              <w:rPr>
                <w:b w:val="0"/>
                <w:i w:val="0"/>
                <w:sz w:val="20"/>
              </w:rPr>
              <w:t>1.100</w:t>
            </w:r>
          </w:p>
        </w:tc>
        <w:tc>
          <w:tcPr>
            <w:tcW w:type="dxa" w:w="1587"/>
          </w:tcPr>
          <w:p>
            <w:pPr>
              <w:spacing w:after="0"/>
              <w:jc w:val="center"/>
            </w:pPr>
            <w:r/>
            <w:r>
              <w:rPr>
                <w:b w:val="0"/>
                <w:i w:val="0"/>
                <w:sz w:val="20"/>
              </w:rPr>
              <w:t>1.750</w:t>
            </w:r>
          </w:p>
        </w:tc>
        <w:tc>
          <w:tcPr>
            <w:tcW w:type="dxa" w:w="1928"/>
          </w:tcPr>
          <w:p>
            <w:pPr>
              <w:spacing w:after="0"/>
              <w:jc w:val="center"/>
            </w:pPr>
            <w:r/>
            <w:r>
              <w:rPr>
                <w:b w:val="0"/>
                <w:i w:val="0"/>
                <w:sz w:val="20"/>
              </w:rPr>
              <w:t>-650</w:t>
            </w:r>
          </w:p>
        </w:tc>
        <w:tc>
          <w:tcPr>
            <w:tcW w:type="dxa" w:w="1928"/>
          </w:tcPr>
          <w:p>
            <w:pPr>
              <w:spacing w:after="0"/>
              <w:jc w:val="center"/>
            </w:pPr>
            <w:r/>
            <w:r>
              <w:rPr>
                <w:b w:val="0"/>
                <w:i w:val="0"/>
                <w:sz w:val="20"/>
              </w:rPr>
              <w:t>1.588.475.000</w:t>
            </w:r>
          </w:p>
        </w:tc>
      </w:tr>
      <w:tr>
        <w:tc>
          <w:tcPr>
            <w:tcW w:type="dxa" w:w="1474"/>
          </w:tcPr>
          <w:p>
            <w:pPr>
              <w:spacing w:after="0"/>
            </w:pPr>
            <w:r/>
            <w:r>
              <w:rPr>
                <w:b w:val="0"/>
                <w:i w:val="0"/>
                <w:sz w:val="20"/>
              </w:rPr>
              <w:t>April</w:t>
            </w:r>
          </w:p>
        </w:tc>
        <w:tc>
          <w:tcPr>
            <w:tcW w:type="dxa" w:w="1474"/>
          </w:tcPr>
          <w:p>
            <w:pPr>
              <w:spacing w:after="0"/>
              <w:jc w:val="center"/>
            </w:pPr>
            <w:r/>
            <w:r>
              <w:rPr>
                <w:b w:val="0"/>
                <w:i w:val="0"/>
                <w:sz w:val="20"/>
              </w:rPr>
              <w:t>1.150</w:t>
            </w:r>
          </w:p>
        </w:tc>
        <w:tc>
          <w:tcPr>
            <w:tcW w:type="dxa" w:w="1587"/>
          </w:tcPr>
          <w:p>
            <w:pPr>
              <w:spacing w:after="0"/>
              <w:jc w:val="center"/>
            </w:pPr>
            <w:r/>
            <w:r>
              <w:rPr>
                <w:b w:val="0"/>
                <w:i w:val="0"/>
                <w:sz w:val="20"/>
              </w:rPr>
              <w:t>2.250</w:t>
            </w:r>
          </w:p>
        </w:tc>
        <w:tc>
          <w:tcPr>
            <w:tcW w:type="dxa" w:w="1928"/>
          </w:tcPr>
          <w:p>
            <w:pPr>
              <w:spacing w:after="0"/>
              <w:jc w:val="center"/>
            </w:pPr>
            <w:r/>
            <w:r>
              <w:rPr>
                <w:b w:val="0"/>
                <w:i w:val="0"/>
                <w:sz w:val="20"/>
              </w:rPr>
              <w:t>-1.100</w:t>
            </w:r>
          </w:p>
        </w:tc>
        <w:tc>
          <w:tcPr>
            <w:tcW w:type="dxa" w:w="1928"/>
          </w:tcPr>
          <w:p>
            <w:pPr>
              <w:spacing w:after="0"/>
              <w:jc w:val="center"/>
            </w:pPr>
            <w:r/>
            <w:r>
              <w:rPr>
                <w:b w:val="0"/>
                <w:i w:val="0"/>
                <w:sz w:val="20"/>
              </w:rPr>
              <w:t>2.042.325.000</w:t>
            </w:r>
          </w:p>
        </w:tc>
      </w:tr>
      <w:tr>
        <w:tc>
          <w:tcPr>
            <w:tcW w:type="dxa" w:w="1474"/>
          </w:tcPr>
          <w:p>
            <w:pPr>
              <w:spacing w:after="0"/>
            </w:pPr>
            <w:r/>
            <w:r>
              <w:rPr>
                <w:b w:val="0"/>
                <w:i w:val="0"/>
                <w:sz w:val="20"/>
              </w:rPr>
              <w:t>Mei</w:t>
            </w:r>
          </w:p>
        </w:tc>
        <w:tc>
          <w:tcPr>
            <w:tcW w:type="dxa" w:w="1474"/>
          </w:tcPr>
          <w:p>
            <w:pPr>
              <w:spacing w:after="0"/>
              <w:jc w:val="center"/>
            </w:pPr>
            <w:r/>
            <w:r>
              <w:rPr>
                <w:b w:val="0"/>
                <w:i w:val="0"/>
                <w:sz w:val="20"/>
              </w:rPr>
              <w:t>610</w:t>
            </w:r>
          </w:p>
        </w:tc>
        <w:tc>
          <w:tcPr>
            <w:tcW w:type="dxa" w:w="1587"/>
          </w:tcPr>
          <w:p>
            <w:pPr>
              <w:spacing w:after="0"/>
              <w:jc w:val="center"/>
            </w:pPr>
            <w:r/>
            <w:r>
              <w:rPr>
                <w:b w:val="0"/>
                <w:i w:val="0"/>
                <w:sz w:val="20"/>
              </w:rPr>
              <w:t>650</w:t>
            </w:r>
          </w:p>
        </w:tc>
        <w:tc>
          <w:tcPr>
            <w:tcW w:type="dxa" w:w="1928"/>
          </w:tcPr>
          <w:p>
            <w:pPr>
              <w:spacing w:after="0"/>
              <w:jc w:val="center"/>
            </w:pPr>
            <w:r/>
            <w:r>
              <w:rPr>
                <w:b w:val="0"/>
                <w:i w:val="0"/>
                <w:sz w:val="20"/>
              </w:rPr>
              <w:t>-40</w:t>
            </w:r>
          </w:p>
        </w:tc>
        <w:tc>
          <w:tcPr>
            <w:tcW w:type="dxa" w:w="1928"/>
          </w:tcPr>
          <w:p>
            <w:pPr>
              <w:spacing w:after="0"/>
              <w:jc w:val="center"/>
            </w:pPr>
            <w:r/>
            <w:r>
              <w:rPr>
                <w:b w:val="0"/>
                <w:i w:val="0"/>
                <w:sz w:val="20"/>
              </w:rPr>
              <w:t>590.005.000</w:t>
            </w:r>
          </w:p>
        </w:tc>
      </w:tr>
      <w:tr>
        <w:tc>
          <w:tcPr>
            <w:tcW w:type="dxa" w:w="1474"/>
          </w:tcPr>
          <w:p>
            <w:pPr>
              <w:spacing w:after="0"/>
            </w:pPr>
            <w:r/>
            <w:r>
              <w:rPr>
                <w:b w:val="0"/>
                <w:i w:val="0"/>
                <w:sz w:val="20"/>
              </w:rPr>
              <w:t>Juni</w:t>
            </w:r>
          </w:p>
        </w:tc>
        <w:tc>
          <w:tcPr>
            <w:tcW w:type="dxa" w:w="1474"/>
          </w:tcPr>
          <w:p>
            <w:pPr>
              <w:spacing w:after="0"/>
              <w:jc w:val="center"/>
            </w:pPr>
            <w:r/>
            <w:r>
              <w:rPr>
                <w:b w:val="0"/>
                <w:i w:val="0"/>
                <w:sz w:val="20"/>
              </w:rPr>
              <w:t>790</w:t>
            </w:r>
          </w:p>
        </w:tc>
        <w:tc>
          <w:tcPr>
            <w:tcW w:type="dxa" w:w="1587"/>
          </w:tcPr>
          <w:p>
            <w:pPr>
              <w:spacing w:after="0"/>
              <w:jc w:val="center"/>
            </w:pPr>
            <w:r/>
            <w:r>
              <w:rPr>
                <w:b w:val="0"/>
                <w:i w:val="0"/>
                <w:sz w:val="20"/>
              </w:rPr>
              <w:t>840</w:t>
            </w:r>
          </w:p>
        </w:tc>
        <w:tc>
          <w:tcPr>
            <w:tcW w:type="dxa" w:w="1928"/>
          </w:tcPr>
          <w:p>
            <w:pPr>
              <w:spacing w:after="0"/>
              <w:jc w:val="center"/>
            </w:pPr>
            <w:r/>
            <w:r>
              <w:rPr>
                <w:b w:val="0"/>
                <w:i w:val="0"/>
                <w:sz w:val="20"/>
              </w:rPr>
              <w:t>-50</w:t>
            </w:r>
          </w:p>
        </w:tc>
        <w:tc>
          <w:tcPr>
            <w:tcW w:type="dxa" w:w="1928"/>
          </w:tcPr>
          <w:p>
            <w:pPr>
              <w:spacing w:after="0"/>
              <w:jc w:val="center"/>
            </w:pPr>
            <w:r/>
            <w:r>
              <w:rPr>
                <w:b w:val="0"/>
                <w:i w:val="0"/>
                <w:sz w:val="20"/>
              </w:rPr>
              <w:t>762.468.000</w:t>
            </w:r>
          </w:p>
        </w:tc>
      </w:tr>
      <w:tr>
        <w:tc>
          <w:tcPr>
            <w:tcW w:type="dxa" w:w="1474"/>
          </w:tcPr>
          <w:p>
            <w:pPr>
              <w:spacing w:after="0"/>
            </w:pPr>
            <w:r/>
            <w:r>
              <w:rPr>
                <w:b w:val="0"/>
                <w:i w:val="0"/>
                <w:sz w:val="20"/>
              </w:rPr>
              <w:t>Juli</w:t>
            </w:r>
          </w:p>
        </w:tc>
        <w:tc>
          <w:tcPr>
            <w:tcW w:type="dxa" w:w="1474"/>
          </w:tcPr>
          <w:p>
            <w:pPr>
              <w:spacing w:after="0"/>
              <w:jc w:val="center"/>
            </w:pPr>
            <w:r/>
            <w:r>
              <w:rPr>
                <w:b w:val="0"/>
                <w:i w:val="0"/>
                <w:sz w:val="20"/>
              </w:rPr>
              <w:t>770</w:t>
            </w:r>
          </w:p>
        </w:tc>
        <w:tc>
          <w:tcPr>
            <w:tcW w:type="dxa" w:w="1587"/>
          </w:tcPr>
          <w:p>
            <w:pPr>
              <w:spacing w:after="0"/>
              <w:jc w:val="center"/>
            </w:pPr>
            <w:r/>
            <w:r>
              <w:rPr>
                <w:b w:val="0"/>
                <w:i w:val="0"/>
                <w:sz w:val="20"/>
              </w:rPr>
              <w:t>710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644.467.000</w:t>
            </w:r>
          </w:p>
        </w:tc>
      </w:tr>
      <w:tr>
        <w:tc>
          <w:tcPr>
            <w:tcW w:type="dxa" w:w="1474"/>
          </w:tcPr>
          <w:p>
            <w:pPr>
              <w:spacing w:after="0"/>
            </w:pPr>
            <w:r/>
            <w:r>
              <w:rPr>
                <w:b w:val="0"/>
                <w:i w:val="0"/>
                <w:sz w:val="20"/>
              </w:rPr>
              <w:t>Agustus</w:t>
            </w:r>
          </w:p>
        </w:tc>
        <w:tc>
          <w:tcPr>
            <w:tcW w:type="dxa" w:w="1474"/>
          </w:tcPr>
          <w:p>
            <w:pPr>
              <w:spacing w:after="0"/>
              <w:jc w:val="center"/>
            </w:pPr>
            <w:r/>
            <w:r>
              <w:rPr>
                <w:b w:val="0"/>
                <w:i w:val="0"/>
                <w:sz w:val="20"/>
              </w:rPr>
              <w:t>785</w:t>
            </w:r>
          </w:p>
        </w:tc>
        <w:tc>
          <w:tcPr>
            <w:tcW w:type="dxa" w:w="1587"/>
          </w:tcPr>
          <w:p>
            <w:pPr>
              <w:spacing w:after="0"/>
              <w:jc w:val="center"/>
            </w:pPr>
            <w:r/>
            <w:r>
              <w:rPr>
                <w:b w:val="0"/>
                <w:i w:val="0"/>
                <w:sz w:val="20"/>
              </w:rPr>
              <w:t>630</w:t>
            </w:r>
          </w:p>
        </w:tc>
        <w:tc>
          <w:tcPr>
            <w:tcW w:type="dxa" w:w="1928"/>
          </w:tcPr>
          <w:p>
            <w:pPr>
              <w:spacing w:after="0"/>
              <w:jc w:val="center"/>
            </w:pPr>
            <w:r/>
            <w:r>
              <w:rPr>
                <w:b w:val="0"/>
                <w:i w:val="0"/>
                <w:sz w:val="20"/>
              </w:rPr>
              <w:t>155</w:t>
            </w:r>
          </w:p>
        </w:tc>
        <w:tc>
          <w:tcPr>
            <w:tcW w:type="dxa" w:w="1928"/>
          </w:tcPr>
          <w:p>
            <w:pPr>
              <w:spacing w:after="0"/>
              <w:jc w:val="center"/>
            </w:pPr>
            <w:r/>
            <w:r>
              <w:rPr>
                <w:b w:val="0"/>
                <w:i w:val="0"/>
                <w:sz w:val="20"/>
              </w:rPr>
              <w:t>571.851.000</w:t>
            </w:r>
          </w:p>
        </w:tc>
      </w:tr>
      <w:tr>
        <w:tc>
          <w:tcPr>
            <w:tcW w:type="dxa" w:w="1474"/>
          </w:tcPr>
          <w:p>
            <w:pPr>
              <w:spacing w:after="0"/>
            </w:pPr>
            <w:r/>
            <w:r>
              <w:rPr>
                <w:b w:val="0"/>
                <w:i w:val="0"/>
                <w:sz w:val="20"/>
              </w:rPr>
              <w:t>September</w:t>
            </w:r>
          </w:p>
        </w:tc>
        <w:tc>
          <w:tcPr>
            <w:tcW w:type="dxa" w:w="1474"/>
          </w:tcPr>
          <w:p>
            <w:pPr>
              <w:spacing w:after="0"/>
              <w:jc w:val="center"/>
            </w:pPr>
            <w:r/>
            <w:r>
              <w:rPr>
                <w:b w:val="0"/>
                <w:i w:val="0"/>
                <w:sz w:val="20"/>
              </w:rPr>
              <w:t>760</w:t>
            </w:r>
          </w:p>
        </w:tc>
        <w:tc>
          <w:tcPr>
            <w:tcW w:type="dxa" w:w="1587"/>
          </w:tcPr>
          <w:p>
            <w:pPr>
              <w:spacing w:after="0"/>
              <w:jc w:val="center"/>
            </w:pPr>
            <w:r/>
            <w:r>
              <w:rPr>
                <w:b w:val="0"/>
                <w:i w:val="0"/>
                <w:sz w:val="20"/>
              </w:rPr>
              <w:t>520</w:t>
            </w:r>
          </w:p>
        </w:tc>
        <w:tc>
          <w:tcPr>
            <w:tcW w:type="dxa" w:w="1928"/>
          </w:tcPr>
          <w:p>
            <w:pPr>
              <w:spacing w:after="0"/>
              <w:jc w:val="center"/>
            </w:pPr>
            <w:r/>
            <w:r>
              <w:rPr>
                <w:b w:val="0"/>
                <w:i w:val="0"/>
                <w:sz w:val="20"/>
              </w:rPr>
              <w:t>240</w:t>
            </w:r>
          </w:p>
        </w:tc>
        <w:tc>
          <w:tcPr>
            <w:tcW w:type="dxa" w:w="1928"/>
          </w:tcPr>
          <w:p>
            <w:pPr>
              <w:spacing w:after="0"/>
              <w:jc w:val="center"/>
            </w:pPr>
            <w:r/>
            <w:r>
              <w:rPr>
                <w:b w:val="0"/>
                <w:i w:val="0"/>
                <w:sz w:val="20"/>
              </w:rPr>
              <w:t>472.004.000</w:t>
            </w:r>
          </w:p>
        </w:tc>
      </w:tr>
      <w:tr>
        <w:tc>
          <w:tcPr>
            <w:tcW w:type="dxa" w:w="1474"/>
          </w:tcPr>
          <w:p>
            <w:pPr>
              <w:spacing w:after="0"/>
            </w:pPr>
            <w:r/>
            <w:r>
              <w:rPr>
                <w:b w:val="0"/>
                <w:i w:val="0"/>
                <w:sz w:val="20"/>
              </w:rPr>
              <w:t>Oktober</w:t>
            </w:r>
          </w:p>
        </w:tc>
        <w:tc>
          <w:tcPr>
            <w:tcW w:type="dxa" w:w="1474"/>
          </w:tcPr>
          <w:p>
            <w:pPr>
              <w:spacing w:after="0"/>
              <w:jc w:val="center"/>
            </w:pPr>
            <w:r/>
            <w:r>
              <w:rPr>
                <w:b w:val="0"/>
                <w:i w:val="0"/>
                <w:sz w:val="20"/>
              </w:rPr>
              <w:t>810</w:t>
            </w:r>
          </w:p>
        </w:tc>
        <w:tc>
          <w:tcPr>
            <w:tcW w:type="dxa" w:w="1587"/>
          </w:tcPr>
          <w:p>
            <w:pPr>
              <w:spacing w:after="0"/>
              <w:jc w:val="center"/>
            </w:pPr>
            <w:r/>
            <w:r>
              <w:rPr>
                <w:b w:val="0"/>
                <w:i w:val="0"/>
                <w:sz w:val="20"/>
              </w:rPr>
              <w:t>480</w:t>
            </w:r>
          </w:p>
        </w:tc>
        <w:tc>
          <w:tcPr>
            <w:tcW w:type="dxa" w:w="1928"/>
          </w:tcPr>
          <w:p>
            <w:pPr>
              <w:spacing w:after="0"/>
              <w:jc w:val="center"/>
            </w:pPr>
            <w:r/>
            <w:r>
              <w:rPr>
                <w:b w:val="0"/>
                <w:i w:val="0"/>
                <w:sz w:val="20"/>
              </w:rPr>
              <w:t>330</w:t>
            </w:r>
          </w:p>
        </w:tc>
        <w:tc>
          <w:tcPr>
            <w:tcW w:type="dxa" w:w="1928"/>
          </w:tcPr>
          <w:p>
            <w:pPr>
              <w:spacing w:after="0"/>
              <w:jc w:val="center"/>
            </w:pPr>
            <w:r/>
            <w:r>
              <w:rPr>
                <w:b w:val="0"/>
                <w:i w:val="0"/>
                <w:sz w:val="20"/>
              </w:rPr>
              <w:t>435.696.000</w:t>
            </w:r>
          </w:p>
        </w:tc>
      </w:tr>
      <w:tr>
        <w:tc>
          <w:tcPr>
            <w:tcW w:type="dxa" w:w="1474"/>
          </w:tcPr>
          <w:p>
            <w:pPr>
              <w:spacing w:after="0"/>
            </w:pPr>
            <w:r/>
            <w:r>
              <w:rPr>
                <w:b w:val="0"/>
                <w:i w:val="0"/>
                <w:sz w:val="20"/>
              </w:rPr>
              <w:t>November</w:t>
            </w:r>
          </w:p>
        </w:tc>
        <w:tc>
          <w:tcPr>
            <w:tcW w:type="dxa" w:w="1474"/>
          </w:tcPr>
          <w:p>
            <w:pPr>
              <w:spacing w:after="0"/>
              <w:jc w:val="center"/>
            </w:pPr>
            <w:r/>
            <w:r>
              <w:rPr>
                <w:b w:val="0"/>
                <w:i w:val="0"/>
                <w:sz w:val="20"/>
              </w:rPr>
              <w:t>755</w:t>
            </w:r>
          </w:p>
        </w:tc>
        <w:tc>
          <w:tcPr>
            <w:tcW w:type="dxa" w:w="1587"/>
          </w:tcPr>
          <w:p>
            <w:pPr>
              <w:spacing w:after="0"/>
              <w:jc w:val="center"/>
            </w:pPr>
            <w:r/>
            <w:r>
              <w:rPr>
                <w:b w:val="0"/>
                <w:i w:val="0"/>
                <w:sz w:val="20"/>
              </w:rPr>
              <w:t>390</w:t>
            </w:r>
          </w:p>
        </w:tc>
        <w:tc>
          <w:tcPr>
            <w:tcW w:type="dxa" w:w="1928"/>
          </w:tcPr>
          <w:p>
            <w:pPr>
              <w:spacing w:after="0"/>
              <w:jc w:val="center"/>
            </w:pPr>
            <w:r/>
            <w:r>
              <w:rPr>
                <w:b w:val="0"/>
                <w:i w:val="0"/>
                <w:sz w:val="20"/>
              </w:rPr>
              <w:t>365</w:t>
            </w:r>
          </w:p>
        </w:tc>
        <w:tc>
          <w:tcPr>
            <w:tcW w:type="dxa" w:w="1928"/>
          </w:tcPr>
          <w:p>
            <w:pPr>
              <w:spacing w:after="0"/>
              <w:jc w:val="center"/>
            </w:pPr>
            <w:r/>
            <w:r>
              <w:rPr>
                <w:b w:val="0"/>
                <w:i w:val="0"/>
                <w:sz w:val="20"/>
              </w:rPr>
              <w:t>354.003.000</w:t>
            </w:r>
          </w:p>
        </w:tc>
      </w:tr>
      <w:tr>
        <w:tc>
          <w:tcPr>
            <w:tcW w:type="dxa" w:w="1474"/>
          </w:tcPr>
          <w:p>
            <w:pPr>
              <w:spacing w:after="0"/>
            </w:pPr>
            <w:r/>
            <w:r>
              <w:rPr>
                <w:b w:val="0"/>
                <w:i w:val="0"/>
                <w:sz w:val="20"/>
              </w:rPr>
              <w:t>Desember</w:t>
            </w:r>
          </w:p>
        </w:tc>
        <w:tc>
          <w:tcPr>
            <w:tcW w:type="dxa" w:w="1474"/>
          </w:tcPr>
          <w:p>
            <w:pPr>
              <w:spacing w:after="0"/>
              <w:jc w:val="center"/>
            </w:pPr>
            <w:r/>
            <w:r>
              <w:rPr>
                <w:b w:val="0"/>
                <w:i w:val="0"/>
                <w:sz w:val="20"/>
              </w:rPr>
              <w:t>820</w:t>
            </w:r>
          </w:p>
        </w:tc>
        <w:tc>
          <w:tcPr>
            <w:tcW w:type="dxa" w:w="1587"/>
          </w:tcPr>
          <w:p>
            <w:pPr>
              <w:spacing w:after="0"/>
              <w:jc w:val="center"/>
            </w:pPr>
            <w:r/>
            <w:r>
              <w:rPr>
                <w:b w:val="0"/>
                <w:i w:val="0"/>
                <w:sz w:val="20"/>
              </w:rPr>
              <w:t>450</w:t>
            </w:r>
          </w:p>
        </w:tc>
        <w:tc>
          <w:tcPr>
            <w:tcW w:type="dxa" w:w="1928"/>
          </w:tcPr>
          <w:p>
            <w:pPr>
              <w:spacing w:after="0"/>
              <w:jc w:val="center"/>
            </w:pPr>
            <w:r/>
            <w:r>
              <w:rPr>
                <w:b w:val="0"/>
                <w:i w:val="0"/>
                <w:sz w:val="20"/>
              </w:rPr>
              <w:t>370</w:t>
            </w:r>
          </w:p>
        </w:tc>
        <w:tc>
          <w:tcPr>
            <w:tcW w:type="dxa" w:w="1928"/>
          </w:tcPr>
          <w:p>
            <w:pPr>
              <w:spacing w:after="0"/>
              <w:jc w:val="center"/>
            </w:pPr>
            <w:r/>
            <w:r>
              <w:rPr>
                <w:b w:val="0"/>
                <w:i w:val="0"/>
                <w:sz w:val="20"/>
              </w:rPr>
              <w:t>408.465.000</w:t>
            </w:r>
          </w:p>
        </w:tc>
      </w:tr>
      <w:tr>
        <w:tc>
          <w:tcPr>
            <w:tcW w:type="dxa" w:w="1474"/>
          </w:tcPr>
          <w:p>
            <w:pPr>
              <w:spacing w:after="0"/>
            </w:pPr>
            <w:r/>
            <w:r>
              <w:rPr>
                <w:b w:val="0"/>
                <w:i w:val="0"/>
                <w:sz w:val="20"/>
              </w:rPr>
              <w:t>Total</w:t>
            </w:r>
          </w:p>
        </w:tc>
        <w:tc>
          <w:tcPr>
            <w:tcW w:type="dxa" w:w="1474"/>
          </w:tcPr>
          <w:p>
            <w:pPr>
              <w:spacing w:after="0"/>
              <w:jc w:val="center"/>
            </w:pPr>
            <w:r/>
            <w:r>
              <w:rPr>
                <w:b w:val="0"/>
                <w:i w:val="0"/>
                <w:sz w:val="20"/>
              </w:rPr>
              <w:t>10.000</w:t>
            </w:r>
          </w:p>
        </w:tc>
        <w:tc>
          <w:tcPr>
            <w:tcW w:type="dxa" w:w="1587"/>
          </w:tcPr>
          <w:p>
            <w:pPr>
              <w:spacing w:after="0"/>
              <w:jc w:val="center"/>
            </w:pPr>
            <w:r/>
            <w:r>
              <w:rPr>
                <w:b w:val="0"/>
                <w:i w:val="0"/>
                <w:sz w:val="20"/>
              </w:rPr>
              <w:t>10.300</w:t>
            </w:r>
          </w:p>
        </w:tc>
        <w:tc>
          <w:tcPr>
            <w:tcW w:type="dxa" w:w="1928"/>
          </w:tcPr>
          <w:p>
            <w:pPr>
              <w:spacing w:after="0"/>
              <w:jc w:val="center"/>
            </w:pPr>
            <w:r/>
            <w:r>
              <w:rPr>
                <w:b w:val="0"/>
                <w:i w:val="0"/>
                <w:sz w:val="20"/>
              </w:rPr>
              <w:t>-300</w:t>
            </w:r>
          </w:p>
        </w:tc>
        <w:tc>
          <w:tcPr>
            <w:tcW w:type="dxa" w:w="1928"/>
          </w:tcPr>
          <w:p>
            <w:pPr>
              <w:spacing w:after="0"/>
              <w:jc w:val="center"/>
            </w:pPr>
            <w:r/>
            <w:r>
              <w:rPr>
                <w:b w:val="0"/>
                <w:i w:val="0"/>
                <w:sz w:val="20"/>
              </w:rPr>
              <w:t>9.349.310.000</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Sepanjang tahun 2025, total produksi mencapai 10.000 kodi, sedangkan total permintaan 10.300 kodi. Permintaan tertinggi terjadi pada April (2.250 kodi), sedangkan produksi pada bulan tersebut hanya 1.150 kodi. Sebaliknya, pada Juli–Desember produksi selalu melebihi permintaan. Sebagai pembanding untuk menghitung pertumbuhan penjualan Januari 2025, nilai penjualan Desember 2024 adalah Rp381.234.000 dan permintaannya 420 kodi. Perbandingan produksi dan permintaan bulanan ditunjukkan pada Gambar 4.3; pola ini menjadi dasar pengelompokan bulan ke dalam fase pra-puncak, puncak, dan pasca-puncak pada Bab V.</w:t>
      </w:r>
    </w:p>
    <w:p>
      <w:pPr>
        <w:spacing w:after="40"/>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grafik2025.png"/>
                    <pic:cNvPicPr/>
                  </pic:nvPicPr>
                  <pic:blipFill>
                    <a:blip r:embed="rId11"/>
                    <a:stretch>
                      <a:fillRect/>
                    </a:stretch>
                  </pic:blipFill>
                  <pic:spPr>
                    <a:xfrm>
                      <a:off x="0" y="0"/>
                      <a:ext cx="5400000" cy="2700000"/>
                    </a:xfrm>
                    <a:prstGeom prst="rect"/>
                  </pic:spPr>
                </pic:pic>
              </a:graphicData>
            </a:graphic>
          </wp:inline>
        </w:drawing>
      </w:r>
    </w:p>
    <w:p>
      <w:pPr>
        <w:spacing w:line="360" w:lineRule="auto" w:after="40"/>
        <w:jc w:val="center"/>
      </w:pPr>
      <w:r>
        <w:rPr>
          <w:b/>
          <w:i w:val="0"/>
        </w:rPr>
        <w:t>Gambar 4.3 Grafik Produksi dan Permintaan Bulanan Tahun 2025</w:t>
      </w:r>
    </w:p>
    <w:p>
      <w:pPr>
        <w:spacing w:line="360" w:lineRule="auto" w:after="200"/>
        <w:jc w:val="left"/>
      </w:pPr>
      <w:r>
        <w:rPr>
          <w:b w:val="0"/>
          <w:i w:val="0"/>
          <w:sz w:val="20"/>
        </w:rPr>
        <w:t>Sumber: Tabel 4.12</w:t>
      </w:r>
    </w:p>
    <w:p>
      <w:pPr>
        <w:spacing w:line="360" w:lineRule="auto" w:after="120"/>
        <w:jc w:val="both"/>
      </w:pPr>
      <w:r>
        <w:rPr>
          <w:b w:val="0"/>
          <w:i w:val="0"/>
          <w:highlight w:val="yellow"/>
        </w:rPr>
        <w:t>[Catatan: Idulfitri 2025 jatuh pada 31 Maret 2025, tetapi permintaan tertinggi tercatat pada April (setelah Lebaran) dan lebih tinggi daripada Maret. Pastikan dengan catatan perusahaan bahwa angka ini benar, misalnya karena pengiriman pesanan Lebaran tercatat pada April; jika ya, jelaskan pada paragraf di atas.]</w:t>
      </w:r>
    </w:p>
    <w:p>
      <w:pPr>
        <w:spacing w:line="360" w:lineRule="auto" w:after="120"/>
        <w:jc w:val="left"/>
      </w:pPr>
      <w:r>
        <w:rPr>
          <w:b/>
          <w:i w:val="0"/>
        </w:rPr>
        <w:t>4.4.3 Data Produksi dan Permintaan per Produk</w:t>
      </w:r>
    </w:p>
    <w:p>
      <w:pPr>
        <w:spacing w:line="360" w:lineRule="auto" w:after="120"/>
        <w:ind w:firstLine="709"/>
        <w:jc w:val="both"/>
      </w:pPr>
      <w:r>
        <w:rPr>
          <w:b w:val="0"/>
          <w:i w:val="0"/>
        </w:rPr>
        <w:t xml:space="preserve">Data produksi dan permintaan dicatat setiap bulan untuk 24 varian produk. Rekap tahun 2025 per produk disajikan pada Tabel 4.13, sedangkan data bulanan lengkap per produk dicantumkan pada </w:t>
      </w:r>
      <w:r>
        <w:rPr>
          <w:b w:val="0"/>
          <w:i w:val="0"/>
          <w:highlight w:val="yellow"/>
        </w:rPr>
        <w:t>[Lampiran 2]</w:t>
      </w:r>
      <w:r>
        <w:rPr>
          <w:b w:val="0"/>
          <w:i w:val="0"/>
        </w:rPr>
        <w:t>.</w:t>
      </w:r>
    </w:p>
    <w:p>
      <w:pPr>
        <w:spacing w:line="360" w:lineRule="auto" w:after="40"/>
        <w:jc w:val="center"/>
      </w:pPr>
      <w:r>
        <w:rPr>
          <w:b/>
          <w:i w:val="0"/>
        </w:rPr>
        <w:t>Tabel 4.13 Rekap Produksi dan Permintaan per Produk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964"/>
          </w:tcPr>
          <w:p>
            <w:pPr>
              <w:spacing w:after="0"/>
              <w:jc w:val="center"/>
            </w:pPr>
            <w:r/>
            <w:r>
              <w:rPr>
                <w:b/>
                <w:i w:val="0"/>
                <w:sz w:val="20"/>
              </w:rPr>
              <w:t>Kode</w:t>
            </w:r>
          </w:p>
        </w:tc>
        <w:tc>
          <w:tcPr>
            <w:tcW w:type="dxa" w:w="3061"/>
          </w:tcPr>
          <w:p>
            <w:pPr>
              <w:spacing w:after="0"/>
              <w:jc w:val="center"/>
            </w:pPr>
            <w:r/>
            <w:r>
              <w:rPr>
                <w:b/>
                <w:i w:val="0"/>
                <w:sz w:val="20"/>
              </w:rPr>
              <w:t>Nama produk</w:t>
            </w:r>
          </w:p>
        </w:tc>
        <w:tc>
          <w:tcPr>
            <w:tcW w:type="dxa" w:w="1361"/>
          </w:tcPr>
          <w:p>
            <w:pPr>
              <w:spacing w:after="0"/>
              <w:jc w:val="center"/>
            </w:pPr>
            <w:r/>
            <w:r>
              <w:rPr>
                <w:b/>
                <w:i w:val="0"/>
                <w:sz w:val="20"/>
              </w:rPr>
              <w:t>Produksi (kodi)</w:t>
            </w:r>
          </w:p>
        </w:tc>
        <w:tc>
          <w:tcPr>
            <w:tcW w:type="dxa" w:w="1474"/>
          </w:tcPr>
          <w:p>
            <w:pPr>
              <w:spacing w:after="0"/>
              <w:jc w:val="center"/>
            </w:pPr>
            <w:r/>
            <w:r>
              <w:rPr>
                <w:b/>
                <w:i w:val="0"/>
                <w:sz w:val="20"/>
              </w:rPr>
              <w:t>Permintaan (kodi)</w:t>
            </w:r>
          </w:p>
        </w:tc>
        <w:tc>
          <w:tcPr>
            <w:tcW w:type="dxa" w:w="1814"/>
          </w:tcPr>
          <w:p>
            <w:pPr>
              <w:spacing w:after="0"/>
              <w:jc w:val="center"/>
            </w:pPr>
            <w:r/>
            <w:r>
              <w:rPr>
                <w:b/>
                <w:i w:val="0"/>
                <w:sz w:val="20"/>
              </w:rPr>
              <w:t>Nilai penjualan (Rp)</w:t>
            </w:r>
          </w:p>
        </w:tc>
      </w:tr>
      <w:tr>
        <w:tc>
          <w:tcPr>
            <w:tcW w:type="dxa" w:w="964"/>
          </w:tcPr>
          <w:p>
            <w:pPr>
              <w:spacing w:after="0"/>
            </w:pPr>
            <w:r/>
            <w:r>
              <w:rPr>
                <w:b w:val="0"/>
                <w:i w:val="0"/>
                <w:sz w:val="20"/>
              </w:rPr>
              <w:t>PPI-01</w:t>
            </w:r>
          </w:p>
        </w:tc>
        <w:tc>
          <w:tcPr>
            <w:tcW w:type="dxa" w:w="3061"/>
          </w:tcPr>
          <w:p>
            <w:pPr>
              <w:spacing w:after="0"/>
            </w:pPr>
            <w:r/>
            <w:r>
              <w:rPr>
                <w:b w:val="0"/>
                <w:i w:val="0"/>
                <w:sz w:val="20"/>
              </w:rPr>
              <w:t>Songkok Standar / Non AC</w:t>
            </w:r>
          </w:p>
        </w:tc>
        <w:tc>
          <w:tcPr>
            <w:tcW w:type="dxa" w:w="1361"/>
          </w:tcPr>
          <w:p>
            <w:pPr>
              <w:spacing w:after="0"/>
              <w:jc w:val="center"/>
            </w:pPr>
            <w:r/>
            <w:r>
              <w:rPr>
                <w:b w:val="0"/>
                <w:i w:val="0"/>
                <w:sz w:val="20"/>
              </w:rPr>
              <w:t>1.849,9</w:t>
            </w:r>
          </w:p>
        </w:tc>
        <w:tc>
          <w:tcPr>
            <w:tcW w:type="dxa" w:w="1474"/>
          </w:tcPr>
          <w:p>
            <w:pPr>
              <w:spacing w:after="0"/>
              <w:jc w:val="center"/>
            </w:pPr>
            <w:r/>
            <w:r>
              <w:rPr>
                <w:b w:val="0"/>
                <w:i w:val="0"/>
                <w:sz w:val="20"/>
              </w:rPr>
              <w:t>1.916,7</w:t>
            </w:r>
          </w:p>
        </w:tc>
        <w:tc>
          <w:tcPr>
            <w:tcW w:type="dxa" w:w="1814"/>
          </w:tcPr>
          <w:p>
            <w:pPr>
              <w:spacing w:after="0"/>
              <w:jc w:val="center"/>
            </w:pPr>
            <w:r/>
            <w:r>
              <w:rPr>
                <w:b w:val="0"/>
                <w:i w:val="0"/>
                <w:sz w:val="20"/>
              </w:rPr>
              <w:t>1.456.692.000</w:t>
            </w:r>
          </w:p>
        </w:tc>
      </w:tr>
      <w:tr>
        <w:tc>
          <w:tcPr>
            <w:tcW w:type="dxa" w:w="964"/>
          </w:tcPr>
          <w:p>
            <w:pPr>
              <w:spacing w:after="0"/>
            </w:pPr>
            <w:r/>
            <w:r>
              <w:rPr>
                <w:b w:val="0"/>
                <w:i w:val="0"/>
                <w:sz w:val="20"/>
              </w:rPr>
              <w:t>PPI-02</w:t>
            </w:r>
          </w:p>
        </w:tc>
        <w:tc>
          <w:tcPr>
            <w:tcW w:type="dxa" w:w="3061"/>
          </w:tcPr>
          <w:p>
            <w:pPr>
              <w:spacing w:after="0"/>
            </w:pPr>
            <w:r/>
            <w:r>
              <w:rPr>
                <w:b w:val="0"/>
                <w:i w:val="0"/>
                <w:sz w:val="20"/>
              </w:rPr>
              <w:t>Songkok AC</w:t>
            </w:r>
          </w:p>
        </w:tc>
        <w:tc>
          <w:tcPr>
            <w:tcW w:type="dxa" w:w="1361"/>
          </w:tcPr>
          <w:p>
            <w:pPr>
              <w:spacing w:after="0"/>
              <w:jc w:val="center"/>
            </w:pPr>
            <w:r/>
            <w:r>
              <w:rPr>
                <w:b w:val="0"/>
                <w:i w:val="0"/>
                <w:sz w:val="20"/>
              </w:rPr>
              <w:t>1.627,0</w:t>
            </w:r>
          </w:p>
        </w:tc>
        <w:tc>
          <w:tcPr>
            <w:tcW w:type="dxa" w:w="1474"/>
          </w:tcPr>
          <w:p>
            <w:pPr>
              <w:spacing w:after="0"/>
              <w:jc w:val="center"/>
            </w:pPr>
            <w:r/>
            <w:r>
              <w:rPr>
                <w:b w:val="0"/>
                <w:i w:val="0"/>
                <w:sz w:val="20"/>
              </w:rPr>
              <w:t>1.679,1</w:t>
            </w:r>
          </w:p>
        </w:tc>
        <w:tc>
          <w:tcPr>
            <w:tcW w:type="dxa" w:w="1814"/>
          </w:tcPr>
          <w:p>
            <w:pPr>
              <w:spacing w:after="0"/>
              <w:jc w:val="center"/>
            </w:pPr>
            <w:r/>
            <w:r>
              <w:rPr>
                <w:b w:val="0"/>
                <w:i w:val="0"/>
                <w:sz w:val="20"/>
              </w:rPr>
              <w:t>1.410.444.000</w:t>
            </w:r>
          </w:p>
        </w:tc>
      </w:tr>
      <w:tr>
        <w:tc>
          <w:tcPr>
            <w:tcW w:type="dxa" w:w="964"/>
          </w:tcPr>
          <w:p>
            <w:pPr>
              <w:spacing w:after="0"/>
            </w:pPr>
            <w:r/>
            <w:r>
              <w:rPr>
                <w:b w:val="0"/>
                <w:i w:val="0"/>
                <w:sz w:val="20"/>
              </w:rPr>
              <w:t>PPI-03</w:t>
            </w:r>
          </w:p>
        </w:tc>
        <w:tc>
          <w:tcPr>
            <w:tcW w:type="dxa" w:w="3061"/>
          </w:tcPr>
          <w:p>
            <w:pPr>
              <w:spacing w:after="0"/>
            </w:pPr>
            <w:r/>
            <w:r>
              <w:rPr>
                <w:b w:val="0"/>
                <w:i w:val="0"/>
                <w:sz w:val="20"/>
              </w:rPr>
              <w:t>Songkok AC Exclusive</w:t>
            </w:r>
          </w:p>
        </w:tc>
        <w:tc>
          <w:tcPr>
            <w:tcW w:type="dxa" w:w="1361"/>
          </w:tcPr>
          <w:p>
            <w:pPr>
              <w:spacing w:after="0"/>
              <w:jc w:val="center"/>
            </w:pPr>
            <w:r/>
            <w:r>
              <w:rPr>
                <w:b w:val="0"/>
                <w:i w:val="0"/>
                <w:sz w:val="20"/>
              </w:rPr>
              <w:t>929,7</w:t>
            </w:r>
          </w:p>
        </w:tc>
        <w:tc>
          <w:tcPr>
            <w:tcW w:type="dxa" w:w="1474"/>
          </w:tcPr>
          <w:p>
            <w:pPr>
              <w:spacing w:after="0"/>
              <w:jc w:val="center"/>
            </w:pPr>
            <w:r/>
            <w:r>
              <w:rPr>
                <w:b w:val="0"/>
                <w:i w:val="0"/>
                <w:sz w:val="20"/>
              </w:rPr>
              <w:t>951,7</w:t>
            </w:r>
          </w:p>
        </w:tc>
        <w:tc>
          <w:tcPr>
            <w:tcW w:type="dxa" w:w="1814"/>
          </w:tcPr>
          <w:p>
            <w:pPr>
              <w:spacing w:after="0"/>
              <w:jc w:val="center"/>
            </w:pPr>
            <w:r/>
            <w:r>
              <w:rPr>
                <w:b w:val="0"/>
                <w:i w:val="0"/>
                <w:sz w:val="20"/>
              </w:rPr>
              <w:t>951.700.000</w:t>
            </w:r>
          </w:p>
        </w:tc>
      </w:tr>
      <w:tr>
        <w:tc>
          <w:tcPr>
            <w:tcW w:type="dxa" w:w="964"/>
          </w:tcPr>
          <w:p>
            <w:pPr>
              <w:spacing w:after="0"/>
            </w:pPr>
            <w:r/>
            <w:r>
              <w:rPr>
                <w:b w:val="0"/>
                <w:i w:val="0"/>
                <w:sz w:val="20"/>
              </w:rPr>
              <w:t>PPI-04</w:t>
            </w:r>
          </w:p>
        </w:tc>
        <w:tc>
          <w:tcPr>
            <w:tcW w:type="dxa" w:w="3061"/>
          </w:tcPr>
          <w:p>
            <w:pPr>
              <w:spacing w:after="0"/>
            </w:pPr>
            <w:r/>
            <w:r>
              <w:rPr>
                <w:b w:val="0"/>
                <w:i w:val="0"/>
                <w:sz w:val="20"/>
              </w:rPr>
              <w:t>Songkok AC Tengah</w:t>
            </w:r>
          </w:p>
        </w:tc>
        <w:tc>
          <w:tcPr>
            <w:tcW w:type="dxa" w:w="1361"/>
          </w:tcPr>
          <w:p>
            <w:pPr>
              <w:spacing w:after="0"/>
              <w:jc w:val="center"/>
            </w:pPr>
            <w:r/>
            <w:r>
              <w:rPr>
                <w:b w:val="0"/>
                <w:i w:val="0"/>
                <w:sz w:val="20"/>
              </w:rPr>
              <w:t>737,7</w:t>
            </w:r>
          </w:p>
        </w:tc>
        <w:tc>
          <w:tcPr>
            <w:tcW w:type="dxa" w:w="1474"/>
          </w:tcPr>
          <w:p>
            <w:pPr>
              <w:spacing w:after="0"/>
              <w:jc w:val="center"/>
            </w:pPr>
            <w:r/>
            <w:r>
              <w:rPr>
                <w:b w:val="0"/>
                <w:i w:val="0"/>
                <w:sz w:val="20"/>
              </w:rPr>
              <w:t>755,3</w:t>
            </w:r>
          </w:p>
        </w:tc>
        <w:tc>
          <w:tcPr>
            <w:tcW w:type="dxa" w:w="1814"/>
          </w:tcPr>
          <w:p>
            <w:pPr>
              <w:spacing w:after="0"/>
              <w:jc w:val="center"/>
            </w:pPr>
            <w:r/>
            <w:r>
              <w:rPr>
                <w:b w:val="0"/>
                <w:i w:val="0"/>
                <w:sz w:val="20"/>
              </w:rPr>
              <w:t>679.770.000</w:t>
            </w:r>
          </w:p>
        </w:tc>
      </w:tr>
      <w:tr>
        <w:tc>
          <w:tcPr>
            <w:tcW w:type="dxa" w:w="964"/>
          </w:tcPr>
          <w:p>
            <w:pPr>
              <w:spacing w:after="0"/>
            </w:pPr>
            <w:r/>
            <w:r>
              <w:rPr>
                <w:b w:val="0"/>
                <w:i w:val="0"/>
                <w:sz w:val="20"/>
              </w:rPr>
              <w:t>PPI-05</w:t>
            </w:r>
          </w:p>
        </w:tc>
        <w:tc>
          <w:tcPr>
            <w:tcW w:type="dxa" w:w="3061"/>
          </w:tcPr>
          <w:p>
            <w:pPr>
              <w:spacing w:after="0"/>
            </w:pPr>
            <w:r/>
            <w:r>
              <w:rPr>
                <w:b w:val="0"/>
                <w:i w:val="0"/>
                <w:sz w:val="20"/>
              </w:rPr>
              <w:t>Songkok AC Samping</w:t>
            </w:r>
          </w:p>
        </w:tc>
        <w:tc>
          <w:tcPr>
            <w:tcW w:type="dxa" w:w="1361"/>
          </w:tcPr>
          <w:p>
            <w:pPr>
              <w:spacing w:after="0"/>
              <w:jc w:val="center"/>
            </w:pPr>
            <w:r/>
            <w:r>
              <w:rPr>
                <w:b w:val="0"/>
                <w:i w:val="0"/>
                <w:sz w:val="20"/>
              </w:rPr>
              <w:t>653,5</w:t>
            </w:r>
          </w:p>
        </w:tc>
        <w:tc>
          <w:tcPr>
            <w:tcW w:type="dxa" w:w="1474"/>
          </w:tcPr>
          <w:p>
            <w:pPr>
              <w:spacing w:after="0"/>
              <w:jc w:val="center"/>
            </w:pPr>
            <w:r/>
            <w:r>
              <w:rPr>
                <w:b w:val="0"/>
                <w:i w:val="0"/>
                <w:sz w:val="20"/>
              </w:rPr>
              <w:t>676,0</w:t>
            </w:r>
          </w:p>
        </w:tc>
        <w:tc>
          <w:tcPr>
            <w:tcW w:type="dxa" w:w="1814"/>
          </w:tcPr>
          <w:p>
            <w:pPr>
              <w:spacing w:after="0"/>
              <w:jc w:val="center"/>
            </w:pPr>
            <w:r/>
            <w:r>
              <w:rPr>
                <w:b w:val="0"/>
                <w:i w:val="0"/>
                <w:sz w:val="20"/>
              </w:rPr>
              <w:t>594.880.000</w:t>
            </w:r>
          </w:p>
        </w:tc>
      </w:tr>
      <w:tr>
        <w:tc>
          <w:tcPr>
            <w:tcW w:type="dxa" w:w="964"/>
          </w:tcPr>
          <w:p>
            <w:pPr>
              <w:spacing w:after="0"/>
            </w:pPr>
            <w:r/>
            <w:r>
              <w:rPr>
                <w:b w:val="0"/>
                <w:i w:val="0"/>
                <w:sz w:val="20"/>
              </w:rPr>
              <w:t>PPI-06</w:t>
            </w:r>
          </w:p>
        </w:tc>
        <w:tc>
          <w:tcPr>
            <w:tcW w:type="dxa" w:w="3061"/>
          </w:tcPr>
          <w:p>
            <w:pPr>
              <w:spacing w:after="0"/>
            </w:pPr>
            <w:r/>
            <w:r>
              <w:rPr>
                <w:b w:val="0"/>
                <w:i w:val="0"/>
                <w:sz w:val="20"/>
              </w:rPr>
              <w:t>Songkok Full AC</w:t>
            </w:r>
          </w:p>
        </w:tc>
        <w:tc>
          <w:tcPr>
            <w:tcW w:type="dxa" w:w="1361"/>
          </w:tcPr>
          <w:p>
            <w:pPr>
              <w:spacing w:after="0"/>
              <w:jc w:val="center"/>
            </w:pPr>
            <w:r/>
            <w:r>
              <w:rPr>
                <w:b w:val="0"/>
                <w:i w:val="0"/>
                <w:sz w:val="20"/>
              </w:rPr>
              <w:t>557,0</w:t>
            </w:r>
          </w:p>
        </w:tc>
        <w:tc>
          <w:tcPr>
            <w:tcW w:type="dxa" w:w="1474"/>
          </w:tcPr>
          <w:p>
            <w:pPr>
              <w:spacing w:after="0"/>
              <w:jc w:val="center"/>
            </w:pPr>
            <w:r/>
            <w:r>
              <w:rPr>
                <w:b w:val="0"/>
                <w:i w:val="0"/>
                <w:sz w:val="20"/>
              </w:rPr>
              <w:t>575,0</w:t>
            </w:r>
          </w:p>
        </w:tc>
        <w:tc>
          <w:tcPr>
            <w:tcW w:type="dxa" w:w="1814"/>
          </w:tcPr>
          <w:p>
            <w:pPr>
              <w:spacing w:after="0"/>
              <w:jc w:val="center"/>
            </w:pPr>
            <w:r/>
            <w:r>
              <w:rPr>
                <w:b w:val="0"/>
                <w:i w:val="0"/>
                <w:sz w:val="20"/>
              </w:rPr>
              <w:t>598.000.000</w:t>
            </w:r>
          </w:p>
        </w:tc>
      </w:tr>
      <w:tr>
        <w:tc>
          <w:tcPr>
            <w:tcW w:type="dxa" w:w="964"/>
          </w:tcPr>
          <w:p>
            <w:pPr>
              <w:spacing w:after="0"/>
            </w:pPr>
            <w:r/>
            <w:r>
              <w:rPr>
                <w:b w:val="0"/>
                <w:i w:val="0"/>
                <w:sz w:val="20"/>
              </w:rPr>
              <w:t>PPI-07</w:t>
            </w:r>
          </w:p>
        </w:tc>
        <w:tc>
          <w:tcPr>
            <w:tcW w:type="dxa" w:w="3061"/>
          </w:tcPr>
          <w:p>
            <w:pPr>
              <w:spacing w:after="0"/>
            </w:pPr>
            <w:r/>
            <w:r>
              <w:rPr>
                <w:b w:val="0"/>
                <w:i w:val="0"/>
                <w:sz w:val="20"/>
              </w:rPr>
              <w:t>Songkok Full AC Tengah</w:t>
            </w:r>
          </w:p>
        </w:tc>
        <w:tc>
          <w:tcPr>
            <w:tcW w:type="dxa" w:w="1361"/>
          </w:tcPr>
          <w:p>
            <w:pPr>
              <w:spacing w:after="0"/>
              <w:jc w:val="center"/>
            </w:pPr>
            <w:r/>
            <w:r>
              <w:rPr>
                <w:b w:val="0"/>
                <w:i w:val="0"/>
                <w:sz w:val="20"/>
              </w:rPr>
              <w:t>463,5</w:t>
            </w:r>
          </w:p>
        </w:tc>
        <w:tc>
          <w:tcPr>
            <w:tcW w:type="dxa" w:w="1474"/>
          </w:tcPr>
          <w:p>
            <w:pPr>
              <w:spacing w:after="0"/>
              <w:jc w:val="center"/>
            </w:pPr>
            <w:r/>
            <w:r>
              <w:rPr>
                <w:b w:val="0"/>
                <w:i w:val="0"/>
                <w:sz w:val="20"/>
              </w:rPr>
              <w:t>481,3</w:t>
            </w:r>
          </w:p>
        </w:tc>
        <w:tc>
          <w:tcPr>
            <w:tcW w:type="dxa" w:w="1814"/>
          </w:tcPr>
          <w:p>
            <w:pPr>
              <w:spacing w:after="0"/>
              <w:jc w:val="center"/>
            </w:pPr>
            <w:r/>
            <w:r>
              <w:rPr>
                <w:b w:val="0"/>
                <w:i w:val="0"/>
                <w:sz w:val="20"/>
              </w:rPr>
              <w:t>529.430.000</w:t>
            </w:r>
          </w:p>
        </w:tc>
      </w:tr>
      <w:tr>
        <w:tc>
          <w:tcPr>
            <w:tcW w:type="dxa" w:w="964"/>
          </w:tcPr>
          <w:p>
            <w:pPr>
              <w:spacing w:after="0"/>
            </w:pPr>
            <w:r/>
            <w:r>
              <w:rPr>
                <w:b w:val="0"/>
                <w:i w:val="0"/>
                <w:sz w:val="20"/>
              </w:rPr>
              <w:t>PPI-08</w:t>
            </w:r>
          </w:p>
        </w:tc>
        <w:tc>
          <w:tcPr>
            <w:tcW w:type="dxa" w:w="3061"/>
          </w:tcPr>
          <w:p>
            <w:pPr>
              <w:spacing w:after="0"/>
            </w:pPr>
            <w:r/>
            <w:r>
              <w:rPr>
                <w:b w:val="0"/>
                <w:i w:val="0"/>
                <w:sz w:val="20"/>
              </w:rPr>
              <w:t>Songkok Susun</w:t>
            </w:r>
          </w:p>
        </w:tc>
        <w:tc>
          <w:tcPr>
            <w:tcW w:type="dxa" w:w="1361"/>
          </w:tcPr>
          <w:p>
            <w:pPr>
              <w:spacing w:after="0"/>
              <w:jc w:val="center"/>
            </w:pPr>
            <w:r/>
            <w:r>
              <w:rPr>
                <w:b w:val="0"/>
                <w:i w:val="0"/>
                <w:sz w:val="20"/>
              </w:rPr>
              <w:t>370,8</w:t>
            </w:r>
          </w:p>
        </w:tc>
        <w:tc>
          <w:tcPr>
            <w:tcW w:type="dxa" w:w="1474"/>
          </w:tcPr>
          <w:p>
            <w:pPr>
              <w:spacing w:after="0"/>
              <w:jc w:val="center"/>
            </w:pPr>
            <w:r/>
            <w:r>
              <w:rPr>
                <w:b w:val="0"/>
                <w:i w:val="0"/>
                <w:sz w:val="20"/>
              </w:rPr>
              <w:t>380,0</w:t>
            </w:r>
          </w:p>
        </w:tc>
        <w:tc>
          <w:tcPr>
            <w:tcW w:type="dxa" w:w="1814"/>
          </w:tcPr>
          <w:p>
            <w:pPr>
              <w:spacing w:after="0"/>
              <w:jc w:val="center"/>
            </w:pPr>
            <w:r/>
            <w:r>
              <w:rPr>
                <w:b w:val="0"/>
                <w:i w:val="0"/>
                <w:sz w:val="20"/>
              </w:rPr>
              <w:t>349.600.000</w:t>
            </w:r>
          </w:p>
        </w:tc>
      </w:tr>
      <w:tr>
        <w:tc>
          <w:tcPr>
            <w:tcW w:type="dxa" w:w="964"/>
          </w:tcPr>
          <w:p>
            <w:pPr>
              <w:spacing w:after="0"/>
            </w:pPr>
            <w:r/>
            <w:r>
              <w:rPr>
                <w:b w:val="0"/>
                <w:i w:val="0"/>
                <w:sz w:val="20"/>
              </w:rPr>
              <w:t>PPI-09</w:t>
            </w:r>
          </w:p>
        </w:tc>
        <w:tc>
          <w:tcPr>
            <w:tcW w:type="dxa" w:w="3061"/>
          </w:tcPr>
          <w:p>
            <w:pPr>
              <w:spacing w:after="0"/>
            </w:pPr>
            <w:r/>
            <w:r>
              <w:rPr>
                <w:b w:val="0"/>
                <w:i w:val="0"/>
                <w:sz w:val="20"/>
              </w:rPr>
              <w:t>Songkok Motif Gunungan</w:t>
            </w:r>
          </w:p>
        </w:tc>
        <w:tc>
          <w:tcPr>
            <w:tcW w:type="dxa" w:w="1361"/>
          </w:tcPr>
          <w:p>
            <w:pPr>
              <w:spacing w:after="0"/>
              <w:jc w:val="center"/>
            </w:pPr>
            <w:r/>
            <w:r>
              <w:rPr>
                <w:b w:val="0"/>
                <w:i w:val="0"/>
                <w:sz w:val="20"/>
              </w:rPr>
              <w:t>276,4</w:t>
            </w:r>
          </w:p>
        </w:tc>
        <w:tc>
          <w:tcPr>
            <w:tcW w:type="dxa" w:w="1474"/>
          </w:tcPr>
          <w:p>
            <w:pPr>
              <w:spacing w:after="0"/>
              <w:jc w:val="center"/>
            </w:pPr>
            <w:r/>
            <w:r>
              <w:rPr>
                <w:b w:val="0"/>
                <w:i w:val="0"/>
                <w:sz w:val="20"/>
              </w:rPr>
              <w:t>282,7</w:t>
            </w:r>
          </w:p>
        </w:tc>
        <w:tc>
          <w:tcPr>
            <w:tcW w:type="dxa" w:w="1814"/>
          </w:tcPr>
          <w:p>
            <w:pPr>
              <w:spacing w:after="0"/>
              <w:jc w:val="center"/>
            </w:pPr>
            <w:r/>
            <w:r>
              <w:rPr>
                <w:b w:val="0"/>
                <w:i w:val="0"/>
                <w:sz w:val="20"/>
              </w:rPr>
              <w:t>265.738.000</w:t>
            </w:r>
          </w:p>
        </w:tc>
      </w:tr>
      <w:tr>
        <w:tc>
          <w:tcPr>
            <w:tcW w:type="dxa" w:w="964"/>
          </w:tcPr>
          <w:p>
            <w:pPr>
              <w:spacing w:after="0"/>
            </w:pPr>
            <w:r/>
            <w:r>
              <w:rPr>
                <w:b w:val="0"/>
                <w:i w:val="0"/>
                <w:sz w:val="20"/>
              </w:rPr>
              <w:t>PPI-10</w:t>
            </w:r>
          </w:p>
        </w:tc>
        <w:tc>
          <w:tcPr>
            <w:tcW w:type="dxa" w:w="3061"/>
          </w:tcPr>
          <w:p>
            <w:pPr>
              <w:spacing w:after="0"/>
            </w:pPr>
            <w:r/>
            <w:r>
              <w:rPr>
                <w:b w:val="0"/>
                <w:i w:val="0"/>
                <w:sz w:val="20"/>
              </w:rPr>
              <w:t>Songkok Motif Selayar</w:t>
            </w:r>
          </w:p>
        </w:tc>
        <w:tc>
          <w:tcPr>
            <w:tcW w:type="dxa" w:w="1361"/>
          </w:tcPr>
          <w:p>
            <w:pPr>
              <w:spacing w:after="0"/>
              <w:jc w:val="center"/>
            </w:pPr>
            <w:r/>
            <w:r>
              <w:rPr>
                <w:b w:val="0"/>
                <w:i w:val="0"/>
                <w:sz w:val="20"/>
              </w:rPr>
              <w:t>280,4</w:t>
            </w:r>
          </w:p>
        </w:tc>
        <w:tc>
          <w:tcPr>
            <w:tcW w:type="dxa" w:w="1474"/>
          </w:tcPr>
          <w:p>
            <w:pPr>
              <w:spacing w:after="0"/>
              <w:jc w:val="center"/>
            </w:pPr>
            <w:r/>
            <w:r>
              <w:rPr>
                <w:b w:val="0"/>
                <w:i w:val="0"/>
                <w:sz w:val="20"/>
              </w:rPr>
              <w:t>288,0</w:t>
            </w:r>
          </w:p>
        </w:tc>
        <w:tc>
          <w:tcPr>
            <w:tcW w:type="dxa" w:w="1814"/>
          </w:tcPr>
          <w:p>
            <w:pPr>
              <w:spacing w:after="0"/>
              <w:jc w:val="center"/>
            </w:pPr>
            <w:r/>
            <w:r>
              <w:rPr>
                <w:b w:val="0"/>
                <w:i w:val="0"/>
                <w:sz w:val="20"/>
              </w:rPr>
              <w:t>282.240.000</w:t>
            </w:r>
          </w:p>
        </w:tc>
      </w:tr>
      <w:tr>
        <w:tc>
          <w:tcPr>
            <w:tcW w:type="dxa" w:w="964"/>
          </w:tcPr>
          <w:p>
            <w:pPr>
              <w:spacing w:after="0"/>
            </w:pPr>
            <w:r/>
            <w:r>
              <w:rPr>
                <w:b w:val="0"/>
                <w:i w:val="0"/>
                <w:sz w:val="20"/>
              </w:rPr>
              <w:t>PPI-11</w:t>
            </w:r>
          </w:p>
        </w:tc>
        <w:tc>
          <w:tcPr>
            <w:tcW w:type="dxa" w:w="3061"/>
          </w:tcPr>
          <w:p>
            <w:pPr>
              <w:spacing w:after="0"/>
            </w:pPr>
            <w:r/>
            <w:r>
              <w:rPr>
                <w:b w:val="0"/>
                <w:i w:val="0"/>
                <w:sz w:val="20"/>
              </w:rPr>
              <w:t>Songkok Motif Bintang</w:t>
            </w:r>
          </w:p>
        </w:tc>
        <w:tc>
          <w:tcPr>
            <w:tcW w:type="dxa" w:w="1361"/>
          </w:tcPr>
          <w:p>
            <w:pPr>
              <w:spacing w:after="0"/>
              <w:jc w:val="center"/>
            </w:pPr>
            <w:r/>
            <w:r>
              <w:rPr>
                <w:b w:val="0"/>
                <w:i w:val="0"/>
                <w:sz w:val="20"/>
              </w:rPr>
              <w:t>275,2</w:t>
            </w:r>
          </w:p>
        </w:tc>
        <w:tc>
          <w:tcPr>
            <w:tcW w:type="dxa" w:w="1474"/>
          </w:tcPr>
          <w:p>
            <w:pPr>
              <w:spacing w:after="0"/>
              <w:jc w:val="center"/>
            </w:pPr>
            <w:r/>
            <w:r>
              <w:rPr>
                <w:b w:val="0"/>
                <w:i w:val="0"/>
                <w:sz w:val="20"/>
              </w:rPr>
              <w:t>285,1</w:t>
            </w:r>
          </w:p>
        </w:tc>
        <w:tc>
          <w:tcPr>
            <w:tcW w:type="dxa" w:w="1814"/>
          </w:tcPr>
          <w:p>
            <w:pPr>
              <w:spacing w:after="0"/>
              <w:jc w:val="center"/>
            </w:pPr>
            <w:r/>
            <w:r>
              <w:rPr>
                <w:b w:val="0"/>
                <w:i w:val="0"/>
                <w:sz w:val="20"/>
              </w:rPr>
              <w:t>273.696.000</w:t>
            </w:r>
          </w:p>
        </w:tc>
      </w:tr>
      <w:tr>
        <w:tc>
          <w:tcPr>
            <w:tcW w:type="dxa" w:w="964"/>
          </w:tcPr>
          <w:p>
            <w:pPr>
              <w:spacing w:after="0"/>
            </w:pPr>
            <w:r/>
            <w:r>
              <w:rPr>
                <w:b w:val="0"/>
                <w:i w:val="0"/>
                <w:sz w:val="20"/>
              </w:rPr>
              <w:t>PPI-12</w:t>
            </w:r>
          </w:p>
        </w:tc>
        <w:tc>
          <w:tcPr>
            <w:tcW w:type="dxa" w:w="3061"/>
          </w:tcPr>
          <w:p>
            <w:pPr>
              <w:spacing w:after="0"/>
            </w:pPr>
            <w:r/>
            <w:r>
              <w:rPr>
                <w:b w:val="0"/>
                <w:i w:val="0"/>
                <w:sz w:val="20"/>
              </w:rPr>
              <w:t>Songkok Motif Takah Silver</w:t>
            </w:r>
          </w:p>
        </w:tc>
        <w:tc>
          <w:tcPr>
            <w:tcW w:type="dxa" w:w="1361"/>
          </w:tcPr>
          <w:p>
            <w:pPr>
              <w:spacing w:after="0"/>
              <w:jc w:val="center"/>
            </w:pPr>
            <w:r/>
            <w:r>
              <w:rPr>
                <w:b w:val="0"/>
                <w:i w:val="0"/>
                <w:sz w:val="20"/>
              </w:rPr>
              <w:t>233,3</w:t>
            </w:r>
          </w:p>
        </w:tc>
        <w:tc>
          <w:tcPr>
            <w:tcW w:type="dxa" w:w="1474"/>
          </w:tcPr>
          <w:p>
            <w:pPr>
              <w:spacing w:after="0"/>
              <w:jc w:val="center"/>
            </w:pPr>
            <w:r/>
            <w:r>
              <w:rPr>
                <w:b w:val="0"/>
                <w:i w:val="0"/>
                <w:sz w:val="20"/>
              </w:rPr>
              <w:t>238,4</w:t>
            </w:r>
          </w:p>
        </w:tc>
        <w:tc>
          <w:tcPr>
            <w:tcW w:type="dxa" w:w="1814"/>
          </w:tcPr>
          <w:p>
            <w:pPr>
              <w:spacing w:after="0"/>
              <w:jc w:val="center"/>
            </w:pPr>
            <w:r/>
            <w:r>
              <w:rPr>
                <w:b w:val="0"/>
                <w:i w:val="0"/>
                <w:sz w:val="20"/>
              </w:rPr>
              <w:t>219.328.000</w:t>
            </w:r>
          </w:p>
        </w:tc>
      </w:tr>
      <w:tr>
        <w:tc>
          <w:tcPr>
            <w:tcW w:type="dxa" w:w="964"/>
          </w:tcPr>
          <w:p>
            <w:pPr>
              <w:spacing w:after="0"/>
            </w:pPr>
            <w:r/>
            <w:r>
              <w:rPr>
                <w:b w:val="0"/>
                <w:i w:val="0"/>
                <w:sz w:val="20"/>
              </w:rPr>
              <w:t>PPI-13</w:t>
            </w:r>
          </w:p>
        </w:tc>
        <w:tc>
          <w:tcPr>
            <w:tcW w:type="dxa" w:w="3061"/>
          </w:tcPr>
          <w:p>
            <w:pPr>
              <w:spacing w:after="0"/>
            </w:pPr>
            <w:r/>
            <w:r>
              <w:rPr>
                <w:b w:val="0"/>
                <w:i w:val="0"/>
                <w:sz w:val="20"/>
              </w:rPr>
              <w:t>Songkok Motif Takah Gold</w:t>
            </w:r>
          </w:p>
        </w:tc>
        <w:tc>
          <w:tcPr>
            <w:tcW w:type="dxa" w:w="1361"/>
          </w:tcPr>
          <w:p>
            <w:pPr>
              <w:spacing w:after="0"/>
              <w:jc w:val="center"/>
            </w:pPr>
            <w:r/>
            <w:r>
              <w:rPr>
                <w:b w:val="0"/>
                <w:i w:val="0"/>
                <w:sz w:val="20"/>
              </w:rPr>
              <w:t>229,4</w:t>
            </w:r>
          </w:p>
        </w:tc>
        <w:tc>
          <w:tcPr>
            <w:tcW w:type="dxa" w:w="1474"/>
          </w:tcPr>
          <w:p>
            <w:pPr>
              <w:spacing w:after="0"/>
              <w:jc w:val="center"/>
            </w:pPr>
            <w:r/>
            <w:r>
              <w:rPr>
                <w:b w:val="0"/>
                <w:i w:val="0"/>
                <w:sz w:val="20"/>
              </w:rPr>
              <w:t>236,8</w:t>
            </w:r>
          </w:p>
        </w:tc>
        <w:tc>
          <w:tcPr>
            <w:tcW w:type="dxa" w:w="1814"/>
          </w:tcPr>
          <w:p>
            <w:pPr>
              <w:spacing w:after="0"/>
              <w:jc w:val="center"/>
            </w:pPr>
            <w:r/>
            <w:r>
              <w:rPr>
                <w:b w:val="0"/>
                <w:i w:val="0"/>
                <w:sz w:val="20"/>
              </w:rPr>
              <w:t>227.328.000</w:t>
            </w:r>
          </w:p>
        </w:tc>
      </w:tr>
      <w:tr>
        <w:tc>
          <w:tcPr>
            <w:tcW w:type="dxa" w:w="964"/>
          </w:tcPr>
          <w:p>
            <w:pPr>
              <w:spacing w:after="0"/>
            </w:pPr>
            <w:r/>
            <w:r>
              <w:rPr>
                <w:b w:val="0"/>
                <w:i w:val="0"/>
                <w:sz w:val="20"/>
              </w:rPr>
              <w:t>PPI-14</w:t>
            </w:r>
          </w:p>
        </w:tc>
        <w:tc>
          <w:tcPr>
            <w:tcW w:type="dxa" w:w="3061"/>
          </w:tcPr>
          <w:p>
            <w:pPr>
              <w:spacing w:after="0"/>
            </w:pPr>
            <w:r/>
            <w:r>
              <w:rPr>
                <w:b w:val="0"/>
                <w:i w:val="0"/>
                <w:sz w:val="20"/>
              </w:rPr>
              <w:t>Songkok Motif Starlight Silver</w:t>
            </w:r>
          </w:p>
        </w:tc>
        <w:tc>
          <w:tcPr>
            <w:tcW w:type="dxa" w:w="1361"/>
          </w:tcPr>
          <w:p>
            <w:pPr>
              <w:spacing w:after="0"/>
              <w:jc w:val="center"/>
            </w:pPr>
            <w:r/>
            <w:r>
              <w:rPr>
                <w:b w:val="0"/>
                <w:i w:val="0"/>
                <w:sz w:val="20"/>
              </w:rPr>
              <w:t>188,9</w:t>
            </w:r>
          </w:p>
        </w:tc>
        <w:tc>
          <w:tcPr>
            <w:tcW w:type="dxa" w:w="1474"/>
          </w:tcPr>
          <w:p>
            <w:pPr>
              <w:spacing w:after="0"/>
              <w:jc w:val="center"/>
            </w:pPr>
            <w:r/>
            <w:r>
              <w:rPr>
                <w:b w:val="0"/>
                <w:i w:val="0"/>
                <w:sz w:val="20"/>
              </w:rPr>
              <w:t>194,5</w:t>
            </w:r>
          </w:p>
        </w:tc>
        <w:tc>
          <w:tcPr>
            <w:tcW w:type="dxa" w:w="1814"/>
          </w:tcPr>
          <w:p>
            <w:pPr>
              <w:spacing w:after="0"/>
              <w:jc w:val="center"/>
            </w:pPr>
            <w:r/>
            <w:r>
              <w:rPr>
                <w:b w:val="0"/>
                <w:i w:val="0"/>
                <w:sz w:val="20"/>
              </w:rPr>
              <w:t>182.830.000</w:t>
            </w:r>
          </w:p>
        </w:tc>
      </w:tr>
      <w:tr>
        <w:tc>
          <w:tcPr>
            <w:tcW w:type="dxa" w:w="964"/>
          </w:tcPr>
          <w:p>
            <w:pPr>
              <w:spacing w:after="0"/>
            </w:pPr>
            <w:r/>
            <w:r>
              <w:rPr>
                <w:b w:val="0"/>
                <w:i w:val="0"/>
                <w:sz w:val="20"/>
              </w:rPr>
              <w:t>PPI-15</w:t>
            </w:r>
          </w:p>
        </w:tc>
        <w:tc>
          <w:tcPr>
            <w:tcW w:type="dxa" w:w="3061"/>
          </w:tcPr>
          <w:p>
            <w:pPr>
              <w:spacing w:after="0"/>
            </w:pPr>
            <w:r/>
            <w:r>
              <w:rPr>
                <w:b w:val="0"/>
                <w:i w:val="0"/>
                <w:sz w:val="20"/>
              </w:rPr>
              <w:t>Songkok Motif Starlight Gold</w:t>
            </w:r>
          </w:p>
        </w:tc>
        <w:tc>
          <w:tcPr>
            <w:tcW w:type="dxa" w:w="1361"/>
          </w:tcPr>
          <w:p>
            <w:pPr>
              <w:spacing w:after="0"/>
              <w:jc w:val="center"/>
            </w:pPr>
            <w:r/>
            <w:r>
              <w:rPr>
                <w:b w:val="0"/>
                <w:i w:val="0"/>
                <w:sz w:val="20"/>
              </w:rPr>
              <w:t>186,6</w:t>
            </w:r>
          </w:p>
        </w:tc>
        <w:tc>
          <w:tcPr>
            <w:tcW w:type="dxa" w:w="1474"/>
          </w:tcPr>
          <w:p>
            <w:pPr>
              <w:spacing w:after="0"/>
              <w:jc w:val="center"/>
            </w:pPr>
            <w:r/>
            <w:r>
              <w:rPr>
                <w:b w:val="0"/>
                <w:i w:val="0"/>
                <w:sz w:val="20"/>
              </w:rPr>
              <w:t>193,1</w:t>
            </w:r>
          </w:p>
        </w:tc>
        <w:tc>
          <w:tcPr>
            <w:tcW w:type="dxa" w:w="1814"/>
          </w:tcPr>
          <w:p>
            <w:pPr>
              <w:spacing w:after="0"/>
              <w:jc w:val="center"/>
            </w:pPr>
            <w:r/>
            <w:r>
              <w:rPr>
                <w:b w:val="0"/>
                <w:i w:val="0"/>
                <w:sz w:val="20"/>
              </w:rPr>
              <w:t>193.100.000</w:t>
            </w:r>
          </w:p>
        </w:tc>
      </w:tr>
      <w:tr>
        <w:tc>
          <w:tcPr>
            <w:tcW w:type="dxa" w:w="964"/>
          </w:tcPr>
          <w:p>
            <w:pPr>
              <w:spacing w:after="0"/>
            </w:pPr>
            <w:r/>
            <w:r>
              <w:rPr>
                <w:b w:val="0"/>
                <w:i w:val="0"/>
                <w:sz w:val="20"/>
              </w:rPr>
              <w:t>PPI-16</w:t>
            </w:r>
          </w:p>
        </w:tc>
        <w:tc>
          <w:tcPr>
            <w:tcW w:type="dxa" w:w="3061"/>
          </w:tcPr>
          <w:p>
            <w:pPr>
              <w:spacing w:after="0"/>
            </w:pPr>
            <w:r/>
            <w:r>
              <w:rPr>
                <w:b w:val="0"/>
                <w:i w:val="0"/>
                <w:sz w:val="20"/>
              </w:rPr>
              <w:t>Songkok Motif Circle Gold</w:t>
            </w:r>
          </w:p>
        </w:tc>
        <w:tc>
          <w:tcPr>
            <w:tcW w:type="dxa" w:w="1361"/>
          </w:tcPr>
          <w:p>
            <w:pPr>
              <w:spacing w:after="0"/>
              <w:jc w:val="center"/>
            </w:pPr>
            <w:r/>
            <w:r>
              <w:rPr>
                <w:b w:val="0"/>
                <w:i w:val="0"/>
                <w:sz w:val="20"/>
              </w:rPr>
              <w:t>184,7</w:t>
            </w:r>
          </w:p>
        </w:tc>
        <w:tc>
          <w:tcPr>
            <w:tcW w:type="dxa" w:w="1474"/>
          </w:tcPr>
          <w:p>
            <w:pPr>
              <w:spacing w:after="0"/>
              <w:jc w:val="center"/>
            </w:pPr>
            <w:r/>
            <w:r>
              <w:rPr>
                <w:b w:val="0"/>
                <w:i w:val="0"/>
                <w:sz w:val="20"/>
              </w:rPr>
              <w:t>188,8</w:t>
            </w:r>
          </w:p>
        </w:tc>
        <w:tc>
          <w:tcPr>
            <w:tcW w:type="dxa" w:w="1814"/>
          </w:tcPr>
          <w:p>
            <w:pPr>
              <w:spacing w:after="0"/>
              <w:jc w:val="center"/>
            </w:pPr>
            <w:r/>
            <w:r>
              <w:rPr>
                <w:b w:val="0"/>
                <w:i w:val="0"/>
                <w:sz w:val="20"/>
              </w:rPr>
              <w:t>185.024.000</w:t>
            </w:r>
          </w:p>
        </w:tc>
      </w:tr>
      <w:tr>
        <w:tc>
          <w:tcPr>
            <w:tcW w:type="dxa" w:w="964"/>
          </w:tcPr>
          <w:p>
            <w:pPr>
              <w:spacing w:after="0"/>
            </w:pPr>
            <w:r/>
            <w:r>
              <w:rPr>
                <w:b w:val="0"/>
                <w:i w:val="0"/>
                <w:sz w:val="20"/>
              </w:rPr>
              <w:t>PPI-17</w:t>
            </w:r>
          </w:p>
        </w:tc>
        <w:tc>
          <w:tcPr>
            <w:tcW w:type="dxa" w:w="3061"/>
          </w:tcPr>
          <w:p>
            <w:pPr>
              <w:spacing w:after="0"/>
            </w:pPr>
            <w:r/>
            <w:r>
              <w:rPr>
                <w:b w:val="0"/>
                <w:i w:val="0"/>
                <w:sz w:val="20"/>
              </w:rPr>
              <w:t>Songkok Motif Sparkling Silver</w:t>
            </w:r>
          </w:p>
        </w:tc>
        <w:tc>
          <w:tcPr>
            <w:tcW w:type="dxa" w:w="1361"/>
          </w:tcPr>
          <w:p>
            <w:pPr>
              <w:spacing w:after="0"/>
              <w:jc w:val="center"/>
            </w:pPr>
            <w:r/>
            <w:r>
              <w:rPr>
                <w:b w:val="0"/>
                <w:i w:val="0"/>
                <w:sz w:val="20"/>
              </w:rPr>
              <w:t>137,6</w:t>
            </w:r>
          </w:p>
        </w:tc>
        <w:tc>
          <w:tcPr>
            <w:tcW w:type="dxa" w:w="1474"/>
          </w:tcPr>
          <w:p>
            <w:pPr>
              <w:spacing w:after="0"/>
              <w:jc w:val="center"/>
            </w:pPr>
            <w:r/>
            <w:r>
              <w:rPr>
                <w:b w:val="0"/>
                <w:i w:val="0"/>
                <w:sz w:val="20"/>
              </w:rPr>
              <w:t>141,4</w:t>
            </w:r>
          </w:p>
        </w:tc>
        <w:tc>
          <w:tcPr>
            <w:tcW w:type="dxa" w:w="1814"/>
          </w:tcPr>
          <w:p>
            <w:pPr>
              <w:spacing w:after="0"/>
              <w:jc w:val="center"/>
            </w:pPr>
            <w:r/>
            <w:r>
              <w:rPr>
                <w:b w:val="0"/>
                <w:i w:val="0"/>
                <w:sz w:val="20"/>
              </w:rPr>
              <w:t>130.088.000</w:t>
            </w:r>
          </w:p>
        </w:tc>
      </w:tr>
      <w:tr>
        <w:tc>
          <w:tcPr>
            <w:tcW w:type="dxa" w:w="964"/>
          </w:tcPr>
          <w:p>
            <w:pPr>
              <w:spacing w:after="0"/>
            </w:pPr>
            <w:r/>
            <w:r>
              <w:rPr>
                <w:b w:val="0"/>
                <w:i w:val="0"/>
                <w:sz w:val="20"/>
              </w:rPr>
              <w:t>PPI-18</w:t>
            </w:r>
          </w:p>
        </w:tc>
        <w:tc>
          <w:tcPr>
            <w:tcW w:type="dxa" w:w="3061"/>
          </w:tcPr>
          <w:p>
            <w:pPr>
              <w:spacing w:after="0"/>
            </w:pPr>
            <w:r/>
            <w:r>
              <w:rPr>
                <w:b w:val="0"/>
                <w:i w:val="0"/>
                <w:sz w:val="20"/>
              </w:rPr>
              <w:t>Songkok Motif Sparkling Gold</w:t>
            </w:r>
          </w:p>
        </w:tc>
        <w:tc>
          <w:tcPr>
            <w:tcW w:type="dxa" w:w="1361"/>
          </w:tcPr>
          <w:p>
            <w:pPr>
              <w:spacing w:after="0"/>
              <w:jc w:val="center"/>
            </w:pPr>
            <w:r/>
            <w:r>
              <w:rPr>
                <w:b w:val="0"/>
                <w:i w:val="0"/>
                <w:sz w:val="20"/>
              </w:rPr>
              <w:t>139,2</w:t>
            </w:r>
          </w:p>
        </w:tc>
        <w:tc>
          <w:tcPr>
            <w:tcW w:type="dxa" w:w="1474"/>
          </w:tcPr>
          <w:p>
            <w:pPr>
              <w:spacing w:after="0"/>
              <w:jc w:val="center"/>
            </w:pPr>
            <w:r/>
            <w:r>
              <w:rPr>
                <w:b w:val="0"/>
                <w:i w:val="0"/>
                <w:sz w:val="20"/>
              </w:rPr>
              <w:t>144,0</w:t>
            </w:r>
          </w:p>
        </w:tc>
        <w:tc>
          <w:tcPr>
            <w:tcW w:type="dxa" w:w="1814"/>
          </w:tcPr>
          <w:p>
            <w:pPr>
              <w:spacing w:after="0"/>
              <w:jc w:val="center"/>
            </w:pPr>
            <w:r/>
            <w:r>
              <w:rPr>
                <w:b w:val="0"/>
                <w:i w:val="0"/>
                <w:sz w:val="20"/>
              </w:rPr>
              <w:t>141.120.000</w:t>
            </w:r>
          </w:p>
        </w:tc>
      </w:tr>
      <w:tr>
        <w:tc>
          <w:tcPr>
            <w:tcW w:type="dxa" w:w="964"/>
          </w:tcPr>
          <w:p>
            <w:pPr>
              <w:spacing w:after="0"/>
            </w:pPr>
            <w:r/>
            <w:r>
              <w:rPr>
                <w:b w:val="0"/>
                <w:i w:val="0"/>
                <w:sz w:val="20"/>
              </w:rPr>
              <w:t>PPI-19</w:t>
            </w:r>
          </w:p>
        </w:tc>
        <w:tc>
          <w:tcPr>
            <w:tcW w:type="dxa" w:w="3061"/>
          </w:tcPr>
          <w:p>
            <w:pPr>
              <w:spacing w:after="0"/>
            </w:pPr>
            <w:r/>
            <w:r>
              <w:rPr>
                <w:b w:val="0"/>
                <w:i w:val="0"/>
                <w:sz w:val="20"/>
              </w:rPr>
              <w:t>Songkok Motif Fence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143,1</w:t>
            </w:r>
          </w:p>
        </w:tc>
        <w:tc>
          <w:tcPr>
            <w:tcW w:type="dxa" w:w="1814"/>
          </w:tcPr>
          <w:p>
            <w:pPr>
              <w:spacing w:after="0"/>
              <w:jc w:val="center"/>
            </w:pPr>
            <w:r/>
            <w:r>
              <w:rPr>
                <w:b w:val="0"/>
                <w:i w:val="0"/>
                <w:sz w:val="20"/>
              </w:rPr>
              <w:t>143.100.000</w:t>
            </w:r>
          </w:p>
        </w:tc>
      </w:tr>
      <w:tr>
        <w:tc>
          <w:tcPr>
            <w:tcW w:type="dxa" w:w="964"/>
          </w:tcPr>
          <w:p>
            <w:pPr>
              <w:spacing w:after="0"/>
            </w:pPr>
            <w:r/>
            <w:r>
              <w:rPr>
                <w:b w:val="0"/>
                <w:i w:val="0"/>
                <w:sz w:val="20"/>
              </w:rPr>
              <w:t>PPI-20</w:t>
            </w:r>
          </w:p>
        </w:tc>
        <w:tc>
          <w:tcPr>
            <w:tcW w:type="dxa" w:w="3061"/>
          </w:tcPr>
          <w:p>
            <w:pPr>
              <w:spacing w:after="0"/>
            </w:pPr>
            <w:r/>
            <w:r>
              <w:rPr>
                <w:b w:val="0"/>
                <w:i w:val="0"/>
                <w:sz w:val="20"/>
              </w:rPr>
              <w:t>Songkok Motif Pyramid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143,2</w:t>
            </w:r>
          </w:p>
        </w:tc>
        <w:tc>
          <w:tcPr>
            <w:tcW w:type="dxa" w:w="1814"/>
          </w:tcPr>
          <w:p>
            <w:pPr>
              <w:spacing w:after="0"/>
              <w:jc w:val="center"/>
            </w:pPr>
            <w:r/>
            <w:r>
              <w:rPr>
                <w:b w:val="0"/>
                <w:i w:val="0"/>
                <w:sz w:val="20"/>
              </w:rPr>
              <w:t>143.200.000</w:t>
            </w:r>
          </w:p>
        </w:tc>
      </w:tr>
      <w:tr>
        <w:tc>
          <w:tcPr>
            <w:tcW w:type="dxa" w:w="964"/>
          </w:tcPr>
          <w:p>
            <w:pPr>
              <w:spacing w:after="0"/>
            </w:pPr>
            <w:r/>
            <w:r>
              <w:rPr>
                <w:b w:val="0"/>
                <w:i w:val="0"/>
                <w:sz w:val="20"/>
              </w:rPr>
              <w:t>PPI-21</w:t>
            </w:r>
          </w:p>
        </w:tc>
        <w:tc>
          <w:tcPr>
            <w:tcW w:type="dxa" w:w="3061"/>
          </w:tcPr>
          <w:p>
            <w:pPr>
              <w:spacing w:after="0"/>
            </w:pPr>
            <w:r/>
            <w:r>
              <w:rPr>
                <w:b w:val="0"/>
                <w:i w:val="0"/>
                <w:sz w:val="20"/>
              </w:rPr>
              <w:t>Songkok Motif Fawwaz Silver</w:t>
            </w:r>
          </w:p>
        </w:tc>
        <w:tc>
          <w:tcPr>
            <w:tcW w:type="dxa" w:w="1361"/>
          </w:tcPr>
          <w:p>
            <w:pPr>
              <w:spacing w:after="0"/>
              <w:jc w:val="center"/>
            </w:pPr>
            <w:r/>
            <w:r>
              <w:rPr>
                <w:b w:val="0"/>
                <w:i w:val="0"/>
                <w:sz w:val="20"/>
              </w:rPr>
              <w:t>94,2</w:t>
            </w:r>
          </w:p>
        </w:tc>
        <w:tc>
          <w:tcPr>
            <w:tcW w:type="dxa" w:w="1474"/>
          </w:tcPr>
          <w:p>
            <w:pPr>
              <w:spacing w:after="0"/>
              <w:jc w:val="center"/>
            </w:pPr>
            <w:r/>
            <w:r>
              <w:rPr>
                <w:b w:val="0"/>
                <w:i w:val="0"/>
                <w:sz w:val="20"/>
              </w:rPr>
              <w:t>97,7</w:t>
            </w:r>
          </w:p>
        </w:tc>
        <w:tc>
          <w:tcPr>
            <w:tcW w:type="dxa" w:w="1814"/>
          </w:tcPr>
          <w:p>
            <w:pPr>
              <w:spacing w:after="0"/>
              <w:jc w:val="center"/>
            </w:pPr>
            <w:r/>
            <w:r>
              <w:rPr>
                <w:b w:val="0"/>
                <w:i w:val="0"/>
                <w:sz w:val="20"/>
              </w:rPr>
              <w:t>91.838.000</w:t>
            </w:r>
          </w:p>
        </w:tc>
      </w:tr>
      <w:tr>
        <w:tc>
          <w:tcPr>
            <w:tcW w:type="dxa" w:w="964"/>
          </w:tcPr>
          <w:p>
            <w:pPr>
              <w:spacing w:after="0"/>
            </w:pPr>
            <w:r/>
            <w:r>
              <w:rPr>
                <w:b w:val="0"/>
                <w:i w:val="0"/>
                <w:sz w:val="20"/>
              </w:rPr>
              <w:t>PPI-22</w:t>
            </w:r>
          </w:p>
        </w:tc>
        <w:tc>
          <w:tcPr>
            <w:tcW w:type="dxa" w:w="3061"/>
          </w:tcPr>
          <w:p>
            <w:pPr>
              <w:spacing w:after="0"/>
            </w:pPr>
            <w:r/>
            <w:r>
              <w:rPr>
                <w:b w:val="0"/>
                <w:i w:val="0"/>
                <w:sz w:val="20"/>
              </w:rPr>
              <w:t>Songkok Motif Tanvir Silver</w:t>
            </w:r>
          </w:p>
        </w:tc>
        <w:tc>
          <w:tcPr>
            <w:tcW w:type="dxa" w:w="1361"/>
          </w:tcPr>
          <w:p>
            <w:pPr>
              <w:spacing w:after="0"/>
              <w:jc w:val="center"/>
            </w:pPr>
            <w:r/>
            <w:r>
              <w:rPr>
                <w:b w:val="0"/>
                <w:i w:val="0"/>
                <w:sz w:val="20"/>
              </w:rPr>
              <w:t>92,2</w:t>
            </w:r>
          </w:p>
        </w:tc>
        <w:tc>
          <w:tcPr>
            <w:tcW w:type="dxa" w:w="1474"/>
          </w:tcPr>
          <w:p>
            <w:pPr>
              <w:spacing w:after="0"/>
              <w:jc w:val="center"/>
            </w:pPr>
            <w:r/>
            <w:r>
              <w:rPr>
                <w:b w:val="0"/>
                <w:i w:val="0"/>
                <w:sz w:val="20"/>
              </w:rPr>
              <w:t>95,2</w:t>
            </w:r>
          </w:p>
        </w:tc>
        <w:tc>
          <w:tcPr>
            <w:tcW w:type="dxa" w:w="1814"/>
          </w:tcPr>
          <w:p>
            <w:pPr>
              <w:spacing w:after="0"/>
              <w:jc w:val="center"/>
            </w:pPr>
            <w:r/>
            <w:r>
              <w:rPr>
                <w:b w:val="0"/>
                <w:i w:val="0"/>
                <w:sz w:val="20"/>
              </w:rPr>
              <w:t>89.488.000</w:t>
            </w:r>
          </w:p>
        </w:tc>
      </w:tr>
      <w:tr>
        <w:tc>
          <w:tcPr>
            <w:tcW w:type="dxa" w:w="964"/>
          </w:tcPr>
          <w:p>
            <w:pPr>
              <w:spacing w:after="0"/>
            </w:pPr>
            <w:r/>
            <w:r>
              <w:rPr>
                <w:b w:val="0"/>
                <w:i w:val="0"/>
                <w:sz w:val="20"/>
              </w:rPr>
              <w:t>PPI-23</w:t>
            </w:r>
          </w:p>
        </w:tc>
        <w:tc>
          <w:tcPr>
            <w:tcW w:type="dxa" w:w="3061"/>
          </w:tcPr>
          <w:p>
            <w:pPr>
              <w:spacing w:after="0"/>
            </w:pPr>
            <w:r/>
            <w:r>
              <w:rPr>
                <w:b w:val="0"/>
                <w:i w:val="0"/>
                <w:sz w:val="20"/>
              </w:rPr>
              <w:t>Songkok Motif NU Gold</w:t>
            </w:r>
          </w:p>
        </w:tc>
        <w:tc>
          <w:tcPr>
            <w:tcW w:type="dxa" w:w="1361"/>
          </w:tcPr>
          <w:p>
            <w:pPr>
              <w:spacing w:after="0"/>
              <w:jc w:val="center"/>
            </w:pPr>
            <w:r/>
            <w:r>
              <w:rPr>
                <w:b w:val="0"/>
                <w:i w:val="0"/>
                <w:sz w:val="20"/>
              </w:rPr>
              <w:t>92,5</w:t>
            </w:r>
          </w:p>
        </w:tc>
        <w:tc>
          <w:tcPr>
            <w:tcW w:type="dxa" w:w="1474"/>
          </w:tcPr>
          <w:p>
            <w:pPr>
              <w:spacing w:after="0"/>
              <w:jc w:val="center"/>
            </w:pPr>
            <w:r/>
            <w:r>
              <w:rPr>
                <w:b w:val="0"/>
                <w:i w:val="0"/>
                <w:sz w:val="20"/>
              </w:rPr>
              <w:t>94,9</w:t>
            </w:r>
          </w:p>
        </w:tc>
        <w:tc>
          <w:tcPr>
            <w:tcW w:type="dxa" w:w="1814"/>
          </w:tcPr>
          <w:p>
            <w:pPr>
              <w:spacing w:after="0"/>
              <w:jc w:val="center"/>
            </w:pPr>
            <w:r/>
            <w:r>
              <w:rPr>
                <w:b w:val="0"/>
                <w:i w:val="0"/>
                <w:sz w:val="20"/>
              </w:rPr>
              <w:t>94.900.000</w:t>
            </w:r>
          </w:p>
        </w:tc>
      </w:tr>
      <w:tr>
        <w:tc>
          <w:tcPr>
            <w:tcW w:type="dxa" w:w="964"/>
          </w:tcPr>
          <w:p>
            <w:pPr>
              <w:spacing w:after="0"/>
            </w:pPr>
            <w:r/>
            <w:r>
              <w:rPr>
                <w:b w:val="0"/>
                <w:i w:val="0"/>
                <w:sz w:val="20"/>
              </w:rPr>
              <w:t>PPI-24</w:t>
            </w:r>
          </w:p>
        </w:tc>
        <w:tc>
          <w:tcPr>
            <w:tcW w:type="dxa" w:w="3061"/>
          </w:tcPr>
          <w:p>
            <w:pPr>
              <w:spacing w:after="0"/>
            </w:pPr>
            <w:r/>
            <w:r>
              <w:rPr>
                <w:b w:val="0"/>
                <w:i w:val="0"/>
                <w:sz w:val="20"/>
              </w:rPr>
              <w:t>Songkok Motif NU Green</w:t>
            </w:r>
          </w:p>
        </w:tc>
        <w:tc>
          <w:tcPr>
            <w:tcW w:type="dxa" w:w="1361"/>
          </w:tcPr>
          <w:p>
            <w:pPr>
              <w:spacing w:after="0"/>
              <w:jc w:val="center"/>
            </w:pPr>
            <w:r/>
            <w:r>
              <w:rPr>
                <w:b w:val="0"/>
                <w:i w:val="0"/>
                <w:sz w:val="20"/>
              </w:rPr>
              <w:t>92,7</w:t>
            </w:r>
          </w:p>
        </w:tc>
        <w:tc>
          <w:tcPr>
            <w:tcW w:type="dxa" w:w="1474"/>
          </w:tcPr>
          <w:p>
            <w:pPr>
              <w:spacing w:after="0"/>
              <w:jc w:val="center"/>
            </w:pPr>
            <w:r/>
            <w:r>
              <w:rPr>
                <w:b w:val="0"/>
                <w:i w:val="0"/>
                <w:sz w:val="20"/>
              </w:rPr>
              <w:t>95,0</w:t>
            </w:r>
          </w:p>
        </w:tc>
        <w:tc>
          <w:tcPr>
            <w:tcW w:type="dxa" w:w="1814"/>
          </w:tcPr>
          <w:p>
            <w:pPr>
              <w:spacing w:after="0"/>
              <w:jc w:val="center"/>
            </w:pPr>
            <w:r/>
            <w:r>
              <w:rPr>
                <w:b w:val="0"/>
                <w:i w:val="0"/>
                <w:sz w:val="20"/>
              </w:rPr>
              <w:t>95.000.000</w:t>
            </w:r>
          </w:p>
        </w:tc>
      </w:tr>
      <w:tr>
        <w:tc>
          <w:tcPr>
            <w:tcW w:type="dxa" w:w="964"/>
          </w:tcPr>
          <w:p>
            <w:pPr>
              <w:spacing w:after="0"/>
            </w:pPr>
            <w:r/>
            <w:r>
              <w:rPr>
                <w:b w:val="0"/>
                <w:i w:val="0"/>
                <w:sz w:val="20"/>
              </w:rPr>
              <w:t>Total</w:t>
            </w:r>
          </w:p>
        </w:tc>
        <w:tc>
          <w:tcPr>
            <w:tcW w:type="dxa" w:w="3061"/>
          </w:tcPr>
          <w:p>
            <w:pPr>
              <w:spacing w:after="0"/>
            </w:pPr>
            <w:r/>
          </w:p>
        </w:tc>
        <w:tc>
          <w:tcPr>
            <w:tcW w:type="dxa" w:w="1361"/>
          </w:tcPr>
          <w:p>
            <w:pPr>
              <w:spacing w:after="0"/>
              <w:jc w:val="center"/>
            </w:pPr>
            <w:r/>
            <w:r>
              <w:rPr>
                <w:b w:val="0"/>
                <w:i w:val="0"/>
                <w:sz w:val="20"/>
              </w:rPr>
              <w:t>9.968,4</w:t>
            </w:r>
          </w:p>
        </w:tc>
        <w:tc>
          <w:tcPr>
            <w:tcW w:type="dxa" w:w="1474"/>
          </w:tcPr>
          <w:p>
            <w:pPr>
              <w:spacing w:after="0"/>
              <w:jc w:val="center"/>
            </w:pPr>
            <w:r/>
            <w:r>
              <w:rPr>
                <w:b w:val="0"/>
                <w:i w:val="0"/>
                <w:sz w:val="20"/>
              </w:rPr>
              <w:t>10.277,0</w:t>
            </w:r>
          </w:p>
        </w:tc>
        <w:tc>
          <w:tcPr>
            <w:tcW w:type="dxa" w:w="1814"/>
          </w:tcPr>
          <w:p>
            <w:pPr>
              <w:spacing w:after="0"/>
              <w:jc w:val="center"/>
            </w:pPr>
            <w:r/>
            <w:r>
              <w:rPr>
                <w:b w:val="0"/>
                <w:i w:val="0"/>
                <w:sz w:val="20"/>
              </w:rPr>
              <w:t>9.328.534.000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jumlah per produk setiap bulan berbeda 3,2–14,0 kodi dengan Tabel 4.12, sehingga total tahunan Tabel 4.13 (10.277,0 kodi) tidak sama dengan Tabel 4.12 (10.300 kodi). Samakan sumber datanya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313 hari kerja pada tahun 2025, dengan total 7.512 baris dalam satuan pcs. Contoh data untuk satu produk selama satu minggu disajikan pada Tabel 4.14, sedangkan rata-rata permintaan per hari kerja disajikan pada Tabel 4.15.</w:t>
      </w:r>
    </w:p>
    <w:p>
      <w:pPr>
        <w:spacing w:line="360" w:lineRule="auto" w:after="40"/>
        <w:jc w:val="center"/>
      </w:pPr>
      <w:r>
        <w:rPr>
          <w:b/>
          <w:i w:val="0"/>
        </w:rPr>
        <w:t>Tabel 4.14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4.15 Rata-rata Permintaan Harian Seluruh Produk per Hari Kerja Tahun 2025</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581</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672</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667</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642</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646</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892</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Permintaan tertinggi terjadi pada hari Sabtu (892 pcs) dan terendah pada hari Senin (581 pcs).</w:t>
      </w:r>
    </w:p>
    <w:p>
      <w:pPr>
        <w:spacing w:line="360" w:lineRule="auto" w:after="120"/>
        <w:jc w:val="both"/>
      </w:pPr>
      <w:r>
        <w:rPr>
          <w:b w:val="0"/>
          <w:i w:val="0"/>
          <w:highlight w:val="yellow"/>
        </w:rPr>
        <w:t>[Catatan: jumlah transaksi harian setiap bulan (dibagi 20 pcs) selalu lebih besar 11,6–89,2 kodi daripada permintaan bulanan pada Tabel 4.12. Samakan datanya sebelum digunakan.]</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(288 baris). Rekap bulanan seluruh produk disajikan pada Tabel 4.16, sedangkan data lengkap per produk dicantumkan pada </w:t>
      </w:r>
      <w:r>
        <w:rPr>
          <w:b w:val="0"/>
          <w:i w:val="0"/>
          <w:highlight w:val="yellow"/>
        </w:rPr>
        <w:t>[Lampiran 3]</w:t>
      </w:r>
      <w:r>
        <w:rPr>
          <w:b w:val="0"/>
          <w:i w:val="0"/>
        </w:rPr>
        <w:t>.</w:t>
      </w:r>
    </w:p>
    <w:p>
      <w:pPr>
        <w:spacing w:line="360" w:lineRule="auto" w:after="40"/>
        <w:jc w:val="center"/>
      </w:pPr>
      <w:r>
        <w:rPr>
          <w:b/>
          <w:i w:val="0"/>
        </w:rPr>
        <w:t>Tabel 4.16 Rekap Persediaan Barang Jadi Bulanan Tahun 2025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361"/>
          </w:tcPr>
          <w:p>
            <w:pPr>
              <w:spacing w:after="0"/>
              <w:jc w:val="center"/>
            </w:pPr>
            <w:r/>
            <w:r>
              <w:rPr>
                <w:b/>
                <w:i w:val="0"/>
                <w:sz w:val="20"/>
              </w:rPr>
              <w:t>Bulan</w:t>
            </w:r>
          </w:p>
        </w:tc>
        <w:tc>
          <w:tcPr>
            <w:tcW w:type="dxa" w:w="1304"/>
          </w:tcPr>
          <w:p>
            <w:pPr>
              <w:spacing w:after="0"/>
              <w:jc w:val="center"/>
            </w:pPr>
            <w:r/>
            <w:r>
              <w:rPr>
                <w:b/>
                <w:i w:val="0"/>
                <w:sz w:val="20"/>
              </w:rPr>
              <w:t>Stok awal</w:t>
            </w:r>
          </w:p>
        </w:tc>
        <w:tc>
          <w:tcPr>
            <w:tcW w:type="dxa" w:w="1361"/>
          </w:tcPr>
          <w:p>
            <w:pPr>
              <w:spacing w:after="0"/>
              <w:jc w:val="center"/>
            </w:pPr>
            <w:r/>
            <w:r>
              <w:rPr>
                <w:b/>
                <w:i w:val="0"/>
                <w:sz w:val="20"/>
              </w:rPr>
              <w:t>Penerimaan</w:t>
            </w:r>
          </w:p>
        </w:tc>
        <w:tc>
          <w:tcPr>
            <w:tcW w:type="dxa" w:w="1304"/>
          </w:tcPr>
          <w:p>
            <w:pPr>
              <w:spacing w:after="0"/>
              <w:jc w:val="center"/>
            </w:pPr>
            <w:r/>
            <w:r>
              <w:rPr>
                <w:b/>
                <w:i w:val="0"/>
                <w:sz w:val="20"/>
              </w:rPr>
              <w:t>Keluar</w:t>
            </w:r>
          </w:p>
        </w:tc>
        <w:tc>
          <w:tcPr>
            <w:tcW w:type="dxa" w:w="1304"/>
          </w:tcPr>
          <w:p>
            <w:pPr>
              <w:spacing w:after="0"/>
              <w:jc w:val="center"/>
            </w:pPr>
            <w:r/>
            <w:r>
              <w:rPr>
                <w:b/>
                <w:i w:val="0"/>
                <w:sz w:val="20"/>
              </w:rPr>
              <w:t>Stok akhir</w:t>
            </w:r>
          </w:p>
        </w:tc>
        <w:tc>
          <w:tcPr>
            <w:tcW w:type="dxa" w:w="1814"/>
          </w:tcPr>
          <w:p>
            <w:pPr>
              <w:spacing w:after="0"/>
              <w:jc w:val="center"/>
            </w:pPr>
            <w:r/>
            <w:r>
              <w:rPr>
                <w:b/>
                <w:i w:val="0"/>
                <w:sz w:val="20"/>
              </w:rPr>
              <w:t>Produk dengan stok akhir negatif</w:t>
            </w:r>
          </w:p>
        </w:tc>
      </w:tr>
      <w:tr>
        <w:tc>
          <w:tcPr>
            <w:tcW w:type="dxa" w:w="1361"/>
          </w:tcPr>
          <w:p>
            <w:pPr>
              <w:spacing w:after="0"/>
            </w:pPr>
            <w:r/>
            <w:r>
              <w:rPr>
                <w:b w:val="0"/>
                <w:i w:val="0"/>
                <w:sz w:val="20"/>
              </w:rPr>
              <w:t>Januari</w:t>
            </w:r>
          </w:p>
        </w:tc>
        <w:tc>
          <w:tcPr>
            <w:tcW w:type="dxa" w:w="1304"/>
          </w:tcPr>
          <w:p>
            <w:pPr>
              <w:spacing w:after="0"/>
              <w:jc w:val="center"/>
            </w:pPr>
            <w:r/>
            <w:r>
              <w:rPr>
                <w:b w:val="0"/>
                <w:i w:val="0"/>
                <w:sz w:val="20"/>
              </w:rPr>
              <w:t>1.701,3</w:t>
            </w:r>
          </w:p>
        </w:tc>
        <w:tc>
          <w:tcPr>
            <w:tcW w:type="dxa" w:w="1361"/>
          </w:tcPr>
          <w:p>
            <w:pPr>
              <w:spacing w:after="0"/>
              <w:jc w:val="center"/>
            </w:pPr>
            <w:r/>
            <w:r>
              <w:rPr>
                <w:b w:val="0"/>
                <w:i w:val="0"/>
                <w:sz w:val="20"/>
              </w:rPr>
              <w:t>808,8</w:t>
            </w:r>
          </w:p>
        </w:tc>
        <w:tc>
          <w:tcPr>
            <w:tcW w:type="dxa" w:w="1304"/>
          </w:tcPr>
          <w:p>
            <w:pPr>
              <w:spacing w:after="0"/>
              <w:jc w:val="center"/>
            </w:pPr>
            <w:r/>
            <w:r>
              <w:rPr>
                <w:b w:val="0"/>
                <w:i w:val="0"/>
                <w:sz w:val="20"/>
              </w:rPr>
              <w:t>717,3</w:t>
            </w:r>
          </w:p>
        </w:tc>
        <w:tc>
          <w:tcPr>
            <w:tcW w:type="dxa" w:w="1304"/>
          </w:tcPr>
          <w:p>
            <w:pPr>
              <w:spacing w:after="0"/>
              <w:jc w:val="center"/>
            </w:pPr>
            <w:r/>
            <w:r>
              <w:rPr>
                <w:b w:val="0"/>
                <w:i w:val="0"/>
                <w:sz w:val="20"/>
              </w:rPr>
              <w:t>1.792,8</w:t>
            </w:r>
          </w:p>
        </w:tc>
        <w:tc>
          <w:tcPr>
            <w:tcW w:type="dxa" w:w="1814"/>
          </w:tcPr>
          <w:p>
            <w:pPr>
              <w:spacing w:after="0"/>
              <w:jc w:val="center"/>
            </w:pPr>
            <w:r/>
            <w:r>
              <w:rPr>
                <w:b w:val="0"/>
                <w:i w:val="0"/>
                <w:sz w:val="20"/>
              </w:rPr>
              <w:t>0</w:t>
            </w:r>
          </w:p>
        </w:tc>
      </w:tr>
      <w:tr>
        <w:tc>
          <w:tcPr>
            <w:tcW w:type="dxa" w:w="1361"/>
          </w:tcPr>
          <w:p>
            <w:pPr>
              <w:spacing w:after="0"/>
            </w:pPr>
            <w:r/>
            <w:r>
              <w:rPr>
                <w:b w:val="0"/>
                <w:i w:val="0"/>
                <w:sz w:val="20"/>
              </w:rPr>
              <w:t>Februari</w:t>
            </w:r>
          </w:p>
        </w:tc>
        <w:tc>
          <w:tcPr>
            <w:tcW w:type="dxa" w:w="1304"/>
          </w:tcPr>
          <w:p>
            <w:pPr>
              <w:spacing w:after="0"/>
              <w:jc w:val="center"/>
            </w:pPr>
            <w:r/>
            <w:r>
              <w:rPr>
                <w:b w:val="0"/>
                <w:i w:val="0"/>
                <w:sz w:val="20"/>
              </w:rPr>
              <w:t>1.792,8</w:t>
            </w:r>
          </w:p>
        </w:tc>
        <w:tc>
          <w:tcPr>
            <w:tcW w:type="dxa" w:w="1361"/>
          </w:tcPr>
          <w:p>
            <w:pPr>
              <w:spacing w:after="0"/>
              <w:jc w:val="center"/>
            </w:pPr>
            <w:r/>
            <w:r>
              <w:rPr>
                <w:b w:val="0"/>
                <w:i w:val="0"/>
                <w:sz w:val="20"/>
              </w:rPr>
              <w:t>859,9</w:t>
            </w:r>
          </w:p>
        </w:tc>
        <w:tc>
          <w:tcPr>
            <w:tcW w:type="dxa" w:w="1304"/>
          </w:tcPr>
          <w:p>
            <w:pPr>
              <w:spacing w:after="0"/>
              <w:jc w:val="center"/>
            </w:pPr>
            <w:r/>
            <w:r>
              <w:rPr>
                <w:b w:val="0"/>
                <w:i w:val="0"/>
                <w:sz w:val="20"/>
              </w:rPr>
              <w:t>914,3</w:t>
            </w:r>
          </w:p>
        </w:tc>
        <w:tc>
          <w:tcPr>
            <w:tcW w:type="dxa" w:w="1304"/>
          </w:tcPr>
          <w:p>
            <w:pPr>
              <w:spacing w:after="0"/>
              <w:jc w:val="center"/>
            </w:pPr>
            <w:r/>
            <w:r>
              <w:rPr>
                <w:b w:val="0"/>
                <w:i w:val="0"/>
                <w:sz w:val="20"/>
              </w:rPr>
              <w:t>1.738,4</w:t>
            </w:r>
          </w:p>
        </w:tc>
        <w:tc>
          <w:tcPr>
            <w:tcW w:type="dxa" w:w="1814"/>
          </w:tcPr>
          <w:p>
            <w:pPr>
              <w:spacing w:after="0"/>
              <w:jc w:val="center"/>
            </w:pPr>
            <w:r/>
            <w:r>
              <w:rPr>
                <w:b w:val="0"/>
                <w:i w:val="0"/>
                <w:sz w:val="20"/>
              </w:rPr>
              <w:t>0</w:t>
            </w:r>
          </w:p>
        </w:tc>
      </w:tr>
      <w:tr>
        <w:tc>
          <w:tcPr>
            <w:tcW w:type="dxa" w:w="1361"/>
          </w:tcPr>
          <w:p>
            <w:pPr>
              <w:spacing w:after="0"/>
            </w:pPr>
            <w:r/>
            <w:r>
              <w:rPr>
                <w:b w:val="0"/>
                <w:i w:val="0"/>
                <w:sz w:val="20"/>
              </w:rPr>
              <w:t>Maret</w:t>
            </w:r>
          </w:p>
        </w:tc>
        <w:tc>
          <w:tcPr>
            <w:tcW w:type="dxa" w:w="1304"/>
          </w:tcPr>
          <w:p>
            <w:pPr>
              <w:spacing w:after="0"/>
              <w:jc w:val="center"/>
            </w:pPr>
            <w:r/>
            <w:r>
              <w:rPr>
                <w:b w:val="0"/>
                <w:i w:val="0"/>
                <w:sz w:val="20"/>
              </w:rPr>
              <w:t>1.738,4</w:t>
            </w:r>
          </w:p>
        </w:tc>
        <w:tc>
          <w:tcPr>
            <w:tcW w:type="dxa" w:w="1361"/>
          </w:tcPr>
          <w:p>
            <w:pPr>
              <w:spacing w:after="0"/>
              <w:jc w:val="center"/>
            </w:pPr>
            <w:r/>
            <w:r>
              <w:rPr>
                <w:b w:val="0"/>
                <w:i w:val="0"/>
                <w:sz w:val="20"/>
              </w:rPr>
              <w:t>1.091,6</w:t>
            </w:r>
          </w:p>
        </w:tc>
        <w:tc>
          <w:tcPr>
            <w:tcW w:type="dxa" w:w="1304"/>
          </w:tcPr>
          <w:p>
            <w:pPr>
              <w:spacing w:after="0"/>
              <w:jc w:val="center"/>
            </w:pPr>
            <w:r/>
            <w:r>
              <w:rPr>
                <w:b w:val="0"/>
                <w:i w:val="0"/>
                <w:sz w:val="20"/>
              </w:rPr>
              <w:t>1.756,2</w:t>
            </w:r>
          </w:p>
        </w:tc>
        <w:tc>
          <w:tcPr>
            <w:tcW w:type="dxa" w:w="1304"/>
          </w:tcPr>
          <w:p>
            <w:pPr>
              <w:spacing w:after="0"/>
              <w:jc w:val="center"/>
            </w:pPr>
            <w:r/>
            <w:r>
              <w:rPr>
                <w:b w:val="0"/>
                <w:i w:val="0"/>
                <w:sz w:val="20"/>
              </w:rPr>
              <w:t>1.073,8</w:t>
            </w:r>
          </w:p>
        </w:tc>
        <w:tc>
          <w:tcPr>
            <w:tcW w:type="dxa" w:w="1814"/>
          </w:tcPr>
          <w:p>
            <w:pPr>
              <w:spacing w:after="0"/>
              <w:jc w:val="center"/>
            </w:pPr>
            <w:r/>
            <w:r>
              <w:rPr>
                <w:b w:val="0"/>
                <w:i w:val="0"/>
                <w:sz w:val="20"/>
              </w:rPr>
              <w:t>0</w:t>
            </w:r>
          </w:p>
        </w:tc>
      </w:tr>
      <w:tr>
        <w:tc>
          <w:tcPr>
            <w:tcW w:type="dxa" w:w="1361"/>
          </w:tcPr>
          <w:p>
            <w:pPr>
              <w:spacing w:after="0"/>
            </w:pPr>
            <w:r/>
            <w:r>
              <w:rPr>
                <w:b w:val="0"/>
                <w:i w:val="0"/>
                <w:sz w:val="20"/>
              </w:rPr>
              <w:t>April</w:t>
            </w:r>
          </w:p>
        </w:tc>
        <w:tc>
          <w:tcPr>
            <w:tcW w:type="dxa" w:w="1304"/>
          </w:tcPr>
          <w:p>
            <w:pPr>
              <w:spacing w:after="0"/>
              <w:jc w:val="center"/>
            </w:pPr>
            <w:r/>
            <w:r>
              <w:rPr>
                <w:b w:val="0"/>
                <w:i w:val="0"/>
                <w:sz w:val="20"/>
              </w:rPr>
              <w:t>1.073,8</w:t>
            </w:r>
          </w:p>
        </w:tc>
        <w:tc>
          <w:tcPr>
            <w:tcW w:type="dxa" w:w="1361"/>
          </w:tcPr>
          <w:p>
            <w:pPr>
              <w:spacing w:after="0"/>
              <w:jc w:val="center"/>
            </w:pPr>
            <w:r/>
            <w:r>
              <w:rPr>
                <w:b w:val="0"/>
                <w:i w:val="0"/>
                <w:sz w:val="20"/>
              </w:rPr>
              <w:t>1.150,2</w:t>
            </w:r>
          </w:p>
        </w:tc>
        <w:tc>
          <w:tcPr>
            <w:tcW w:type="dxa" w:w="1304"/>
          </w:tcPr>
          <w:p>
            <w:pPr>
              <w:spacing w:after="0"/>
              <w:jc w:val="center"/>
            </w:pPr>
            <w:r/>
            <w:r>
              <w:rPr>
                <w:b w:val="0"/>
                <w:i w:val="0"/>
                <w:sz w:val="20"/>
              </w:rPr>
              <w:t>2.244,7</w:t>
            </w:r>
          </w:p>
        </w:tc>
        <w:tc>
          <w:tcPr>
            <w:tcW w:type="dxa" w:w="1304"/>
          </w:tcPr>
          <w:p>
            <w:pPr>
              <w:spacing w:after="0"/>
              <w:jc w:val="center"/>
            </w:pPr>
            <w:r/>
            <w:r>
              <w:rPr>
                <w:b w:val="0"/>
                <w:i w:val="0"/>
                <w:sz w:val="20"/>
              </w:rPr>
              <w:t>-20,7</w:t>
            </w:r>
          </w:p>
        </w:tc>
        <w:tc>
          <w:tcPr>
            <w:tcW w:type="dxa" w:w="1814"/>
          </w:tcPr>
          <w:p>
            <w:pPr>
              <w:spacing w:after="0"/>
              <w:jc w:val="center"/>
            </w:pPr>
            <w:r/>
            <w:r>
              <w:rPr>
                <w:b w:val="0"/>
                <w:i w:val="0"/>
                <w:sz w:val="20"/>
              </w:rPr>
              <w:t>13</w:t>
            </w:r>
          </w:p>
        </w:tc>
      </w:tr>
      <w:tr>
        <w:tc>
          <w:tcPr>
            <w:tcW w:type="dxa" w:w="1361"/>
          </w:tcPr>
          <w:p>
            <w:pPr>
              <w:spacing w:after="0"/>
            </w:pPr>
            <w:r/>
            <w:r>
              <w:rPr>
                <w:b w:val="0"/>
                <w:i w:val="0"/>
                <w:sz w:val="20"/>
              </w:rPr>
              <w:t>Mei</w:t>
            </w:r>
          </w:p>
        </w:tc>
        <w:tc>
          <w:tcPr>
            <w:tcW w:type="dxa" w:w="1304"/>
          </w:tcPr>
          <w:p>
            <w:pPr>
              <w:spacing w:after="0"/>
              <w:jc w:val="center"/>
            </w:pPr>
            <w:r/>
            <w:r>
              <w:rPr>
                <w:b w:val="0"/>
                <w:i w:val="0"/>
                <w:sz w:val="20"/>
              </w:rPr>
              <w:t>81,0</w:t>
            </w:r>
          </w:p>
        </w:tc>
        <w:tc>
          <w:tcPr>
            <w:tcW w:type="dxa" w:w="1361"/>
          </w:tcPr>
          <w:p>
            <w:pPr>
              <w:spacing w:after="0"/>
              <w:jc w:val="center"/>
            </w:pPr>
            <w:r/>
            <w:r>
              <w:rPr>
                <w:b w:val="0"/>
                <w:i w:val="0"/>
                <w:sz w:val="20"/>
              </w:rPr>
              <w:t>602,4</w:t>
            </w:r>
          </w:p>
        </w:tc>
        <w:tc>
          <w:tcPr>
            <w:tcW w:type="dxa" w:w="1304"/>
          </w:tcPr>
          <w:p>
            <w:pPr>
              <w:spacing w:after="0"/>
              <w:jc w:val="center"/>
            </w:pPr>
            <w:r/>
            <w:r>
              <w:rPr>
                <w:b w:val="0"/>
                <w:i w:val="0"/>
                <w:sz w:val="20"/>
              </w:rPr>
              <w:t>647,3</w:t>
            </w:r>
          </w:p>
        </w:tc>
        <w:tc>
          <w:tcPr>
            <w:tcW w:type="dxa" w:w="1304"/>
          </w:tcPr>
          <w:p>
            <w:pPr>
              <w:spacing w:after="0"/>
              <w:jc w:val="center"/>
            </w:pPr>
            <w:r/>
            <w:r>
              <w:rPr>
                <w:b w:val="0"/>
                <w:i w:val="0"/>
                <w:sz w:val="20"/>
              </w:rPr>
              <w:t>36,1</w:t>
            </w:r>
          </w:p>
        </w:tc>
        <w:tc>
          <w:tcPr>
            <w:tcW w:type="dxa" w:w="1814"/>
          </w:tcPr>
          <w:p>
            <w:pPr>
              <w:spacing w:after="0"/>
              <w:jc w:val="center"/>
            </w:pPr>
            <w:r/>
            <w:r>
              <w:rPr>
                <w:b w:val="0"/>
                <w:i w:val="0"/>
                <w:sz w:val="20"/>
              </w:rPr>
              <w:t>14</w:t>
            </w:r>
          </w:p>
        </w:tc>
      </w:tr>
      <w:tr>
        <w:tc>
          <w:tcPr>
            <w:tcW w:type="dxa" w:w="1361"/>
          </w:tcPr>
          <w:p>
            <w:pPr>
              <w:spacing w:after="0"/>
            </w:pPr>
            <w:r/>
            <w:r>
              <w:rPr>
                <w:b w:val="0"/>
                <w:i w:val="0"/>
                <w:sz w:val="20"/>
              </w:rPr>
              <w:t>Juni</w:t>
            </w:r>
          </w:p>
        </w:tc>
        <w:tc>
          <w:tcPr>
            <w:tcW w:type="dxa" w:w="1304"/>
          </w:tcPr>
          <w:p>
            <w:pPr>
              <w:spacing w:after="0"/>
              <w:jc w:val="center"/>
            </w:pPr>
            <w:r/>
            <w:r>
              <w:rPr>
                <w:b w:val="0"/>
                <w:i w:val="0"/>
                <w:sz w:val="20"/>
              </w:rPr>
              <w:t>66,0</w:t>
            </w:r>
          </w:p>
        </w:tc>
        <w:tc>
          <w:tcPr>
            <w:tcW w:type="dxa" w:w="1361"/>
          </w:tcPr>
          <w:p>
            <w:pPr>
              <w:spacing w:after="0"/>
              <w:jc w:val="center"/>
            </w:pPr>
            <w:r/>
            <w:r>
              <w:rPr>
                <w:b w:val="0"/>
                <w:i w:val="0"/>
                <w:sz w:val="20"/>
              </w:rPr>
              <w:t>794,1</w:t>
            </w:r>
          </w:p>
        </w:tc>
        <w:tc>
          <w:tcPr>
            <w:tcW w:type="dxa" w:w="1304"/>
          </w:tcPr>
          <w:p>
            <w:pPr>
              <w:spacing w:after="0"/>
              <w:jc w:val="center"/>
            </w:pPr>
            <w:r/>
            <w:r>
              <w:rPr>
                <w:b w:val="0"/>
                <w:i w:val="0"/>
                <w:sz w:val="20"/>
              </w:rPr>
              <w:t>834,3</w:t>
            </w:r>
          </w:p>
        </w:tc>
        <w:tc>
          <w:tcPr>
            <w:tcW w:type="dxa" w:w="1304"/>
          </w:tcPr>
          <w:p>
            <w:pPr>
              <w:spacing w:after="0"/>
              <w:jc w:val="center"/>
            </w:pPr>
            <w:r/>
            <w:r>
              <w:rPr>
                <w:b w:val="0"/>
                <w:i w:val="0"/>
                <w:sz w:val="20"/>
              </w:rPr>
              <w:t>25,8</w:t>
            </w:r>
          </w:p>
        </w:tc>
        <w:tc>
          <w:tcPr>
            <w:tcW w:type="dxa" w:w="1814"/>
          </w:tcPr>
          <w:p>
            <w:pPr>
              <w:spacing w:after="0"/>
              <w:jc w:val="center"/>
            </w:pPr>
            <w:r/>
            <w:r>
              <w:rPr>
                <w:b w:val="0"/>
                <w:i w:val="0"/>
                <w:sz w:val="20"/>
              </w:rPr>
              <w:t>12</w:t>
            </w:r>
          </w:p>
        </w:tc>
      </w:tr>
      <w:tr>
        <w:tc>
          <w:tcPr>
            <w:tcW w:type="dxa" w:w="1361"/>
          </w:tcPr>
          <w:p>
            <w:pPr>
              <w:spacing w:after="0"/>
            </w:pPr>
            <w:r/>
            <w:r>
              <w:rPr>
                <w:b w:val="0"/>
                <w:i w:val="0"/>
                <w:sz w:val="20"/>
              </w:rPr>
              <w:t>Juli</w:t>
            </w:r>
          </w:p>
        </w:tc>
        <w:tc>
          <w:tcPr>
            <w:tcW w:type="dxa" w:w="1304"/>
          </w:tcPr>
          <w:p>
            <w:pPr>
              <w:spacing w:after="0"/>
              <w:jc w:val="center"/>
            </w:pPr>
            <w:r/>
            <w:r>
              <w:rPr>
                <w:b w:val="0"/>
                <w:i w:val="0"/>
                <w:sz w:val="20"/>
              </w:rPr>
              <w:t>42,8</w:t>
            </w:r>
          </w:p>
        </w:tc>
        <w:tc>
          <w:tcPr>
            <w:tcW w:type="dxa" w:w="1361"/>
          </w:tcPr>
          <w:p>
            <w:pPr>
              <w:spacing w:after="0"/>
              <w:jc w:val="center"/>
            </w:pPr>
            <w:r/>
            <w:r>
              <w:rPr>
                <w:b w:val="0"/>
                <w:i w:val="0"/>
                <w:sz w:val="20"/>
              </w:rPr>
              <w:t>771,4</w:t>
            </w:r>
          </w:p>
        </w:tc>
        <w:tc>
          <w:tcPr>
            <w:tcW w:type="dxa" w:w="1304"/>
          </w:tcPr>
          <w:p>
            <w:pPr>
              <w:spacing w:after="0"/>
              <w:jc w:val="center"/>
            </w:pPr>
            <w:r/>
            <w:r>
              <w:rPr>
                <w:b w:val="0"/>
                <w:i w:val="0"/>
                <w:sz w:val="20"/>
              </w:rPr>
              <w:t>717,6</w:t>
            </w:r>
          </w:p>
        </w:tc>
        <w:tc>
          <w:tcPr>
            <w:tcW w:type="dxa" w:w="1304"/>
          </w:tcPr>
          <w:p>
            <w:pPr>
              <w:spacing w:after="0"/>
              <w:jc w:val="center"/>
            </w:pPr>
            <w:r/>
            <w:r>
              <w:rPr>
                <w:b w:val="0"/>
                <w:i w:val="0"/>
                <w:sz w:val="20"/>
              </w:rPr>
              <w:t>96,6</w:t>
            </w:r>
          </w:p>
        </w:tc>
        <w:tc>
          <w:tcPr>
            <w:tcW w:type="dxa" w:w="1814"/>
          </w:tcPr>
          <w:p>
            <w:pPr>
              <w:spacing w:after="0"/>
              <w:jc w:val="center"/>
            </w:pPr>
            <w:r/>
            <w:r>
              <w:rPr>
                <w:b w:val="0"/>
                <w:i w:val="0"/>
                <w:sz w:val="20"/>
              </w:rPr>
              <w:t>0</w:t>
            </w:r>
          </w:p>
        </w:tc>
      </w:tr>
      <w:tr>
        <w:tc>
          <w:tcPr>
            <w:tcW w:type="dxa" w:w="1361"/>
          </w:tcPr>
          <w:p>
            <w:pPr>
              <w:spacing w:after="0"/>
            </w:pPr>
            <w:r/>
            <w:r>
              <w:rPr>
                <w:b w:val="0"/>
                <w:i w:val="0"/>
                <w:sz w:val="20"/>
              </w:rPr>
              <w:t>Agustus</w:t>
            </w:r>
          </w:p>
        </w:tc>
        <w:tc>
          <w:tcPr>
            <w:tcW w:type="dxa" w:w="1304"/>
          </w:tcPr>
          <w:p>
            <w:pPr>
              <w:spacing w:after="0"/>
              <w:jc w:val="center"/>
            </w:pPr>
            <w:r/>
            <w:r>
              <w:rPr>
                <w:b w:val="0"/>
                <w:i w:val="0"/>
                <w:sz w:val="20"/>
              </w:rPr>
              <w:t>96,6</w:t>
            </w:r>
          </w:p>
        </w:tc>
        <w:tc>
          <w:tcPr>
            <w:tcW w:type="dxa" w:w="1361"/>
          </w:tcPr>
          <w:p>
            <w:pPr>
              <w:spacing w:after="0"/>
              <w:jc w:val="center"/>
            </w:pPr>
            <w:r/>
            <w:r>
              <w:rPr>
                <w:b w:val="0"/>
                <w:i w:val="0"/>
                <w:sz w:val="20"/>
              </w:rPr>
              <w:t>789,4</w:t>
            </w:r>
          </w:p>
        </w:tc>
        <w:tc>
          <w:tcPr>
            <w:tcW w:type="dxa" w:w="1304"/>
          </w:tcPr>
          <w:p>
            <w:pPr>
              <w:spacing w:after="0"/>
              <w:jc w:val="center"/>
            </w:pPr>
            <w:r/>
            <w:r>
              <w:rPr>
                <w:b w:val="0"/>
                <w:i w:val="0"/>
                <w:sz w:val="20"/>
              </w:rPr>
              <w:t>632,3</w:t>
            </w:r>
          </w:p>
        </w:tc>
        <w:tc>
          <w:tcPr>
            <w:tcW w:type="dxa" w:w="1304"/>
          </w:tcPr>
          <w:p>
            <w:pPr>
              <w:spacing w:after="0"/>
              <w:jc w:val="center"/>
            </w:pPr>
            <w:r/>
            <w:r>
              <w:rPr>
                <w:b w:val="0"/>
                <w:i w:val="0"/>
                <w:sz w:val="20"/>
              </w:rPr>
              <w:t>253,7</w:t>
            </w:r>
          </w:p>
        </w:tc>
        <w:tc>
          <w:tcPr>
            <w:tcW w:type="dxa" w:w="1814"/>
          </w:tcPr>
          <w:p>
            <w:pPr>
              <w:spacing w:after="0"/>
              <w:jc w:val="center"/>
            </w:pPr>
            <w:r/>
            <w:r>
              <w:rPr>
                <w:b w:val="0"/>
                <w:i w:val="0"/>
                <w:sz w:val="20"/>
              </w:rPr>
              <w:t>0</w:t>
            </w:r>
          </w:p>
        </w:tc>
      </w:tr>
      <w:tr>
        <w:tc>
          <w:tcPr>
            <w:tcW w:type="dxa" w:w="1361"/>
          </w:tcPr>
          <w:p>
            <w:pPr>
              <w:spacing w:after="0"/>
            </w:pPr>
            <w:r/>
            <w:r>
              <w:rPr>
                <w:b w:val="0"/>
                <w:i w:val="0"/>
                <w:sz w:val="20"/>
              </w:rPr>
              <w:t>September</w:t>
            </w:r>
          </w:p>
        </w:tc>
        <w:tc>
          <w:tcPr>
            <w:tcW w:type="dxa" w:w="1304"/>
          </w:tcPr>
          <w:p>
            <w:pPr>
              <w:spacing w:after="0"/>
              <w:jc w:val="center"/>
            </w:pPr>
            <w:r/>
            <w:r>
              <w:rPr>
                <w:b w:val="0"/>
                <w:i w:val="0"/>
                <w:sz w:val="20"/>
              </w:rPr>
              <w:t>253,7</w:t>
            </w:r>
          </w:p>
        </w:tc>
        <w:tc>
          <w:tcPr>
            <w:tcW w:type="dxa" w:w="1361"/>
          </w:tcPr>
          <w:p>
            <w:pPr>
              <w:spacing w:after="0"/>
              <w:jc w:val="center"/>
            </w:pPr>
            <w:r/>
            <w:r>
              <w:rPr>
                <w:b w:val="0"/>
                <w:i w:val="0"/>
                <w:sz w:val="20"/>
              </w:rPr>
              <w:t>763,3</w:t>
            </w:r>
          </w:p>
        </w:tc>
        <w:tc>
          <w:tcPr>
            <w:tcW w:type="dxa" w:w="1304"/>
          </w:tcPr>
          <w:p>
            <w:pPr>
              <w:spacing w:after="0"/>
              <w:jc w:val="center"/>
            </w:pPr>
            <w:r/>
            <w:r>
              <w:rPr>
                <w:b w:val="0"/>
                <w:i w:val="0"/>
                <w:sz w:val="20"/>
              </w:rPr>
              <w:t>520,1</w:t>
            </w:r>
          </w:p>
        </w:tc>
        <w:tc>
          <w:tcPr>
            <w:tcW w:type="dxa" w:w="1304"/>
          </w:tcPr>
          <w:p>
            <w:pPr>
              <w:spacing w:after="0"/>
              <w:jc w:val="center"/>
            </w:pPr>
            <w:r/>
            <w:r>
              <w:rPr>
                <w:b w:val="0"/>
                <w:i w:val="0"/>
                <w:sz w:val="20"/>
              </w:rPr>
              <w:t>496,9</w:t>
            </w:r>
          </w:p>
        </w:tc>
        <w:tc>
          <w:tcPr>
            <w:tcW w:type="dxa" w:w="1814"/>
          </w:tcPr>
          <w:p>
            <w:pPr>
              <w:spacing w:after="0"/>
              <w:jc w:val="center"/>
            </w:pPr>
            <w:r/>
            <w:r>
              <w:rPr>
                <w:b w:val="0"/>
                <w:i w:val="0"/>
                <w:sz w:val="20"/>
              </w:rPr>
              <w:t>0</w:t>
            </w:r>
          </w:p>
        </w:tc>
      </w:tr>
      <w:tr>
        <w:tc>
          <w:tcPr>
            <w:tcW w:type="dxa" w:w="1361"/>
          </w:tcPr>
          <w:p>
            <w:pPr>
              <w:spacing w:after="0"/>
            </w:pPr>
            <w:r/>
            <w:r>
              <w:rPr>
                <w:b w:val="0"/>
                <w:i w:val="0"/>
                <w:sz w:val="20"/>
              </w:rPr>
              <w:t>Oktober</w:t>
            </w:r>
          </w:p>
        </w:tc>
        <w:tc>
          <w:tcPr>
            <w:tcW w:type="dxa" w:w="1304"/>
          </w:tcPr>
          <w:p>
            <w:pPr>
              <w:spacing w:after="0"/>
              <w:jc w:val="center"/>
            </w:pPr>
            <w:r/>
            <w:r>
              <w:rPr>
                <w:b w:val="0"/>
                <w:i w:val="0"/>
                <w:sz w:val="20"/>
              </w:rPr>
              <w:t>496,9</w:t>
            </w:r>
          </w:p>
        </w:tc>
        <w:tc>
          <w:tcPr>
            <w:tcW w:type="dxa" w:w="1361"/>
          </w:tcPr>
          <w:p>
            <w:pPr>
              <w:spacing w:after="0"/>
              <w:jc w:val="center"/>
            </w:pPr>
            <w:r/>
            <w:r>
              <w:rPr>
                <w:b w:val="0"/>
                <w:i w:val="0"/>
                <w:sz w:val="20"/>
              </w:rPr>
              <w:t>814,6</w:t>
            </w:r>
          </w:p>
        </w:tc>
        <w:tc>
          <w:tcPr>
            <w:tcW w:type="dxa" w:w="1304"/>
          </w:tcPr>
          <w:p>
            <w:pPr>
              <w:spacing w:after="0"/>
              <w:jc w:val="center"/>
            </w:pPr>
            <w:r/>
            <w:r>
              <w:rPr>
                <w:b w:val="0"/>
                <w:i w:val="0"/>
                <w:sz w:val="20"/>
              </w:rPr>
              <w:t>482,8</w:t>
            </w:r>
          </w:p>
        </w:tc>
        <w:tc>
          <w:tcPr>
            <w:tcW w:type="dxa" w:w="1304"/>
          </w:tcPr>
          <w:p>
            <w:pPr>
              <w:spacing w:after="0"/>
              <w:jc w:val="center"/>
            </w:pPr>
            <w:r/>
            <w:r>
              <w:rPr>
                <w:b w:val="0"/>
                <w:i w:val="0"/>
                <w:sz w:val="20"/>
              </w:rPr>
              <w:t>828,7</w:t>
            </w:r>
          </w:p>
        </w:tc>
        <w:tc>
          <w:tcPr>
            <w:tcW w:type="dxa" w:w="1814"/>
          </w:tcPr>
          <w:p>
            <w:pPr>
              <w:spacing w:after="0"/>
              <w:jc w:val="center"/>
            </w:pPr>
            <w:r/>
            <w:r>
              <w:rPr>
                <w:b w:val="0"/>
                <w:i w:val="0"/>
                <w:sz w:val="20"/>
              </w:rPr>
              <w:t>0</w:t>
            </w:r>
          </w:p>
        </w:tc>
      </w:tr>
      <w:tr>
        <w:tc>
          <w:tcPr>
            <w:tcW w:type="dxa" w:w="1361"/>
          </w:tcPr>
          <w:p>
            <w:pPr>
              <w:spacing w:after="0"/>
            </w:pPr>
            <w:r/>
            <w:r>
              <w:rPr>
                <w:b w:val="0"/>
                <w:i w:val="0"/>
                <w:sz w:val="20"/>
              </w:rPr>
              <w:t>November</w:t>
            </w:r>
          </w:p>
        </w:tc>
        <w:tc>
          <w:tcPr>
            <w:tcW w:type="dxa" w:w="1304"/>
          </w:tcPr>
          <w:p>
            <w:pPr>
              <w:spacing w:after="0"/>
              <w:jc w:val="center"/>
            </w:pPr>
            <w:r/>
            <w:r>
              <w:rPr>
                <w:b w:val="0"/>
                <w:i w:val="0"/>
                <w:sz w:val="20"/>
              </w:rPr>
              <w:t>828,7</w:t>
            </w:r>
          </w:p>
        </w:tc>
        <w:tc>
          <w:tcPr>
            <w:tcW w:type="dxa" w:w="1361"/>
          </w:tcPr>
          <w:p>
            <w:pPr>
              <w:spacing w:after="0"/>
              <w:jc w:val="center"/>
            </w:pPr>
            <w:r/>
            <w:r>
              <w:rPr>
                <w:b w:val="0"/>
                <w:i w:val="0"/>
                <w:sz w:val="20"/>
              </w:rPr>
              <w:t>751,8</w:t>
            </w:r>
          </w:p>
        </w:tc>
        <w:tc>
          <w:tcPr>
            <w:tcW w:type="dxa" w:w="1304"/>
          </w:tcPr>
          <w:p>
            <w:pPr>
              <w:spacing w:after="0"/>
              <w:jc w:val="center"/>
            </w:pPr>
            <w:r/>
            <w:r>
              <w:rPr>
                <w:b w:val="0"/>
                <w:i w:val="0"/>
                <w:sz w:val="20"/>
              </w:rPr>
              <w:t>388,7</w:t>
            </w:r>
          </w:p>
        </w:tc>
        <w:tc>
          <w:tcPr>
            <w:tcW w:type="dxa" w:w="1304"/>
          </w:tcPr>
          <w:p>
            <w:pPr>
              <w:spacing w:after="0"/>
              <w:jc w:val="center"/>
            </w:pPr>
            <w:r/>
            <w:r>
              <w:rPr>
                <w:b w:val="0"/>
                <w:i w:val="0"/>
                <w:sz w:val="20"/>
              </w:rPr>
              <w:t>1.191,8</w:t>
            </w:r>
          </w:p>
        </w:tc>
        <w:tc>
          <w:tcPr>
            <w:tcW w:type="dxa" w:w="1814"/>
          </w:tcPr>
          <w:p>
            <w:pPr>
              <w:spacing w:after="0"/>
              <w:jc w:val="center"/>
            </w:pPr>
            <w:r/>
            <w:r>
              <w:rPr>
                <w:b w:val="0"/>
                <w:i w:val="0"/>
                <w:sz w:val="20"/>
              </w:rPr>
              <w:t>0</w:t>
            </w:r>
          </w:p>
        </w:tc>
      </w:tr>
      <w:tr>
        <w:tc>
          <w:tcPr>
            <w:tcW w:type="dxa" w:w="1361"/>
          </w:tcPr>
          <w:p>
            <w:pPr>
              <w:spacing w:after="0"/>
            </w:pPr>
            <w:r/>
            <w:r>
              <w:rPr>
                <w:b w:val="0"/>
                <w:i w:val="0"/>
                <w:sz w:val="20"/>
              </w:rPr>
              <w:t>Desember</w:t>
            </w:r>
          </w:p>
        </w:tc>
        <w:tc>
          <w:tcPr>
            <w:tcW w:type="dxa" w:w="1304"/>
          </w:tcPr>
          <w:p>
            <w:pPr>
              <w:spacing w:after="0"/>
              <w:jc w:val="center"/>
            </w:pPr>
            <w:r/>
            <w:r>
              <w:rPr>
                <w:b w:val="0"/>
                <w:i w:val="0"/>
                <w:sz w:val="20"/>
              </w:rPr>
              <w:t>1.191,8</w:t>
            </w:r>
          </w:p>
        </w:tc>
        <w:tc>
          <w:tcPr>
            <w:tcW w:type="dxa" w:w="1361"/>
          </w:tcPr>
          <w:p>
            <w:pPr>
              <w:spacing w:after="0"/>
              <w:jc w:val="center"/>
            </w:pPr>
            <w:r/>
            <w:r>
              <w:rPr>
                <w:b w:val="0"/>
                <w:i w:val="0"/>
                <w:sz w:val="20"/>
              </w:rPr>
              <w:t>812,1</w:t>
            </w:r>
          </w:p>
        </w:tc>
        <w:tc>
          <w:tcPr>
            <w:tcW w:type="dxa" w:w="1304"/>
          </w:tcPr>
          <w:p>
            <w:pPr>
              <w:spacing w:after="0"/>
              <w:jc w:val="center"/>
            </w:pPr>
            <w:r/>
            <w:r>
              <w:rPr>
                <w:b w:val="0"/>
                <w:i w:val="0"/>
                <w:sz w:val="20"/>
              </w:rPr>
              <w:t>455,9</w:t>
            </w:r>
          </w:p>
        </w:tc>
        <w:tc>
          <w:tcPr>
            <w:tcW w:type="dxa" w:w="1304"/>
          </w:tcPr>
          <w:p>
            <w:pPr>
              <w:spacing w:after="0"/>
              <w:jc w:val="center"/>
            </w:pPr>
            <w:r/>
            <w:r>
              <w:rPr>
                <w:b w:val="0"/>
                <w:i w:val="0"/>
                <w:sz w:val="20"/>
              </w:rPr>
              <w:t>1.548,0</w:t>
            </w:r>
          </w:p>
        </w:tc>
        <w:tc>
          <w:tcPr>
            <w:tcW w:type="dxa" w:w="1814"/>
          </w:tcPr>
          <w:p>
            <w:pPr>
              <w:spacing w:after="0"/>
              <w:jc w:val="center"/>
            </w:pPr>
            <w:r/>
            <w:r>
              <w:rPr>
                <w:b w:val="0"/>
                <w:i w:val="0"/>
                <w:sz w:val="20"/>
              </w:rPr>
              <w:t>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terdapat 39 catatan stok akhir bernilai negatif pada April–Juni 2025. Karena stok negatif setiap produk dianggap nol pada awal bulan berikutnya, total stok awal Mei (81,0 kodi) tidak sama dengan total stok akhir April (−20,7 kodi).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Kebutuhan teoritis menunjukkan jumlah bahan yang seharusnya dipakai berdasarkan jumlah produksi, sedangkan pemakaian menunjukkan jumlah bahan yang benar-benar terpakai. Data bulanan tahun 2025 disajikan pada Tabel 4.17 dan data pemasok pada Tabel 4.18. Lead time pemasok, yaitu waktu antara pemesanan dan penerimaan bahan, dicatat karena memengaruhi kapan perusahaan harus memesan kembali bahan baku (Heizer et al., 2020).</w:t>
      </w:r>
    </w:p>
    <w:p>
      <w:pPr>
        <w:spacing w:line="360" w:lineRule="auto" w:after="40"/>
        <w:jc w:val="center"/>
      </w:pPr>
      <w:r>
        <w:rPr>
          <w:b/>
          <w:i w:val="0"/>
        </w:rPr>
        <w:t>Tabel 4.17 Kebutuhan Teoritis dan Pemakaian Bahan Baku Bulanan Tahun 2025</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247"/>
          </w:tcPr>
          <w:p>
            <w:pPr>
              <w:spacing w:after="0"/>
              <w:jc w:val="center"/>
            </w:pPr>
            <w:r/>
            <w:r>
              <w:rPr>
                <w:b/>
                <w:i w:val="0"/>
                <w:sz w:val="20"/>
              </w:rPr>
              <w:t>Bulan</w:t>
            </w:r>
          </w:p>
        </w:tc>
        <w:tc>
          <w:tcPr>
            <w:tcW w:type="dxa" w:w="1191"/>
          </w:tcPr>
          <w:p>
            <w:pPr>
              <w:spacing w:after="0"/>
              <w:jc w:val="center"/>
            </w:pPr>
            <w:r/>
            <w:r>
              <w:rPr>
                <w:b/>
                <w:i w:val="0"/>
                <w:sz w:val="20"/>
              </w:rPr>
              <w:t>Kain beludru: kebutuhan (yard)</w:t>
            </w:r>
          </w:p>
        </w:tc>
        <w:tc>
          <w:tcPr>
            <w:tcW w:type="dxa" w:w="1191"/>
          </w:tcPr>
          <w:p>
            <w:pPr>
              <w:spacing w:after="0"/>
              <w:jc w:val="center"/>
            </w:pPr>
            <w:r/>
            <w:r>
              <w:rPr>
                <w:b/>
                <w:i w:val="0"/>
                <w:sz w:val="20"/>
              </w:rPr>
              <w:t>Kain beludru: pemakaian (yard)</w:t>
            </w:r>
          </w:p>
        </w:tc>
        <w:tc>
          <w:tcPr>
            <w:tcW w:type="dxa" w:w="1191"/>
          </w:tcPr>
          <w:p>
            <w:pPr>
              <w:spacing w:after="0"/>
              <w:jc w:val="center"/>
            </w:pPr>
            <w:r/>
            <w:r>
              <w:rPr>
                <w:b/>
                <w:i w:val="0"/>
                <w:sz w:val="20"/>
              </w:rPr>
              <w:t>Bos-bosan: kebutuhan (kodi)</w:t>
            </w:r>
          </w:p>
        </w:tc>
        <w:tc>
          <w:tcPr>
            <w:tcW w:type="dxa" w:w="1191"/>
          </w:tcPr>
          <w:p>
            <w:pPr>
              <w:spacing w:after="0"/>
              <w:jc w:val="center"/>
            </w:pPr>
            <w:r/>
            <w:r>
              <w:rPr>
                <w:b/>
                <w:i w:val="0"/>
                <w:sz w:val="20"/>
              </w:rPr>
              <w:t>Bos-bosan: pemakaian (kodi)</w:t>
            </w:r>
          </w:p>
        </w:tc>
        <w:tc>
          <w:tcPr>
            <w:tcW w:type="dxa" w:w="1191"/>
          </w:tcPr>
          <w:p>
            <w:pPr>
              <w:spacing w:after="0"/>
              <w:jc w:val="center"/>
            </w:pPr>
            <w:r/>
            <w:r>
              <w:rPr>
                <w:b/>
                <w:i w:val="0"/>
                <w:sz w:val="20"/>
              </w:rPr>
              <w:t>Label: kebutuhan (lusin)</w:t>
            </w:r>
          </w:p>
        </w:tc>
        <w:tc>
          <w:tcPr>
            <w:tcW w:type="dxa" w:w="1191"/>
          </w:tcPr>
          <w:p>
            <w:pPr>
              <w:spacing w:after="0"/>
              <w:jc w:val="center"/>
            </w:pPr>
            <w:r/>
            <w:r>
              <w:rPr>
                <w:b/>
                <w:i w:val="0"/>
                <w:sz w:val="20"/>
              </w:rPr>
              <w:t>Label: pemakaian (lusin)</w:t>
            </w:r>
          </w:p>
        </w:tc>
      </w:tr>
      <w:tr>
        <w:tc>
          <w:tcPr>
            <w:tcW w:type="dxa" w:w="1247"/>
          </w:tcPr>
          <w:p>
            <w:pPr>
              <w:spacing w:after="0"/>
            </w:pPr>
            <w:r/>
            <w:r>
              <w:rPr>
                <w:b w:val="0"/>
                <w:i w:val="0"/>
                <w:sz w:val="20"/>
              </w:rPr>
              <w:t>Januari</w:t>
            </w:r>
          </w:p>
        </w:tc>
        <w:tc>
          <w:tcPr>
            <w:tcW w:type="dxa" w:w="1191"/>
          </w:tcPr>
          <w:p>
            <w:pPr>
              <w:spacing w:after="0"/>
              <w:jc w:val="center"/>
            </w:pPr>
            <w:r/>
            <w:r>
              <w:rPr>
                <w:b w:val="0"/>
                <w:i w:val="0"/>
                <w:sz w:val="20"/>
              </w:rPr>
              <w:t>3.966</w:t>
            </w:r>
          </w:p>
        </w:tc>
        <w:tc>
          <w:tcPr>
            <w:tcW w:type="dxa" w:w="1191"/>
          </w:tcPr>
          <w:p>
            <w:pPr>
              <w:spacing w:after="0"/>
              <w:jc w:val="center"/>
            </w:pPr>
            <w:r/>
            <w:r>
              <w:rPr>
                <w:b w:val="0"/>
                <w:i w:val="0"/>
                <w:sz w:val="20"/>
              </w:rPr>
              <w:t>3.804</w:t>
            </w:r>
          </w:p>
        </w:tc>
        <w:tc>
          <w:tcPr>
            <w:tcW w:type="dxa" w:w="1191"/>
          </w:tcPr>
          <w:p>
            <w:pPr>
              <w:spacing w:after="0"/>
              <w:jc w:val="center"/>
            </w:pPr>
            <w:r/>
            <w:r>
              <w:rPr>
                <w:b w:val="0"/>
                <w:i w:val="0"/>
                <w:sz w:val="20"/>
              </w:rPr>
              <w:t>809,5</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1.355</w:t>
            </w:r>
          </w:p>
        </w:tc>
        <w:tc>
          <w:tcPr>
            <w:tcW w:type="dxa" w:w="1191"/>
          </w:tcPr>
          <w:p>
            <w:pPr>
              <w:spacing w:after="0"/>
              <w:jc w:val="center"/>
            </w:pPr>
            <w:r/>
            <w:r>
              <w:rPr>
                <w:b w:val="0"/>
                <w:i w:val="0"/>
                <w:sz w:val="20"/>
              </w:rPr>
              <w:t>1.330</w:t>
            </w:r>
          </w:p>
        </w:tc>
      </w:tr>
      <w:tr>
        <w:tc>
          <w:tcPr>
            <w:tcW w:type="dxa" w:w="1247"/>
          </w:tcPr>
          <w:p>
            <w:pPr>
              <w:spacing w:after="0"/>
            </w:pPr>
            <w:r/>
            <w:r>
              <w:rPr>
                <w:b w:val="0"/>
                <w:i w:val="0"/>
                <w:sz w:val="20"/>
              </w:rPr>
              <w:t>Februari</w:t>
            </w:r>
          </w:p>
        </w:tc>
        <w:tc>
          <w:tcPr>
            <w:tcW w:type="dxa" w:w="1191"/>
          </w:tcPr>
          <w:p>
            <w:pPr>
              <w:spacing w:after="0"/>
              <w:jc w:val="center"/>
            </w:pPr>
            <w:r/>
            <w:r>
              <w:rPr>
                <w:b w:val="0"/>
                <w:i w:val="0"/>
                <w:sz w:val="20"/>
              </w:rPr>
              <w:t>4.306</w:t>
            </w:r>
          </w:p>
        </w:tc>
        <w:tc>
          <w:tcPr>
            <w:tcW w:type="dxa" w:w="1191"/>
          </w:tcPr>
          <w:p>
            <w:pPr>
              <w:spacing w:after="0"/>
              <w:jc w:val="center"/>
            </w:pPr>
            <w:r/>
            <w:r>
              <w:rPr>
                <w:b w:val="0"/>
                <w:i w:val="0"/>
                <w:sz w:val="20"/>
              </w:rPr>
              <w:t>4.224</w:t>
            </w:r>
          </w:p>
        </w:tc>
        <w:tc>
          <w:tcPr>
            <w:tcW w:type="dxa" w:w="1191"/>
          </w:tcPr>
          <w:p>
            <w:pPr>
              <w:spacing w:after="0"/>
              <w:jc w:val="center"/>
            </w:pPr>
            <w:r/>
            <w:r>
              <w:rPr>
                <w:b w:val="0"/>
                <w:i w:val="0"/>
                <w:sz w:val="20"/>
              </w:rPr>
              <w:t>871,2</w:t>
            </w:r>
          </w:p>
        </w:tc>
        <w:tc>
          <w:tcPr>
            <w:tcW w:type="dxa" w:w="1191"/>
          </w:tcPr>
          <w:p>
            <w:pPr>
              <w:spacing w:after="0"/>
              <w:jc w:val="center"/>
            </w:pPr>
            <w:r/>
            <w:r>
              <w:rPr>
                <w:b w:val="0"/>
                <w:i w:val="0"/>
                <w:sz w:val="20"/>
              </w:rPr>
              <w:t>867</w:t>
            </w:r>
          </w:p>
        </w:tc>
        <w:tc>
          <w:tcPr>
            <w:tcW w:type="dxa" w:w="1191"/>
          </w:tcPr>
          <w:p>
            <w:pPr>
              <w:spacing w:after="0"/>
              <w:jc w:val="center"/>
            </w:pPr>
            <w:r/>
            <w:r>
              <w:rPr>
                <w:b w:val="0"/>
                <w:i w:val="0"/>
                <w:sz w:val="20"/>
              </w:rPr>
              <w:t>1.449</w:t>
            </w:r>
          </w:p>
        </w:tc>
        <w:tc>
          <w:tcPr>
            <w:tcW w:type="dxa" w:w="1191"/>
          </w:tcPr>
          <w:p>
            <w:pPr>
              <w:spacing w:after="0"/>
              <w:jc w:val="center"/>
            </w:pPr>
            <w:r/>
            <w:r>
              <w:rPr>
                <w:b w:val="0"/>
                <w:i w:val="0"/>
                <w:sz w:val="20"/>
              </w:rPr>
              <w:t>1.412</w:t>
            </w:r>
          </w:p>
        </w:tc>
      </w:tr>
      <w:tr>
        <w:tc>
          <w:tcPr>
            <w:tcW w:type="dxa" w:w="1247"/>
          </w:tcPr>
          <w:p>
            <w:pPr>
              <w:spacing w:after="0"/>
            </w:pPr>
            <w:r/>
            <w:r>
              <w:rPr>
                <w:b w:val="0"/>
                <w:i w:val="0"/>
                <w:sz w:val="20"/>
              </w:rPr>
              <w:t>Maret</w:t>
            </w:r>
          </w:p>
        </w:tc>
        <w:tc>
          <w:tcPr>
            <w:tcW w:type="dxa" w:w="1191"/>
          </w:tcPr>
          <w:p>
            <w:pPr>
              <w:spacing w:after="0"/>
              <w:jc w:val="center"/>
            </w:pPr>
            <w:r/>
            <w:r>
              <w:rPr>
                <w:b w:val="0"/>
                <w:i w:val="0"/>
                <w:sz w:val="20"/>
              </w:rPr>
              <w:t>5.496</w:t>
            </w:r>
          </w:p>
        </w:tc>
        <w:tc>
          <w:tcPr>
            <w:tcW w:type="dxa" w:w="1191"/>
          </w:tcPr>
          <w:p>
            <w:pPr>
              <w:spacing w:after="0"/>
              <w:jc w:val="center"/>
            </w:pPr>
            <w:r/>
            <w:r>
              <w:rPr>
                <w:b w:val="0"/>
                <w:i w:val="0"/>
                <w:sz w:val="20"/>
              </w:rPr>
              <w:t>5.475</w:t>
            </w:r>
          </w:p>
        </w:tc>
        <w:tc>
          <w:tcPr>
            <w:tcW w:type="dxa" w:w="1191"/>
          </w:tcPr>
          <w:p>
            <w:pPr>
              <w:spacing w:after="0"/>
              <w:jc w:val="center"/>
            </w:pPr>
            <w:r/>
            <w:r>
              <w:rPr>
                <w:b w:val="0"/>
                <w:i w:val="0"/>
                <w:sz w:val="20"/>
              </w:rPr>
              <w:t>1.072,8</w:t>
            </w:r>
          </w:p>
        </w:tc>
        <w:tc>
          <w:tcPr>
            <w:tcW w:type="dxa" w:w="1191"/>
          </w:tcPr>
          <w:p>
            <w:pPr>
              <w:spacing w:after="0"/>
              <w:jc w:val="center"/>
            </w:pPr>
            <w:r/>
            <w:r>
              <w:rPr>
                <w:b w:val="0"/>
                <w:i w:val="0"/>
                <w:sz w:val="20"/>
              </w:rPr>
              <w:t>1.065</w:t>
            </w:r>
          </w:p>
        </w:tc>
        <w:tc>
          <w:tcPr>
            <w:tcW w:type="dxa" w:w="1191"/>
          </w:tcPr>
          <w:p>
            <w:pPr>
              <w:spacing w:after="0"/>
              <w:jc w:val="center"/>
            </w:pPr>
            <w:r/>
            <w:r>
              <w:rPr>
                <w:b w:val="0"/>
                <w:i w:val="0"/>
                <w:sz w:val="20"/>
              </w:rPr>
              <w:t>1.788</w:t>
            </w:r>
          </w:p>
        </w:tc>
        <w:tc>
          <w:tcPr>
            <w:tcW w:type="dxa" w:w="1191"/>
          </w:tcPr>
          <w:p>
            <w:pPr>
              <w:spacing w:after="0"/>
              <w:jc w:val="center"/>
            </w:pPr>
            <w:r/>
            <w:r>
              <w:rPr>
                <w:b w:val="0"/>
                <w:i w:val="0"/>
                <w:sz w:val="20"/>
              </w:rPr>
              <w:t>1.785</w:t>
            </w:r>
          </w:p>
        </w:tc>
      </w:tr>
      <w:tr>
        <w:tc>
          <w:tcPr>
            <w:tcW w:type="dxa" w:w="1247"/>
          </w:tcPr>
          <w:p>
            <w:pPr>
              <w:spacing w:after="0"/>
            </w:pPr>
            <w:r/>
            <w:r>
              <w:rPr>
                <w:b w:val="0"/>
                <w:i w:val="0"/>
                <w:sz w:val="20"/>
              </w:rPr>
              <w:t>April</w:t>
            </w:r>
          </w:p>
        </w:tc>
        <w:tc>
          <w:tcPr>
            <w:tcW w:type="dxa" w:w="1191"/>
          </w:tcPr>
          <w:p>
            <w:pPr>
              <w:spacing w:after="0"/>
              <w:jc w:val="center"/>
            </w:pPr>
            <w:r/>
            <w:r>
              <w:rPr>
                <w:b w:val="0"/>
                <w:i w:val="0"/>
                <w:sz w:val="20"/>
              </w:rPr>
              <w:t>5.871</w:t>
            </w:r>
          </w:p>
        </w:tc>
        <w:tc>
          <w:tcPr>
            <w:tcW w:type="dxa" w:w="1191"/>
          </w:tcPr>
          <w:p>
            <w:pPr>
              <w:spacing w:after="0"/>
              <w:jc w:val="center"/>
            </w:pPr>
            <w:r/>
            <w:r>
              <w:rPr>
                <w:b w:val="0"/>
                <w:i w:val="0"/>
                <w:sz w:val="20"/>
              </w:rPr>
              <w:t>5.849</w:t>
            </w:r>
          </w:p>
        </w:tc>
        <w:tc>
          <w:tcPr>
            <w:tcW w:type="dxa" w:w="1191"/>
          </w:tcPr>
          <w:p>
            <w:pPr>
              <w:spacing w:after="0"/>
              <w:jc w:val="center"/>
            </w:pPr>
            <w:r/>
            <w:r>
              <w:rPr>
                <w:b w:val="0"/>
                <w:i w:val="0"/>
                <w:sz w:val="20"/>
              </w:rPr>
              <w:t>1.127,4</w:t>
            </w:r>
          </w:p>
        </w:tc>
        <w:tc>
          <w:tcPr>
            <w:tcW w:type="dxa" w:w="1191"/>
          </w:tcPr>
          <w:p>
            <w:pPr>
              <w:spacing w:after="0"/>
              <w:jc w:val="center"/>
            </w:pPr>
            <w:r/>
            <w:r>
              <w:rPr>
                <w:b w:val="0"/>
                <w:i w:val="0"/>
                <w:sz w:val="20"/>
              </w:rPr>
              <w:t>1.084</w:t>
            </w:r>
          </w:p>
        </w:tc>
        <w:tc>
          <w:tcPr>
            <w:tcW w:type="dxa" w:w="1191"/>
          </w:tcPr>
          <w:p>
            <w:pPr>
              <w:spacing w:after="0"/>
              <w:jc w:val="center"/>
            </w:pPr>
            <w:r/>
            <w:r>
              <w:rPr>
                <w:b w:val="0"/>
                <w:i w:val="0"/>
                <w:sz w:val="20"/>
              </w:rPr>
              <w:t>1.915</w:t>
            </w:r>
          </w:p>
        </w:tc>
        <w:tc>
          <w:tcPr>
            <w:tcW w:type="dxa" w:w="1191"/>
          </w:tcPr>
          <w:p>
            <w:pPr>
              <w:spacing w:after="0"/>
              <w:jc w:val="center"/>
            </w:pPr>
            <w:r/>
            <w:r>
              <w:rPr>
                <w:b w:val="0"/>
                <w:i w:val="0"/>
                <w:sz w:val="20"/>
              </w:rPr>
              <w:t>1.845</w:t>
            </w:r>
          </w:p>
        </w:tc>
      </w:tr>
      <w:tr>
        <w:tc>
          <w:tcPr>
            <w:tcW w:type="dxa" w:w="1247"/>
          </w:tcPr>
          <w:p>
            <w:pPr>
              <w:spacing w:after="0"/>
            </w:pPr>
            <w:r/>
            <w:r>
              <w:rPr>
                <w:b w:val="0"/>
                <w:i w:val="0"/>
                <w:sz w:val="20"/>
              </w:rPr>
              <w:t>Mei</w:t>
            </w:r>
          </w:p>
        </w:tc>
        <w:tc>
          <w:tcPr>
            <w:tcW w:type="dxa" w:w="1191"/>
          </w:tcPr>
          <w:p>
            <w:pPr>
              <w:spacing w:after="0"/>
              <w:jc w:val="center"/>
            </w:pPr>
            <w:r/>
            <w:r>
              <w:rPr>
                <w:b w:val="0"/>
                <w:i w:val="0"/>
                <w:sz w:val="20"/>
              </w:rPr>
              <w:t>3.030</w:t>
            </w:r>
          </w:p>
        </w:tc>
        <w:tc>
          <w:tcPr>
            <w:tcW w:type="dxa" w:w="1191"/>
          </w:tcPr>
          <w:p>
            <w:pPr>
              <w:spacing w:after="0"/>
              <w:jc w:val="center"/>
            </w:pPr>
            <w:r/>
            <w:r>
              <w:rPr>
                <w:b w:val="0"/>
                <w:i w:val="0"/>
                <w:sz w:val="20"/>
              </w:rPr>
              <w:t>2.923</w:t>
            </w:r>
          </w:p>
        </w:tc>
        <w:tc>
          <w:tcPr>
            <w:tcW w:type="dxa" w:w="1191"/>
          </w:tcPr>
          <w:p>
            <w:pPr>
              <w:spacing w:after="0"/>
              <w:jc w:val="center"/>
            </w:pPr>
            <w:r/>
            <w:r>
              <w:rPr>
                <w:b w:val="0"/>
                <w:i w:val="0"/>
                <w:sz w:val="20"/>
              </w:rPr>
              <w:t>624,7</w:t>
            </w:r>
          </w:p>
        </w:tc>
        <w:tc>
          <w:tcPr>
            <w:tcW w:type="dxa" w:w="1191"/>
          </w:tcPr>
          <w:p>
            <w:pPr>
              <w:spacing w:after="0"/>
              <w:jc w:val="center"/>
            </w:pPr>
            <w:r/>
            <w:r>
              <w:rPr>
                <w:b w:val="0"/>
                <w:i w:val="0"/>
                <w:sz w:val="20"/>
              </w:rPr>
              <w:t>615</w:t>
            </w:r>
          </w:p>
        </w:tc>
        <w:tc>
          <w:tcPr>
            <w:tcW w:type="dxa" w:w="1191"/>
          </w:tcPr>
          <w:p>
            <w:pPr>
              <w:spacing w:after="0"/>
              <w:jc w:val="center"/>
            </w:pPr>
            <w:r/>
            <w:r>
              <w:rPr>
                <w:b w:val="0"/>
                <w:i w:val="0"/>
                <w:sz w:val="20"/>
              </w:rPr>
              <w:t>1.001</w:t>
            </w:r>
          </w:p>
        </w:tc>
        <w:tc>
          <w:tcPr>
            <w:tcW w:type="dxa" w:w="1191"/>
          </w:tcPr>
          <w:p>
            <w:pPr>
              <w:spacing w:after="0"/>
              <w:jc w:val="center"/>
            </w:pPr>
            <w:r/>
            <w:r>
              <w:rPr>
                <w:b w:val="0"/>
                <w:i w:val="0"/>
                <w:sz w:val="20"/>
              </w:rPr>
              <w:t>995</w:t>
            </w:r>
          </w:p>
        </w:tc>
      </w:tr>
      <w:tr>
        <w:tc>
          <w:tcPr>
            <w:tcW w:type="dxa" w:w="1247"/>
          </w:tcPr>
          <w:p>
            <w:pPr>
              <w:spacing w:after="0"/>
            </w:pPr>
            <w:r/>
            <w:r>
              <w:rPr>
                <w:b w:val="0"/>
                <w:i w:val="0"/>
                <w:sz w:val="20"/>
              </w:rPr>
              <w:t>Juni</w:t>
            </w:r>
          </w:p>
        </w:tc>
        <w:tc>
          <w:tcPr>
            <w:tcW w:type="dxa" w:w="1191"/>
          </w:tcPr>
          <w:p>
            <w:pPr>
              <w:spacing w:after="0"/>
              <w:jc w:val="center"/>
            </w:pPr>
            <w:r/>
            <w:r>
              <w:rPr>
                <w:b w:val="0"/>
                <w:i w:val="0"/>
                <w:sz w:val="20"/>
              </w:rPr>
              <w:t>4.055</w:t>
            </w:r>
          </w:p>
        </w:tc>
        <w:tc>
          <w:tcPr>
            <w:tcW w:type="dxa" w:w="1191"/>
          </w:tcPr>
          <w:p>
            <w:pPr>
              <w:spacing w:after="0"/>
              <w:jc w:val="center"/>
            </w:pPr>
            <w:r/>
            <w:r>
              <w:rPr>
                <w:b w:val="0"/>
                <w:i w:val="0"/>
                <w:sz w:val="20"/>
              </w:rPr>
              <w:t>3.960</w:t>
            </w:r>
          </w:p>
        </w:tc>
        <w:tc>
          <w:tcPr>
            <w:tcW w:type="dxa" w:w="1191"/>
          </w:tcPr>
          <w:p>
            <w:pPr>
              <w:spacing w:after="0"/>
              <w:jc w:val="center"/>
            </w:pPr>
            <w:r/>
            <w:r>
              <w:rPr>
                <w:b w:val="0"/>
                <w:i w:val="0"/>
                <w:sz w:val="20"/>
              </w:rPr>
              <w:t>787,1</w:t>
            </w:r>
          </w:p>
        </w:tc>
        <w:tc>
          <w:tcPr>
            <w:tcW w:type="dxa" w:w="1191"/>
          </w:tcPr>
          <w:p>
            <w:pPr>
              <w:spacing w:after="0"/>
              <w:jc w:val="center"/>
            </w:pPr>
            <w:r/>
            <w:r>
              <w:rPr>
                <w:b w:val="0"/>
                <w:i w:val="0"/>
                <w:sz w:val="20"/>
              </w:rPr>
              <w:t>760</w:t>
            </w:r>
          </w:p>
        </w:tc>
        <w:tc>
          <w:tcPr>
            <w:tcW w:type="dxa" w:w="1191"/>
          </w:tcPr>
          <w:p>
            <w:pPr>
              <w:spacing w:after="0"/>
              <w:jc w:val="center"/>
            </w:pPr>
            <w:r/>
            <w:r>
              <w:rPr>
                <w:b w:val="0"/>
                <w:i w:val="0"/>
                <w:sz w:val="20"/>
              </w:rPr>
              <w:t>1.326</w:t>
            </w:r>
          </w:p>
        </w:tc>
        <w:tc>
          <w:tcPr>
            <w:tcW w:type="dxa" w:w="1191"/>
          </w:tcPr>
          <w:p>
            <w:pPr>
              <w:spacing w:after="0"/>
              <w:jc w:val="center"/>
            </w:pPr>
            <w:r/>
            <w:r>
              <w:rPr>
                <w:b w:val="0"/>
                <w:i w:val="0"/>
                <w:sz w:val="20"/>
              </w:rPr>
              <w:t>1.314</w:t>
            </w:r>
          </w:p>
        </w:tc>
      </w:tr>
      <w:tr>
        <w:tc>
          <w:tcPr>
            <w:tcW w:type="dxa" w:w="1247"/>
          </w:tcPr>
          <w:p>
            <w:pPr>
              <w:spacing w:after="0"/>
            </w:pPr>
            <w:r/>
            <w:r>
              <w:rPr>
                <w:b w:val="0"/>
                <w:i w:val="0"/>
                <w:sz w:val="20"/>
              </w:rPr>
              <w:t>Juli</w:t>
            </w:r>
          </w:p>
        </w:tc>
        <w:tc>
          <w:tcPr>
            <w:tcW w:type="dxa" w:w="1191"/>
          </w:tcPr>
          <w:p>
            <w:pPr>
              <w:spacing w:after="0"/>
              <w:jc w:val="center"/>
            </w:pPr>
            <w:r/>
            <w:r>
              <w:rPr>
                <w:b w:val="0"/>
                <w:i w:val="0"/>
                <w:sz w:val="20"/>
              </w:rPr>
              <w:t>3.790</w:t>
            </w:r>
          </w:p>
        </w:tc>
        <w:tc>
          <w:tcPr>
            <w:tcW w:type="dxa" w:w="1191"/>
          </w:tcPr>
          <w:p>
            <w:pPr>
              <w:spacing w:after="0"/>
              <w:jc w:val="center"/>
            </w:pPr>
            <w:r/>
            <w:r>
              <w:rPr>
                <w:b w:val="0"/>
                <w:i w:val="0"/>
                <w:sz w:val="20"/>
              </w:rPr>
              <w:t>3.672</w:t>
            </w:r>
          </w:p>
        </w:tc>
        <w:tc>
          <w:tcPr>
            <w:tcW w:type="dxa" w:w="1191"/>
          </w:tcPr>
          <w:p>
            <w:pPr>
              <w:spacing w:after="0"/>
              <w:jc w:val="center"/>
            </w:pPr>
            <w:r/>
            <w:r>
              <w:rPr>
                <w:b w:val="0"/>
                <w:i w:val="0"/>
                <w:sz w:val="20"/>
              </w:rPr>
              <w:t>756,4</w:t>
            </w:r>
          </w:p>
        </w:tc>
        <w:tc>
          <w:tcPr>
            <w:tcW w:type="dxa" w:w="1191"/>
          </w:tcPr>
          <w:p>
            <w:pPr>
              <w:spacing w:after="0"/>
              <w:jc w:val="center"/>
            </w:pPr>
            <w:r/>
            <w:r>
              <w:rPr>
                <w:b w:val="0"/>
                <w:i w:val="0"/>
                <w:sz w:val="20"/>
              </w:rPr>
              <w:t>721</w:t>
            </w:r>
          </w:p>
        </w:tc>
        <w:tc>
          <w:tcPr>
            <w:tcW w:type="dxa" w:w="1191"/>
          </w:tcPr>
          <w:p>
            <w:pPr>
              <w:spacing w:after="0"/>
              <w:jc w:val="center"/>
            </w:pPr>
            <w:r/>
            <w:r>
              <w:rPr>
                <w:b w:val="0"/>
                <w:i w:val="0"/>
                <w:sz w:val="20"/>
              </w:rPr>
              <w:t>1.317</w:t>
            </w:r>
          </w:p>
        </w:tc>
        <w:tc>
          <w:tcPr>
            <w:tcW w:type="dxa" w:w="1191"/>
          </w:tcPr>
          <w:p>
            <w:pPr>
              <w:spacing w:after="0"/>
              <w:jc w:val="center"/>
            </w:pPr>
            <w:r/>
            <w:r>
              <w:rPr>
                <w:b w:val="0"/>
                <w:i w:val="0"/>
                <w:sz w:val="20"/>
              </w:rPr>
              <w:t>1.306</w:t>
            </w:r>
          </w:p>
        </w:tc>
      </w:tr>
      <w:tr>
        <w:tc>
          <w:tcPr>
            <w:tcW w:type="dxa" w:w="1247"/>
          </w:tcPr>
          <w:p>
            <w:pPr>
              <w:spacing w:after="0"/>
            </w:pPr>
            <w:r/>
            <w:r>
              <w:rPr>
                <w:b w:val="0"/>
                <w:i w:val="0"/>
                <w:sz w:val="20"/>
              </w:rPr>
              <w:t>Agustus</w:t>
            </w:r>
          </w:p>
        </w:tc>
        <w:tc>
          <w:tcPr>
            <w:tcW w:type="dxa" w:w="1191"/>
          </w:tcPr>
          <w:p>
            <w:pPr>
              <w:spacing w:after="0"/>
              <w:jc w:val="center"/>
            </w:pPr>
            <w:r/>
            <w:r>
              <w:rPr>
                <w:b w:val="0"/>
                <w:i w:val="0"/>
                <w:sz w:val="20"/>
              </w:rPr>
              <w:t>4.031</w:t>
            </w:r>
          </w:p>
        </w:tc>
        <w:tc>
          <w:tcPr>
            <w:tcW w:type="dxa" w:w="1191"/>
          </w:tcPr>
          <w:p>
            <w:pPr>
              <w:spacing w:after="0"/>
              <w:jc w:val="center"/>
            </w:pPr>
            <w:r/>
            <w:r>
              <w:rPr>
                <w:b w:val="0"/>
                <w:i w:val="0"/>
                <w:sz w:val="20"/>
              </w:rPr>
              <w:t>3.943</w:t>
            </w:r>
          </w:p>
        </w:tc>
        <w:tc>
          <w:tcPr>
            <w:tcW w:type="dxa" w:w="1191"/>
          </w:tcPr>
          <w:p>
            <w:pPr>
              <w:spacing w:after="0"/>
              <w:jc w:val="center"/>
            </w:pPr>
            <w:r/>
            <w:r>
              <w:rPr>
                <w:b w:val="0"/>
                <w:i w:val="0"/>
                <w:sz w:val="20"/>
              </w:rPr>
              <w:t>795,4</w:t>
            </w:r>
          </w:p>
        </w:tc>
        <w:tc>
          <w:tcPr>
            <w:tcW w:type="dxa" w:w="1191"/>
          </w:tcPr>
          <w:p>
            <w:pPr>
              <w:spacing w:after="0"/>
              <w:jc w:val="center"/>
            </w:pPr>
            <w:r/>
            <w:r>
              <w:rPr>
                <w:b w:val="0"/>
                <w:i w:val="0"/>
                <w:sz w:val="20"/>
              </w:rPr>
              <w:t>783</w:t>
            </w:r>
          </w:p>
        </w:tc>
        <w:tc>
          <w:tcPr>
            <w:tcW w:type="dxa" w:w="1191"/>
          </w:tcPr>
          <w:p>
            <w:pPr>
              <w:spacing w:after="0"/>
              <w:jc w:val="center"/>
            </w:pPr>
            <w:r/>
            <w:r>
              <w:rPr>
                <w:b w:val="0"/>
                <w:i w:val="0"/>
                <w:sz w:val="20"/>
              </w:rPr>
              <w:t>1.272</w:t>
            </w:r>
          </w:p>
        </w:tc>
        <w:tc>
          <w:tcPr>
            <w:tcW w:type="dxa" w:w="1191"/>
          </w:tcPr>
          <w:p>
            <w:pPr>
              <w:spacing w:after="0"/>
              <w:jc w:val="center"/>
            </w:pPr>
            <w:r/>
            <w:r>
              <w:rPr>
                <w:b w:val="0"/>
                <w:i w:val="0"/>
                <w:sz w:val="20"/>
              </w:rPr>
              <w:t>1.265</w:t>
            </w:r>
          </w:p>
        </w:tc>
      </w:tr>
      <w:tr>
        <w:tc>
          <w:tcPr>
            <w:tcW w:type="dxa" w:w="1247"/>
          </w:tcPr>
          <w:p>
            <w:pPr>
              <w:spacing w:after="0"/>
            </w:pPr>
            <w:r/>
            <w:r>
              <w:rPr>
                <w:b w:val="0"/>
                <w:i w:val="0"/>
                <w:sz w:val="20"/>
              </w:rPr>
              <w:t>September</w:t>
            </w:r>
          </w:p>
        </w:tc>
        <w:tc>
          <w:tcPr>
            <w:tcW w:type="dxa" w:w="1191"/>
          </w:tcPr>
          <w:p>
            <w:pPr>
              <w:spacing w:after="0"/>
              <w:jc w:val="center"/>
            </w:pPr>
            <w:r/>
            <w:r>
              <w:rPr>
                <w:b w:val="0"/>
                <w:i w:val="0"/>
                <w:sz w:val="20"/>
              </w:rPr>
              <w:t>3.712</w:t>
            </w:r>
          </w:p>
        </w:tc>
        <w:tc>
          <w:tcPr>
            <w:tcW w:type="dxa" w:w="1191"/>
          </w:tcPr>
          <w:p>
            <w:pPr>
              <w:spacing w:after="0"/>
              <w:jc w:val="center"/>
            </w:pPr>
            <w:r/>
            <w:r>
              <w:rPr>
                <w:b w:val="0"/>
                <w:i w:val="0"/>
                <w:sz w:val="20"/>
              </w:rPr>
              <w:t>3.650</w:t>
            </w:r>
          </w:p>
        </w:tc>
        <w:tc>
          <w:tcPr>
            <w:tcW w:type="dxa" w:w="1191"/>
          </w:tcPr>
          <w:p>
            <w:pPr>
              <w:spacing w:after="0"/>
              <w:jc w:val="center"/>
            </w:pPr>
            <w:r/>
            <w:r>
              <w:rPr>
                <w:b w:val="0"/>
                <w:i w:val="0"/>
                <w:sz w:val="20"/>
              </w:rPr>
              <w:t>759,9</w:t>
            </w:r>
          </w:p>
        </w:tc>
        <w:tc>
          <w:tcPr>
            <w:tcW w:type="dxa" w:w="1191"/>
          </w:tcPr>
          <w:p>
            <w:pPr>
              <w:spacing w:after="0"/>
              <w:jc w:val="center"/>
            </w:pPr>
            <w:r/>
            <w:r>
              <w:rPr>
                <w:b w:val="0"/>
                <w:i w:val="0"/>
                <w:sz w:val="20"/>
              </w:rPr>
              <w:t>726</w:t>
            </w:r>
          </w:p>
        </w:tc>
        <w:tc>
          <w:tcPr>
            <w:tcW w:type="dxa" w:w="1191"/>
          </w:tcPr>
          <w:p>
            <w:pPr>
              <w:spacing w:after="0"/>
              <w:jc w:val="center"/>
            </w:pPr>
            <w:r/>
            <w:r>
              <w:rPr>
                <w:b w:val="0"/>
                <w:i w:val="0"/>
                <w:sz w:val="20"/>
              </w:rPr>
              <w:t>1.279</w:t>
            </w:r>
          </w:p>
        </w:tc>
        <w:tc>
          <w:tcPr>
            <w:tcW w:type="dxa" w:w="1191"/>
          </w:tcPr>
          <w:p>
            <w:pPr>
              <w:spacing w:after="0"/>
              <w:jc w:val="center"/>
            </w:pPr>
            <w:r/>
            <w:r>
              <w:rPr>
                <w:b w:val="0"/>
                <w:i w:val="0"/>
                <w:sz w:val="20"/>
              </w:rPr>
              <w:t>1.218</w:t>
            </w:r>
          </w:p>
        </w:tc>
      </w:tr>
      <w:tr>
        <w:tc>
          <w:tcPr>
            <w:tcW w:type="dxa" w:w="1247"/>
          </w:tcPr>
          <w:p>
            <w:pPr>
              <w:spacing w:after="0"/>
            </w:pPr>
            <w:r/>
            <w:r>
              <w:rPr>
                <w:b w:val="0"/>
                <w:i w:val="0"/>
                <w:sz w:val="20"/>
              </w:rPr>
              <w:t>Oktober</w:t>
            </w:r>
          </w:p>
        </w:tc>
        <w:tc>
          <w:tcPr>
            <w:tcW w:type="dxa" w:w="1191"/>
          </w:tcPr>
          <w:p>
            <w:pPr>
              <w:spacing w:after="0"/>
              <w:jc w:val="center"/>
            </w:pPr>
            <w:r/>
            <w:r>
              <w:rPr>
                <w:b w:val="0"/>
                <w:i w:val="0"/>
                <w:sz w:val="20"/>
              </w:rPr>
              <w:t>4.054</w:t>
            </w:r>
          </w:p>
        </w:tc>
        <w:tc>
          <w:tcPr>
            <w:tcW w:type="dxa" w:w="1191"/>
          </w:tcPr>
          <w:p>
            <w:pPr>
              <w:spacing w:after="0"/>
              <w:jc w:val="center"/>
            </w:pPr>
            <w:r/>
            <w:r>
              <w:rPr>
                <w:b w:val="0"/>
                <w:i w:val="0"/>
                <w:sz w:val="20"/>
              </w:rPr>
              <w:t>4.032</w:t>
            </w:r>
          </w:p>
        </w:tc>
        <w:tc>
          <w:tcPr>
            <w:tcW w:type="dxa" w:w="1191"/>
          </w:tcPr>
          <w:p>
            <w:pPr>
              <w:spacing w:after="0"/>
              <w:jc w:val="center"/>
            </w:pPr>
            <w:r/>
            <w:r>
              <w:rPr>
                <w:b w:val="0"/>
                <w:i w:val="0"/>
                <w:sz w:val="20"/>
              </w:rPr>
              <w:t>819,6</w:t>
            </w:r>
          </w:p>
        </w:tc>
        <w:tc>
          <w:tcPr>
            <w:tcW w:type="dxa" w:w="1191"/>
          </w:tcPr>
          <w:p>
            <w:pPr>
              <w:spacing w:after="0"/>
              <w:jc w:val="center"/>
            </w:pPr>
            <w:r/>
            <w:r>
              <w:rPr>
                <w:b w:val="0"/>
                <w:i w:val="0"/>
                <w:sz w:val="20"/>
              </w:rPr>
              <w:t>810</w:t>
            </w:r>
          </w:p>
        </w:tc>
        <w:tc>
          <w:tcPr>
            <w:tcW w:type="dxa" w:w="1191"/>
          </w:tcPr>
          <w:p>
            <w:pPr>
              <w:spacing w:after="0"/>
              <w:jc w:val="center"/>
            </w:pPr>
            <w:r/>
            <w:r>
              <w:rPr>
                <w:b w:val="0"/>
                <w:i w:val="0"/>
                <w:sz w:val="20"/>
              </w:rPr>
              <w:t>1.320</w:t>
            </w:r>
          </w:p>
        </w:tc>
        <w:tc>
          <w:tcPr>
            <w:tcW w:type="dxa" w:w="1191"/>
          </w:tcPr>
          <w:p>
            <w:pPr>
              <w:spacing w:after="0"/>
              <w:jc w:val="center"/>
            </w:pPr>
            <w:r/>
            <w:r>
              <w:rPr>
                <w:b w:val="0"/>
                <w:i w:val="0"/>
                <w:sz w:val="20"/>
              </w:rPr>
              <w:t>1.286</w:t>
            </w:r>
          </w:p>
        </w:tc>
      </w:tr>
      <w:tr>
        <w:tc>
          <w:tcPr>
            <w:tcW w:type="dxa" w:w="1247"/>
          </w:tcPr>
          <w:p>
            <w:pPr>
              <w:spacing w:after="0"/>
            </w:pPr>
            <w:r/>
            <w:r>
              <w:rPr>
                <w:b w:val="0"/>
                <w:i w:val="0"/>
                <w:sz w:val="20"/>
              </w:rPr>
              <w:t>November</w:t>
            </w:r>
          </w:p>
        </w:tc>
        <w:tc>
          <w:tcPr>
            <w:tcW w:type="dxa" w:w="1191"/>
          </w:tcPr>
          <w:p>
            <w:pPr>
              <w:spacing w:after="0"/>
              <w:jc w:val="center"/>
            </w:pPr>
            <w:r/>
            <w:r>
              <w:rPr>
                <w:b w:val="0"/>
                <w:i w:val="0"/>
                <w:sz w:val="20"/>
              </w:rPr>
              <w:t>3.764</w:t>
            </w:r>
          </w:p>
        </w:tc>
        <w:tc>
          <w:tcPr>
            <w:tcW w:type="dxa" w:w="1191"/>
          </w:tcPr>
          <w:p>
            <w:pPr>
              <w:spacing w:after="0"/>
              <w:jc w:val="center"/>
            </w:pPr>
            <w:r/>
            <w:r>
              <w:rPr>
                <w:b w:val="0"/>
                <w:i w:val="0"/>
                <w:sz w:val="20"/>
              </w:rPr>
              <w:t>3.703</w:t>
            </w:r>
          </w:p>
        </w:tc>
        <w:tc>
          <w:tcPr>
            <w:tcW w:type="dxa" w:w="1191"/>
          </w:tcPr>
          <w:p>
            <w:pPr>
              <w:spacing w:after="0"/>
              <w:jc w:val="center"/>
            </w:pPr>
            <w:r/>
            <w:r>
              <w:rPr>
                <w:b w:val="0"/>
                <w:i w:val="0"/>
                <w:sz w:val="20"/>
              </w:rPr>
              <w:t>765,9</w:t>
            </w:r>
          </w:p>
        </w:tc>
        <w:tc>
          <w:tcPr>
            <w:tcW w:type="dxa" w:w="1191"/>
          </w:tcPr>
          <w:p>
            <w:pPr>
              <w:spacing w:after="0"/>
              <w:jc w:val="center"/>
            </w:pPr>
            <w:r/>
            <w:r>
              <w:rPr>
                <w:b w:val="0"/>
                <w:i w:val="0"/>
                <w:sz w:val="20"/>
              </w:rPr>
              <w:t>740</w:t>
            </w:r>
          </w:p>
        </w:tc>
        <w:tc>
          <w:tcPr>
            <w:tcW w:type="dxa" w:w="1191"/>
          </w:tcPr>
          <w:p>
            <w:pPr>
              <w:spacing w:after="0"/>
              <w:jc w:val="center"/>
            </w:pPr>
            <w:r/>
            <w:r>
              <w:rPr>
                <w:b w:val="0"/>
                <w:i w:val="0"/>
                <w:sz w:val="20"/>
              </w:rPr>
              <w:t>1.240</w:t>
            </w:r>
          </w:p>
        </w:tc>
        <w:tc>
          <w:tcPr>
            <w:tcW w:type="dxa" w:w="1191"/>
          </w:tcPr>
          <w:p>
            <w:pPr>
              <w:spacing w:after="0"/>
              <w:jc w:val="center"/>
            </w:pPr>
            <w:r/>
            <w:r>
              <w:rPr>
                <w:b w:val="0"/>
                <w:i w:val="0"/>
                <w:sz w:val="20"/>
              </w:rPr>
              <w:t>1.201</w:t>
            </w:r>
          </w:p>
        </w:tc>
      </w:tr>
      <w:tr>
        <w:tc>
          <w:tcPr>
            <w:tcW w:type="dxa" w:w="1247"/>
          </w:tcPr>
          <w:p>
            <w:pPr>
              <w:spacing w:after="0"/>
            </w:pPr>
            <w:r/>
            <w:r>
              <w:rPr>
                <w:b w:val="0"/>
                <w:i w:val="0"/>
                <w:sz w:val="20"/>
              </w:rPr>
              <w:t>Desember</w:t>
            </w:r>
          </w:p>
        </w:tc>
        <w:tc>
          <w:tcPr>
            <w:tcW w:type="dxa" w:w="1191"/>
          </w:tcPr>
          <w:p>
            <w:pPr>
              <w:spacing w:after="0"/>
              <w:jc w:val="center"/>
            </w:pPr>
            <w:r/>
            <w:r>
              <w:rPr>
                <w:b w:val="0"/>
                <w:i w:val="0"/>
                <w:sz w:val="20"/>
              </w:rPr>
              <w:t>4.086</w:t>
            </w:r>
          </w:p>
        </w:tc>
        <w:tc>
          <w:tcPr>
            <w:tcW w:type="dxa" w:w="1191"/>
          </w:tcPr>
          <w:p>
            <w:pPr>
              <w:spacing w:after="0"/>
              <w:jc w:val="center"/>
            </w:pPr>
            <w:r/>
            <w:r>
              <w:rPr>
                <w:b w:val="0"/>
                <w:i w:val="0"/>
                <w:sz w:val="20"/>
              </w:rPr>
              <w:t>3.981</w:t>
            </w:r>
          </w:p>
        </w:tc>
        <w:tc>
          <w:tcPr>
            <w:tcW w:type="dxa" w:w="1191"/>
          </w:tcPr>
          <w:p>
            <w:pPr>
              <w:spacing w:after="0"/>
              <w:jc w:val="center"/>
            </w:pPr>
            <w:r/>
            <w:r>
              <w:rPr>
                <w:b w:val="0"/>
                <w:i w:val="0"/>
                <w:sz w:val="20"/>
              </w:rPr>
              <w:t>825,8</w:t>
            </w:r>
          </w:p>
        </w:tc>
        <w:tc>
          <w:tcPr>
            <w:tcW w:type="dxa" w:w="1191"/>
          </w:tcPr>
          <w:p>
            <w:pPr>
              <w:spacing w:after="0"/>
              <w:jc w:val="center"/>
            </w:pPr>
            <w:r/>
            <w:r>
              <w:rPr>
                <w:b w:val="0"/>
                <w:i w:val="0"/>
                <w:sz w:val="20"/>
              </w:rPr>
              <w:t>805</w:t>
            </w:r>
          </w:p>
        </w:tc>
        <w:tc>
          <w:tcPr>
            <w:tcW w:type="dxa" w:w="1191"/>
          </w:tcPr>
          <w:p>
            <w:pPr>
              <w:spacing w:after="0"/>
              <w:jc w:val="center"/>
            </w:pPr>
            <w:r/>
            <w:r>
              <w:rPr>
                <w:b w:val="0"/>
                <w:i w:val="0"/>
                <w:sz w:val="20"/>
              </w:rPr>
              <w:t>1.367</w:t>
            </w:r>
          </w:p>
        </w:tc>
        <w:tc>
          <w:tcPr>
            <w:tcW w:type="dxa" w:w="1191"/>
          </w:tcPr>
          <w:p>
            <w:pPr>
              <w:spacing w:after="0"/>
              <w:jc w:val="center"/>
            </w:pPr>
            <w:r/>
            <w:r>
              <w:rPr>
                <w:b w:val="0"/>
                <w:i w:val="0"/>
                <w:sz w:val="20"/>
              </w:rPr>
              <w:t>1.342</w:t>
            </w:r>
          </w:p>
        </w:tc>
      </w:tr>
      <w:tr>
        <w:tc>
          <w:tcPr>
            <w:tcW w:type="dxa" w:w="1247"/>
          </w:tcPr>
          <w:p>
            <w:pPr>
              <w:spacing w:after="0"/>
            </w:pPr>
            <w:r/>
            <w:r>
              <w:rPr>
                <w:b w:val="0"/>
                <w:i w:val="0"/>
                <w:sz w:val="20"/>
              </w:rPr>
              <w:t>Total</w:t>
            </w:r>
          </w:p>
        </w:tc>
        <w:tc>
          <w:tcPr>
            <w:tcW w:type="dxa" w:w="1191"/>
          </w:tcPr>
          <w:p>
            <w:pPr>
              <w:spacing w:after="0"/>
              <w:jc w:val="center"/>
            </w:pPr>
            <w:r/>
            <w:r>
              <w:rPr>
                <w:b w:val="0"/>
                <w:i w:val="0"/>
                <w:sz w:val="20"/>
              </w:rPr>
              <w:t>50.161</w:t>
            </w:r>
          </w:p>
        </w:tc>
        <w:tc>
          <w:tcPr>
            <w:tcW w:type="dxa" w:w="1191"/>
          </w:tcPr>
          <w:p>
            <w:pPr>
              <w:spacing w:after="0"/>
              <w:jc w:val="center"/>
            </w:pPr>
            <w:r/>
            <w:r>
              <w:rPr>
                <w:b w:val="0"/>
                <w:i w:val="0"/>
                <w:sz w:val="20"/>
              </w:rPr>
              <w:t>49.216</w:t>
            </w:r>
          </w:p>
        </w:tc>
        <w:tc>
          <w:tcPr>
            <w:tcW w:type="dxa" w:w="1191"/>
          </w:tcPr>
          <w:p>
            <w:pPr>
              <w:spacing w:after="0"/>
              <w:jc w:val="center"/>
            </w:pPr>
            <w:r/>
            <w:r>
              <w:rPr>
                <w:b w:val="0"/>
                <w:i w:val="0"/>
                <w:sz w:val="20"/>
              </w:rPr>
              <w:t>10.015,7</w:t>
            </w:r>
          </w:p>
        </w:tc>
        <w:tc>
          <w:tcPr>
            <w:tcW w:type="dxa" w:w="1191"/>
          </w:tcPr>
          <w:p>
            <w:pPr>
              <w:spacing w:after="0"/>
              <w:jc w:val="center"/>
            </w:pPr>
            <w:r/>
            <w:r>
              <w:rPr>
                <w:b w:val="0"/>
                <w:i w:val="0"/>
                <w:sz w:val="20"/>
              </w:rPr>
              <w:t>9.783</w:t>
            </w:r>
          </w:p>
        </w:tc>
        <w:tc>
          <w:tcPr>
            <w:tcW w:type="dxa" w:w="1191"/>
          </w:tcPr>
          <w:p>
            <w:pPr>
              <w:spacing w:after="0"/>
              <w:jc w:val="center"/>
            </w:pPr>
            <w:r/>
            <w:r>
              <w:rPr>
                <w:b w:val="0"/>
                <w:i w:val="0"/>
                <w:sz w:val="20"/>
              </w:rPr>
              <w:t>16.629</w:t>
            </w:r>
          </w:p>
        </w:tc>
        <w:tc>
          <w:tcPr>
            <w:tcW w:type="dxa" w:w="1191"/>
          </w:tcPr>
          <w:p>
            <w:pPr>
              <w:spacing w:after="0"/>
              <w:jc w:val="center"/>
            </w:pPr>
            <w:r/>
            <w:r>
              <w:rPr>
                <w:b w:val="0"/>
                <w:i w:val="0"/>
                <w:sz w:val="20"/>
              </w:rPr>
              <w:t>16.299</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Harga bahan baku pada tahun 2025 adalah Rp120.000 per yard kain beludru, Rp70.000 per kodi bos-bosan, dan Rp3.500 per lusin label, dengan total nilai pembelian Rp7.011.148.000.</w:t>
      </w:r>
    </w:p>
    <w:p>
      <w:pPr>
        <w:spacing w:line="360" w:lineRule="auto" w:after="40"/>
        <w:jc w:val="center"/>
      </w:pPr>
      <w:r>
        <w:rPr>
          <w:b/>
          <w:i w:val="0"/>
        </w:rPr>
        <w:t>Tabel 4.18 Data Pemasok Bahan Baku Tahun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10</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11</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6</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pada file data, pemasok tercatat memasok jenis bahan yang berganti-ganti setiap bulan (misalnya kain beludru dari CV Aksesoris Muslim).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4.19.</w:t>
      </w:r>
    </w:p>
    <w:p>
      <w:pPr>
        <w:spacing w:line="360" w:lineRule="auto" w:after="40"/>
        <w:jc w:val="center"/>
      </w:pPr>
      <w:r>
        <w:rPr>
          <w:b/>
          <w:i w:val="0"/>
        </w:rPr>
        <w:t>Tabel 4.19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4.18</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rPr>
              <w:t xml:space="preserve">17 orang / banyak </w:t>
            </w:r>
            <w:r>
              <w:rPr>
                <w:b w:val="0"/>
                <w:i w:val="0"/>
                <w:sz w:val="20"/>
                <w:highlight w:val="yellow"/>
              </w:rPr>
              <w:t>[… orang pada musim puncak; … orang di luar musim puncak]</w:t>
            </w:r>
          </w:p>
        </w:tc>
        <w:tc>
          <w:tcPr>
            <w:tcW w:type="dxa" w:w="2268"/>
          </w:tcPr>
          <w:p>
            <w:pPr>
              <w:spacing w:after="0"/>
            </w:pPr>
            <w:r/>
            <w:r>
              <w:rPr>
                <w:b w:val="0"/>
                <w:i w:val="0"/>
                <w:sz w:val="20"/>
              </w:rPr>
              <w:t>Gambar 4.1; observasi; wawancara pemilik</w:t>
            </w:r>
          </w:p>
        </w:tc>
      </w:tr>
      <w:tr>
        <w:tc>
          <w:tcPr>
            <w:tcW w:type="dxa" w:w="3118"/>
          </w:tcPr>
          <w:p>
            <w:pPr>
              <w:spacing w:after="0"/>
            </w:pPr>
            <w:r/>
            <w:r>
              <w:rPr>
                <w:b w:val="0"/>
                <w:i w:val="0"/>
                <w:sz w:val="20"/>
              </w:rPr>
              <w:t>Target dan upah tenaga borongan</w:t>
            </w:r>
          </w:p>
        </w:tc>
        <w:tc>
          <w:tcPr>
            <w:tcW w:type="dxa" w:w="2835"/>
          </w:tcPr>
          <w:p>
            <w:pPr>
              <w:spacing w:after="0"/>
            </w:pPr>
            <w:r/>
            <w:r>
              <w:rPr>
                <w:b w:val="0"/>
                <w:i w:val="0"/>
                <w:sz w:val="20"/>
                <w:highlight w:val="yellow"/>
              </w:rPr>
              <w:t>[… kodi per orang per periode; Rp… per kodi]</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4.20.</w:t>
      </w:r>
    </w:p>
    <w:p>
      <w:pPr>
        <w:spacing w:line="360" w:lineRule="auto" w:after="40"/>
        <w:jc w:val="center"/>
      </w:pPr>
      <w:r>
        <w:rPr>
          <w:b/>
          <w:i w:val="0"/>
        </w:rPr>
        <w:t>Tabel 4.20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skripsi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International Labour Organization. (1996). </w:t>
      </w:r>
      <w:r>
        <w:rPr>
          <w:b w:val="0"/>
          <w:i/>
        </w:rPr>
        <w:t>Home Work Convention, 1996 (No. 177)</w:t>
      </w:r>
      <w:r>
        <w:rPr>
          <w:b w:val="0"/>
          <w:i w:val="0"/>
        </w:rPr>
        <w:t>. International Labour Organization.</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p>
      <w:pPr>
        <w:spacing w:line="360" w:lineRule="auto" w:after="120"/>
        <w:ind w:left="709" w:hanging="709"/>
        <w:jc w:val="left"/>
      </w:pPr>
      <w:r>
        <w:rPr>
          <w:b w:val="0"/>
          <w:i w:val="0"/>
        </w:rPr>
        <w:t xml:space="preserve">Womack, J. P., Jones, D. T., &amp; Roos, D. (1990). </w:t>
      </w:r>
      <w:r>
        <w:rPr>
          <w:b w:val="0"/>
          <w:i/>
        </w:rPr>
        <w:t>The machine that changed the world</w:t>
      </w:r>
      <w:r>
        <w:rPr>
          <w:b w:val="0"/>
          <w:i w:val="0"/>
        </w:rPr>
        <w:t>. Rawson Associates.</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