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0"/>
          <w:szCs w:val="30"/>
        </w:rPr>
        <w:t xml:space="preserve">LAPORAN UJIAN TENGAH SEMESTER</w:t>
      </w:r>
    </w:p>
    <w:p>
      <w:pPr>
        <w:spacing w:after="400"/>
        <w:jc w:val="center"/>
      </w:pPr>
      <w:r>
        <w:rPr>
          <w:rFonts w:ascii="Times New Roman" w:cs="Times New Roman" w:eastAsia="Times New Roman" w:hAnsi="Times New Roman"/>
          <w:sz w:val="26"/>
          <w:szCs w:val="26"/>
        </w:rPr>
        <w:t xml:space="preserve">Analisis dan Visualisasi Big Data (BDASC)</w:t>
      </w:r>
    </w:p>
    <w:p>
      <w:pPr>
        <w:spacing w:after="500"/>
        <w:jc w:val="center"/>
      </w:pPr>
      <w:r>
        <w:rPr>
          <w:rFonts w:ascii="Times New Roman" w:cs="Times New Roman" w:eastAsia="Times New Roman" w:hAnsi="Times New Roman"/>
          <w:b/>
          <w:bCs/>
          <w:sz w:val="30"/>
          <w:szCs w:val="30"/>
        </w:rPr>
        <w:t xml:space="preserve">ANALISIS DAN VISUALISASI DATA TRANSAKSI EVERMART ONLINE MENGGUNAKAN POWER BI</w:t>
      </w:r>
    </w:p>
    <w:p>
      <w:pPr>
        <w:spacing w:after="80"/>
        <w:jc w:val="center"/>
      </w:pPr>
      <w:r>
        <w:rPr>
          <w:rFonts w:ascii="Times New Roman" w:cs="Times New Roman" w:eastAsia="Times New Roman" w:hAnsi="Times New Roman"/>
        </w:rPr>
        <w:t xml:space="preserve">Disusun oleh:</w:t>
      </w:r>
    </w:p>
    <w:p>
      <w:pPr>
        <w:spacing w:after="60"/>
        <w:jc w:val="center"/>
      </w:pPr>
      <w:r>
        <w:rPr>
          <w:rFonts w:ascii="Times New Roman" w:cs="Times New Roman" w:eastAsia="Times New Roman" w:hAnsi="Times New Roman"/>
          <w:b/>
          <w:bCs/>
        </w:rPr>
        <w:t xml:space="preserve">[Nama Mahasiswa]</w:t>
      </w:r>
    </w:p>
    <w:p>
      <w:pPr>
        <w:spacing w:after="60"/>
        <w:jc w:val="center"/>
      </w:pPr>
      <w:r>
        <w:rPr>
          <w:rFonts w:ascii="Times New Roman" w:cs="Times New Roman" w:eastAsia="Times New Roman" w:hAnsi="Times New Roman"/>
        </w:rPr>
        <w:t xml:space="preserve">NIM: [NIM]</w:t>
      </w:r>
    </w:p>
    <w:p>
      <w:pPr>
        <w:spacing w:after="400"/>
        <w:jc w:val="center"/>
      </w:pPr>
      <w:r>
        <w:rPr>
          <w:rFonts w:ascii="Times New Roman" w:cs="Times New Roman" w:eastAsia="Times New Roman" w:hAnsi="Times New Roman"/>
        </w:rPr>
        <w:t xml:space="preserve">Kelas: [Kode/KP, contoh 1641B106]</w:t>
      </w:r>
    </w:p>
    <w:p>
      <w:pPr>
        <w:spacing w:after="60"/>
        <w:jc w:val="center"/>
      </w:pPr>
      <w:r>
        <w:rPr>
          <w:rFonts w:ascii="Times New Roman" w:cs="Times New Roman" w:eastAsia="Times New Roman" w:hAnsi="Times New Roman"/>
        </w:rPr>
        <w:t xml:space="preserve">Dosen Penguji: Gunawan dan Dina Natalia P</w:t>
      </w:r>
    </w:p>
    <w:p>
      <w:pPr>
        <w:spacing w:after="60" w:before="600"/>
        <w:jc w:val="center"/>
      </w:pPr>
      <w:r>
        <w:rPr>
          <w:rFonts w:ascii="Times New Roman" w:cs="Times New Roman" w:eastAsia="Times New Roman" w:hAnsi="Times New Roman"/>
          <w:b/>
          <w:bCs/>
        </w:rPr>
        <w:t xml:space="preserve">FAKULTAS TEKNIK</w:t>
      </w:r>
    </w:p>
    <w:p>
      <w:pPr>
        <w:spacing w:after="60"/>
        <w:jc w:val="center"/>
      </w:pPr>
      <w:r>
        <w:rPr>
          <w:rFonts w:ascii="Times New Roman" w:cs="Times New Roman" w:eastAsia="Times New Roman" w:hAnsi="Times New Roman"/>
          <w:b/>
          <w:bCs/>
        </w:rPr>
        <w:t xml:space="preserve">UNIVERSITAS SURABAYA</w:t>
      </w:r>
    </w:p>
    <w:p>
      <w:pPr>
        <w:jc w:val="center"/>
      </w:pPr>
      <w:r>
        <w:rPr>
          <w:rFonts w:ascii="Times New Roman" w:cs="Times New Roman" w:eastAsia="Times New Roman" w:hAnsi="Times New Roman"/>
          <w:b/>
          <w:bCs/>
        </w:rPr>
        <w:t xml:space="preserve">2026</w:t>
      </w:r>
    </w:p>
    <w:p>
      <w:r>
        <w:br w:type="page"/>
      </w:r>
    </w:p>
    <w:p>
      <w:pPr>
        <w:pStyle w:val="Heading1"/>
        <w:spacing w:after="200" w:before="240"/>
        <w:jc w:val="center"/>
      </w:pPr>
      <w:r>
        <w:rPr>
          <w:rFonts w:ascii="Times New Roman" w:cs="Times New Roman" w:eastAsia="Times New Roman" w:hAnsi="Times New Roman"/>
        </w:rPr>
        <w:t xml:space="preserve">DAFTAR ISI</w:t>
      </w:r>
    </w:p>
    <w:p>
      <w:pPr>
        <w:spacing w:after="100"/>
      </w:pPr>
      <w:r>
        <w:rPr>
          <w:rFonts w:ascii="Times New Roman" w:cs="Times New Roman" w:eastAsia="Times New Roman" w:hAnsi="Times New Roman"/>
        </w:rPr>
        <w:t xml:space="preserve">BAB I  PENDAHULUAN</w:t>
      </w:r>
    </w:p>
    <w:p>
      <w:pPr>
        <w:spacing w:after="100"/>
      </w:pPr>
      <w:r>
        <w:rPr>
          <w:rFonts w:ascii="Times New Roman" w:cs="Times New Roman" w:eastAsia="Times New Roman" w:hAnsi="Times New Roman"/>
        </w:rPr>
        <w:t xml:space="preserve">BAB II  KARAKTERISTIK DATASET</w:t>
      </w:r>
    </w:p>
    <w:p>
      <w:pPr>
        <w:spacing w:after="100"/>
      </w:pPr>
      <w:r>
        <w:rPr>
          <w:rFonts w:ascii="Times New Roman" w:cs="Times New Roman" w:eastAsia="Times New Roman" w:hAnsi="Times New Roman"/>
        </w:rPr>
        <w:t xml:space="preserve">BAB III  METODOLOGI DAN PROSES VISUALISASI</w:t>
      </w:r>
    </w:p>
    <w:p>
      <w:pPr>
        <w:spacing w:after="100"/>
      </w:pPr>
      <w:r>
        <w:rPr>
          <w:rFonts w:ascii="Times New Roman" w:cs="Times New Roman" w:eastAsia="Times New Roman" w:hAnsi="Times New Roman"/>
        </w:rPr>
        <w:t xml:space="preserve">BAB IV  HASIL DAN PEMBAHASAN</w:t>
      </w:r>
    </w:p>
    <w:p>
      <w:pPr>
        <w:spacing w:after="100"/>
      </w:pPr>
      <w:r>
        <w:rPr>
          <w:rFonts w:ascii="Times New Roman" w:cs="Times New Roman" w:eastAsia="Times New Roman" w:hAnsi="Times New Roman"/>
        </w:rPr>
        <w:t xml:space="preserve">BAB V  KESIMPULAN DAN REKOMENDASI</w:t>
      </w:r>
    </w:p>
    <w:p>
      <w:pPr>
        <w:spacing w:after="100"/>
      </w:pPr>
      <w:r>
        <w:rPr>
          <w:rFonts w:ascii="Times New Roman" w:cs="Times New Roman" w:eastAsia="Times New Roman" w:hAnsi="Times New Roman"/>
        </w:rPr>
        <w:t xml:space="preserve">DAFTAR PUSTAKA</w:t>
      </w:r>
    </w:p>
    <w:p>
      <w:pPr>
        <w:spacing w:after="100"/>
      </w:pPr>
      <w:r>
        <w:rPr>
          <w:rFonts w:ascii="Times New Roman" w:cs="Times New Roman" w:eastAsia="Times New Roman" w:hAnsi="Times New Roman"/>
        </w:rPr>
        <w:t xml:space="preserve">LAMPIRAN</w:t>
      </w:r>
    </w:p>
    <w:p>
      <w:r>
        <w:br w:type="page"/>
      </w:r>
    </w:p>
    <w:p>
      <w:pPr>
        <w:pStyle w:val="Heading1"/>
        <w:spacing w:after="200" w:before="240"/>
        <w:jc w:val="center"/>
      </w:pPr>
      <w:r>
        <w:rPr>
          <w:rFonts w:ascii="Times New Roman" w:cs="Times New Roman" w:eastAsia="Times New Roman" w:hAnsi="Times New Roman"/>
        </w:rPr>
        <w:t xml:space="preserve">BAB I  PENDAHULUAN</w:t>
      </w:r>
    </w:p>
    <w:p>
      <w:pPr>
        <w:pStyle w:val="Heading2"/>
        <w:spacing w:after="100" w:before="200"/>
      </w:pPr>
      <w:r>
        <w:rPr>
          <w:rFonts w:ascii="Times New Roman" w:cs="Times New Roman" w:eastAsia="Times New Roman" w:hAnsi="Times New Roman"/>
        </w:rPr>
        <w:t xml:space="preserve">1.1 Latar Belakang</w:t>
      </w:r>
    </w:p>
    <w:p>
      <w:pPr>
        <w:spacing w:after="120" w:line="300"/>
        <w:jc w:val="both"/>
      </w:pPr>
      <w:r>
        <w:rPr>
          <w:rFonts w:ascii="Times New Roman" w:cs="Times New Roman" w:eastAsia="Times New Roman" w:hAnsi="Times New Roman"/>
        </w:rPr>
        <w:t xml:space="preserve">Perkembangan perdagangan elektronik menghasilkan data transaksi dalam jumlah besar yang berpotensi menjadi dasar pengambilan keputusan bisnis. Data tersebut baru memberikan nilai apabila diolah dan divisualisasikan sehingga pola penjualan, perilaku pelanggan, dan kinerja produk dapat dipahami dengan cepat. Laporan ini menganalisis data transaksi EverMart Online, sebuah toko daring dengan pelanggan di empat wilayah dan produk di empat kategori, menggunakan Microsoft Power BI.</w:t>
      </w:r>
    </w:p>
    <w:p>
      <w:pPr>
        <w:pStyle w:val="Heading2"/>
        <w:spacing w:after="100" w:before="200"/>
      </w:pPr>
      <w:r>
        <w:rPr>
          <w:rFonts w:ascii="Times New Roman" w:cs="Times New Roman" w:eastAsia="Times New Roman" w:hAnsi="Times New Roman"/>
        </w:rPr>
        <w:t xml:space="preserve">1.2 Tujuan Analisis</w:t>
      </w:r>
    </w:p>
    <w:p>
      <w:pPr>
        <w:pStyle w:val="ListParagraph"/>
        <w:numPr>
          <w:ilvl w:val="0"/>
          <w:numId w:val="2"/>
        </w:numPr>
        <w:spacing w:after="60" w:line="288"/>
        <w:jc w:val="both"/>
      </w:pPr>
      <w:r>
        <w:rPr>
          <w:rFonts w:ascii="Times New Roman" w:cs="Times New Roman" w:eastAsia="Times New Roman" w:hAnsi="Times New Roman"/>
        </w:rPr>
        <w:t xml:space="preserve">Memahami struktur, variabel, dan kualitas data pelanggan, produk, dan transaksi EverMart.</w:t>
      </w:r>
    </w:p>
    <w:p>
      <w:pPr>
        <w:pStyle w:val="ListParagraph"/>
        <w:numPr>
          <w:ilvl w:val="0"/>
          <w:numId w:val="2"/>
        </w:numPr>
        <w:spacing w:after="60" w:line="288"/>
        <w:jc w:val="both"/>
      </w:pPr>
      <w:r>
        <w:rPr>
          <w:rFonts w:ascii="Times New Roman" w:cs="Times New Roman" w:eastAsia="Times New Roman" w:hAnsi="Times New Roman"/>
        </w:rPr>
        <w:t xml:space="preserve">Mengidentifikasi tren penjualan, kontribusi kategori dan produk, serta kontribusi tiap wilayah.</w:t>
      </w:r>
    </w:p>
    <w:p>
      <w:pPr>
        <w:pStyle w:val="ListParagraph"/>
        <w:numPr>
          <w:ilvl w:val="0"/>
          <w:numId w:val="2"/>
        </w:numPr>
        <w:spacing w:after="60" w:line="288"/>
        <w:jc w:val="both"/>
      </w:pPr>
      <w:r>
        <w:rPr>
          <w:rFonts w:ascii="Times New Roman" w:cs="Times New Roman" w:eastAsia="Times New Roman" w:hAnsi="Times New Roman"/>
        </w:rPr>
        <w:t xml:space="preserve">Menyusun dashboard interaktif dan rekomendasi keputusan bagi manajemen.</w:t>
      </w:r>
    </w:p>
    <w:p>
      <w:pPr>
        <w:pStyle w:val="Heading2"/>
        <w:spacing w:after="100" w:before="200"/>
      </w:pPr>
      <w:r>
        <w:rPr>
          <w:rFonts w:ascii="Times New Roman" w:cs="Times New Roman" w:eastAsia="Times New Roman" w:hAnsi="Times New Roman"/>
        </w:rPr>
        <w:t xml:space="preserve">1.3 Manfaat</w:t>
      </w:r>
    </w:p>
    <w:p>
      <w:pPr>
        <w:spacing w:after="120" w:line="300"/>
        <w:jc w:val="both"/>
      </w:pPr>
      <w:r>
        <w:rPr>
          <w:rFonts w:ascii="Times New Roman" w:cs="Times New Roman" w:eastAsia="Times New Roman" w:hAnsi="Times New Roman"/>
        </w:rPr>
        <w:t xml:space="preserve">Hasil analisis diharapkan membantu manajemen menentukan prioritas wilayah, kategori, dan produk, serta merancang strategi promosi sesuai pola musiman penjualan.</w:t>
      </w:r>
    </w:p>
    <w:p>
      <w:pPr>
        <w:pStyle w:val="Heading1"/>
        <w:spacing w:after="200" w:before="240"/>
        <w:jc w:val="center"/>
      </w:pPr>
      <w:r>
        <w:rPr>
          <w:rFonts w:ascii="Times New Roman" w:cs="Times New Roman" w:eastAsia="Times New Roman" w:hAnsi="Times New Roman"/>
        </w:rPr>
        <w:t xml:space="preserve">BAB II  KARAKTERISTIK DATASET</w:t>
      </w:r>
    </w:p>
    <w:p>
      <w:pPr>
        <w:pStyle w:val="Heading2"/>
        <w:spacing w:after="100" w:before="200"/>
      </w:pPr>
      <w:r>
        <w:rPr>
          <w:rFonts w:ascii="Times New Roman" w:cs="Times New Roman" w:eastAsia="Times New Roman" w:hAnsi="Times New Roman"/>
        </w:rPr>
        <w:t xml:space="preserve">2.1 Sumber dan Struktur Data</w:t>
      </w:r>
    </w:p>
    <w:p>
      <w:pPr>
        <w:spacing w:after="120" w:line="300"/>
        <w:jc w:val="both"/>
      </w:pPr>
      <w:r>
        <w:rPr>
          <w:rFonts w:ascii="Times New Roman" w:cs="Times New Roman" w:eastAsia="Times New Roman" w:hAnsi="Times New Roman"/>
        </w:rPr>
        <w:t xml:space="preserve">Data bersumber dari berkas EverMart_Online_Transactions.xlsx yang terdiri atas tiga lembar (sheet) dan membentuk model bintang (star schema), dengan tabel Transactions sebagai tabel fakta dan dua tabel dimensi.</w:t>
      </w:r>
    </w:p>
    <w:p>
      <w:pPr>
        <w:spacing w:after="80" w:before="100"/>
        <w:jc w:val="center"/>
      </w:pPr>
      <w:r>
        <w:rPr>
          <w:rFonts w:ascii="Times New Roman" w:cs="Times New Roman" w:eastAsia="Times New Roman" w:hAnsi="Times New Roman"/>
          <w:b/>
          <w:bCs/>
          <w:sz w:val="22"/>
          <w:szCs w:val="22"/>
        </w:rPr>
        <w:t xml:space="preserve">Tabel 2.1 Struktur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Tabel</w:t>
            </w:r>
          </w:p>
        </w:tc>
        <w:tc>
          <w:tcPr>
            <w:tcW w:type="dxa" w:w="15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Baris</w:t>
            </w:r>
          </w:p>
        </w:tc>
        <w:tc>
          <w:tcPr>
            <w:tcW w:type="dxa" w:w="15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Kolom</w:t>
            </w:r>
          </w:p>
        </w:tc>
        <w:tc>
          <w:tcPr>
            <w:tcW w:type="dxa" w:w="39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Kunci dan relasi</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CustomerID (kunci utama)</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ProductID (kunci utama)</w:t>
            </w:r>
          </w:p>
        </w:tc>
      </w:tr>
      <w:tr>
        <w:trPr>
          <w:tblHeader w:val="false"/>
        </w:trP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1.000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7</w:t>
            </w:r>
          </w:p>
        </w:tc>
        <w:tc>
          <w:tcPr>
            <w:tcW w:type="dxa" w:w="39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TransactionID; CustomerID dan ProductID sebagai kunci tamu (relasi banyak-ke-satu)</w:t>
            </w:r>
          </w:p>
        </w:tc>
      </w:tr>
    </w:tbl>
    <w:p>
      <w:pPr>
        <w:spacing w:after="100"/>
      </w:pPr>
    </w:p>
    <w:p>
      <w:pPr>
        <w:spacing w:after="120" w:line="300"/>
        <w:jc w:val="both"/>
      </w:pPr>
      <w:r>
        <w:rPr>
          <w:rFonts w:ascii="Times New Roman" w:cs="Times New Roman" w:eastAsia="Times New Roman" w:hAnsi="Times New Roman"/>
        </w:rPr>
        <w:t xml:space="preserve">Periode transaksi mencakup 30 Desember 2023 sampai 28 Desember 2024; sebanyak 996 dari 1.000 transaksi berada pada tahun 2024.</w:t>
      </w:r>
    </w:p>
    <w:p>
      <w:pPr>
        <w:pStyle w:val="Heading2"/>
        <w:spacing w:after="100" w:before="200"/>
      </w:pPr>
      <w:r>
        <w:rPr>
          <w:rFonts w:ascii="Times New Roman" w:cs="Times New Roman" w:eastAsia="Times New Roman" w:hAnsi="Times New Roman"/>
        </w:rPr>
        <w:t xml:space="preserve">2.2 Variabel</w:t>
      </w:r>
    </w:p>
    <w:p>
      <w:pPr>
        <w:spacing w:after="80" w:before="100"/>
        <w:jc w:val="center"/>
      </w:pPr>
      <w:r>
        <w:rPr>
          <w:rFonts w:ascii="Times New Roman" w:cs="Times New Roman" w:eastAsia="Times New Roman" w:hAnsi="Times New Roman"/>
          <w:b/>
          <w:bCs/>
          <w:sz w:val="22"/>
          <w:szCs w:val="22"/>
        </w:rPr>
        <w:t xml:space="preserve">Tabel 2.2 Variabel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Variabel</w:t>
            </w:r>
          </w:p>
        </w:tc>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Tipe</w:t>
            </w:r>
          </w:p>
        </w:tc>
        <w:tc>
          <w:tcPr>
            <w:tcW w:type="dxa" w:w="47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Keterangan</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CustomerID</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(pengenal)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 pelanggan, C0001 sampai C0200</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CustomerName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Nama pelanggan</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Region</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(kategorikal)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South America, Europe, North America, Asia</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SignupDate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Tanggal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Tanggal pendaftaran, 2022 sampai 2024</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ProductID</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(pengenal)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 produk, P001 sampai P100</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ProductName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Nama produk</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Category</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(kategorikal)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Books, Electronics, Clothing, Home Decor</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Price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Desimal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Harga produk, 16,08 sampai 497,76</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TransactionID</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Teks (pengenal)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ID transaksi, 1.000 nilai unik</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TransactionDate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Tanggal-waktu</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Waktu transaksi</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Bilangan bulat</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Jumlah unit, 1 sampai 4</w:t>
            </w:r>
          </w:p>
        </w:tc>
      </w:tr>
      <w:tr>
        <w:trPr>
          <w:tblHeader w:val="false"/>
        </w:trP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TotalValue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Desimal</w:t>
            </w:r>
          </w:p>
        </w:tc>
        <w:tc>
          <w:tcPr>
            <w:tcW w:type="dxa" w:w="47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Quantity x Price, 16,08 sampai 1.991,04</w:t>
            </w:r>
          </w:p>
        </w:tc>
      </w:tr>
    </w:tbl>
    <w:p>
      <w:pPr>
        <w:spacing w:after="100"/>
      </w:pPr>
    </w:p>
    <w:p>
      <w:pPr>
        <w:pStyle w:val="Heading2"/>
        <w:spacing w:after="100" w:before="200"/>
      </w:pPr>
      <w:r>
        <w:rPr>
          <w:rFonts w:ascii="Times New Roman" w:cs="Times New Roman" w:eastAsia="Times New Roman" w:hAnsi="Times New Roman"/>
        </w:rPr>
        <w:t xml:space="preserve">2.3 Kualitas Data</w:t>
      </w:r>
    </w:p>
    <w:p>
      <w:pPr>
        <w:pStyle w:val="ListParagraph"/>
        <w:numPr>
          <w:ilvl w:val="0"/>
          <w:numId w:val="3"/>
        </w:numPr>
        <w:spacing w:after="60" w:line="288"/>
        <w:jc w:val="both"/>
      </w:pPr>
      <w:r>
        <w:rPr>
          <w:rFonts w:ascii="Times New Roman" w:cs="Times New Roman" w:eastAsia="Times New Roman" w:hAnsi="Times New Roman"/>
        </w:rPr>
        <w:t xml:space="preserve">Tidak terdapat nilai kosong (empty) maupun galat (error) pada ketiga tabel.</w:t>
      </w:r>
    </w:p>
    <w:p>
      <w:pPr>
        <w:pStyle w:val="ListParagraph"/>
        <w:numPr>
          <w:ilvl w:val="0"/>
          <w:numId w:val="3"/>
        </w:numPr>
        <w:spacing w:after="60" w:line="288"/>
        <w:jc w:val="both"/>
      </w:pPr>
      <w:r>
        <w:rPr>
          <w:rFonts w:ascii="Times New Roman" w:cs="Times New Roman" w:eastAsia="Times New Roman" w:hAnsi="Times New Roman"/>
        </w:rPr>
        <w:t xml:space="preserve">Tidak terdapat ID ganda, dan seluruh kunci pada Transactions memiliki pasangan pada tabel dimensi.</w:t>
      </w:r>
    </w:p>
    <w:p>
      <w:pPr>
        <w:pStyle w:val="ListParagraph"/>
        <w:numPr>
          <w:ilvl w:val="0"/>
          <w:numId w:val="3"/>
        </w:numPr>
        <w:spacing w:after="60" w:line="288"/>
        <w:jc w:val="both"/>
      </w:pPr>
      <w:r>
        <w:rPr>
          <w:rFonts w:ascii="Times New Roman" w:cs="Times New Roman" w:eastAsia="Times New Roman" w:hAnsi="Times New Roman"/>
        </w:rPr>
        <w:t xml:space="preserve">Nilai TotalValue sama dengan Quantity x Price pada seluruh 1.000 baris.</w:t>
      </w:r>
    </w:p>
    <w:p>
      <w:pPr>
        <w:pStyle w:val="ListParagraph"/>
        <w:numPr>
          <w:ilvl w:val="0"/>
          <w:numId w:val="3"/>
        </w:numPr>
        <w:spacing w:after="60" w:line="288"/>
        <w:jc w:val="both"/>
      </w:pPr>
      <w:r>
        <w:rPr>
          <w:rFonts w:ascii="Times New Roman" w:cs="Times New Roman" w:eastAsia="Times New Roman" w:hAnsi="Times New Roman"/>
        </w:rPr>
        <w:t xml:space="preserve">Nama produk tidak selalu sesuai kategorinya dan 34 nama produk muncul berulang dengan harga berbeda, sehingga analisis memakai ProductID; data kemungkinan bersifat sintetis.</w:t>
      </w:r>
    </w:p>
    <w:p>
      <w:pPr>
        <w:pStyle w:val="ListParagraph"/>
        <w:numPr>
          <w:ilvl w:val="0"/>
          <w:numId w:val="3"/>
        </w:numPr>
        <w:spacing w:after="60" w:line="288"/>
        <w:jc w:val="both"/>
      </w:pPr>
      <w:r>
        <w:rPr>
          <w:rFonts w:ascii="Times New Roman" w:cs="Times New Roman" w:eastAsia="Times New Roman" w:hAnsi="Times New Roman"/>
        </w:rPr>
        <w:t xml:space="preserve">Terdapat 200 pelanggan terdaftar, tetapi hanya 199 yang bertransaksi (pelanggan C0180 belum pernah bertransaksi).</w:t>
      </w:r>
    </w:p>
    <w:p>
      <w:pPr>
        <w:pStyle w:val="Heading1"/>
        <w:spacing w:after="200" w:before="240"/>
        <w:jc w:val="center"/>
      </w:pPr>
      <w:r>
        <w:rPr>
          <w:rFonts w:ascii="Times New Roman" w:cs="Times New Roman" w:eastAsia="Times New Roman" w:hAnsi="Times New Roman"/>
        </w:rPr>
        <w:t xml:space="preserve">BAB III  METODOLOGI DAN PROSES VISUALISASI</w:t>
      </w:r>
    </w:p>
    <w:p>
      <w:pPr>
        <w:pStyle w:val="Heading2"/>
        <w:spacing w:after="100" w:before="200"/>
      </w:pPr>
      <w:r>
        <w:rPr>
          <w:rFonts w:ascii="Times New Roman" w:cs="Times New Roman" w:eastAsia="Times New Roman" w:hAnsi="Times New Roman"/>
        </w:rPr>
        <w:t xml:space="preserve">3.1 Tahapan Analisis</w:t>
      </w:r>
    </w:p>
    <w:p>
      <w:pPr>
        <w:pStyle w:val="ListParagraph"/>
        <w:numPr>
          <w:ilvl w:val="0"/>
          <w:numId w:val="4"/>
        </w:numPr>
        <w:spacing w:after="60" w:line="288"/>
        <w:jc w:val="both"/>
      </w:pPr>
      <w:r>
        <w:rPr>
          <w:rFonts w:ascii="Times New Roman" w:cs="Times New Roman" w:eastAsia="Times New Roman" w:hAnsi="Times New Roman"/>
        </w:rPr>
        <w:t xml:space="preserve">Pemuatan data dari berkas Excel ke Power BI.</w:t>
      </w:r>
    </w:p>
    <w:p>
      <w:pPr>
        <w:pStyle w:val="ListParagraph"/>
        <w:numPr>
          <w:ilvl w:val="0"/>
          <w:numId w:val="4"/>
        </w:numPr>
        <w:spacing w:after="60" w:line="288"/>
        <w:jc w:val="both"/>
      </w:pPr>
      <w:r>
        <w:rPr>
          <w:rFonts w:ascii="Times New Roman" w:cs="Times New Roman" w:eastAsia="Times New Roman" w:hAnsi="Times New Roman"/>
        </w:rPr>
        <w:t xml:space="preserve">Transformasi dan pengaturan tipe data pada Power Query.</w:t>
      </w:r>
    </w:p>
    <w:p>
      <w:pPr>
        <w:pStyle w:val="ListParagraph"/>
        <w:numPr>
          <w:ilvl w:val="0"/>
          <w:numId w:val="4"/>
        </w:numPr>
        <w:spacing w:after="60" w:line="288"/>
        <w:jc w:val="both"/>
      </w:pPr>
      <w:r>
        <w:rPr>
          <w:rFonts w:ascii="Times New Roman" w:cs="Times New Roman" w:eastAsia="Times New Roman" w:hAnsi="Times New Roman"/>
        </w:rPr>
        <w:t xml:space="preserve">Pembentukan model data dan relasi antar tabel.</w:t>
      </w:r>
    </w:p>
    <w:p>
      <w:pPr>
        <w:pStyle w:val="ListParagraph"/>
        <w:numPr>
          <w:ilvl w:val="0"/>
          <w:numId w:val="4"/>
        </w:numPr>
        <w:spacing w:after="60" w:line="288"/>
        <w:jc w:val="both"/>
      </w:pPr>
      <w:r>
        <w:rPr>
          <w:rFonts w:ascii="Times New Roman" w:cs="Times New Roman" w:eastAsia="Times New Roman" w:hAnsi="Times New Roman"/>
        </w:rPr>
        <w:t xml:space="preserve">Pembuatan measure dengan DAX.</w:t>
      </w:r>
    </w:p>
    <w:p>
      <w:pPr>
        <w:pStyle w:val="ListParagraph"/>
        <w:numPr>
          <w:ilvl w:val="0"/>
          <w:numId w:val="4"/>
        </w:numPr>
        <w:spacing w:after="60" w:line="288"/>
        <w:jc w:val="both"/>
      </w:pPr>
      <w:r>
        <w:rPr>
          <w:rFonts w:ascii="Times New Roman" w:cs="Times New Roman" w:eastAsia="Times New Roman" w:hAnsi="Times New Roman"/>
        </w:rPr>
        <w:t xml:space="preserve">Perancangan dashboard interaktif dan penarikan interpretasi.</w:t>
      </w:r>
    </w:p>
    <w:p>
      <w:pPr>
        <w:pStyle w:val="Heading2"/>
        <w:spacing w:after="100" w:before="200"/>
      </w:pPr>
      <w:r>
        <w:rPr>
          <w:rFonts w:ascii="Times New Roman" w:cs="Times New Roman" w:eastAsia="Times New Roman" w:hAnsi="Times New Roman"/>
        </w:rPr>
        <w:t xml:space="preserve">3.2 Data Awal dan Transformasi</w:t>
      </w:r>
    </w:p>
    <w:p>
      <w:pPr>
        <w:spacing w:after="120" w:line="300"/>
        <w:jc w:val="both"/>
      </w:pPr>
      <w:r>
        <w:rPr>
          <w:rFonts w:ascii="Times New Roman" w:cs="Times New Roman" w:eastAsia="Times New Roman" w:hAnsi="Times New Roman"/>
        </w:rPr>
        <w:t xml:space="preserve">Ketiga sheet dimuat melalui Power Query. Langkah transformasi pada tiap tabel meliputi Promoted Headers untuk menjadikan baris pertama sebagai nama kolom, dan Changed Type untuk menetapkan tipe data (pengenal sebagai teks, tanggal sebagai date atau datetime, Quantity sebagai bilangan bulat, serta Price dan TotalValue sebagai desimal).</w:t>
      </w:r>
    </w:p>
    <w:p>
      <w:pPr>
        <w:spacing w:after="60" w:before="10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098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3.1 Data awal tabel Transactions pada Power Query</w:t>
      </w:r>
    </w:p>
    <w:p>
      <w:pPr>
        <w:spacing w:after="120" w:line="300"/>
        <w:jc w:val="both"/>
      </w:pPr>
      <w:r>
        <w:rPr>
          <w:rFonts w:ascii="Times New Roman" w:cs="Times New Roman" w:eastAsia="Times New Roman" w:hAnsi="Times New Roman"/>
        </w:rPr>
        <w:t xml:space="preserve">Gambar 3.1 memperlihatkan tabel Transactions pada Power Query Editor beserta profil kualitas tiap kolom. Seluruh kolom bernilai Valid 100%, dengan Error dan Empty 0%. TransactionID memiliki 1.000 nilai unik, CustomerID 199 nilai berbeda, dan ProductID 100 nilai berbeda. Formula pada baris rumus (Table.TransformColumnTypes) merupakan langkah Changed Type yang menetapkan tipe data tiap kolom.</w:t>
      </w:r>
    </w:p>
    <w:p>
      <w:pPr>
        <w:spacing w:after="60" w:before="100"/>
        <w:jc w:val="center"/>
      </w:pPr>
      <w:r>
        <w:drawing>
          <wp:inline distT="0" distB="0" distL="0" distR="0">
            <wp:extent cx="3810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2480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3.2 Profil kualitas kolom tabel Customers</w:t>
      </w:r>
    </w:p>
    <w:p>
      <w:pPr>
        <w:spacing w:after="120" w:line="300"/>
        <w:jc w:val="both"/>
      </w:pPr>
      <w:r>
        <w:rPr>
          <w:rFonts w:ascii="Times New Roman" w:cs="Times New Roman" w:eastAsia="Times New Roman" w:hAnsi="Times New Roman"/>
        </w:rPr>
        <w:t xml:space="preserve">Gambar 3.2 menunjukkan tabel Customers yang berisi 200 pelanggan dengan CustomerID dan CustomerName unik, empat nilai Region, serta SignupDate bertipe tanggal. Tidak ditemukan nilai kosong maupun galat sehingga data siap dianalisis tanpa pembersihan tambahan.</w:t>
      </w:r>
    </w:p>
    <w:p>
      <w:pPr>
        <w:pStyle w:val="Heading2"/>
        <w:spacing w:after="100" w:before="200"/>
      </w:pPr>
      <w:r>
        <w:rPr>
          <w:rFonts w:ascii="Times New Roman" w:cs="Times New Roman" w:eastAsia="Times New Roman" w:hAnsi="Times New Roman"/>
        </w:rPr>
        <w:t xml:space="preserve">3.3 Model Data</w:t>
      </w:r>
    </w:p>
    <w:p>
      <w:pPr>
        <w:spacing w:after="120" w:line="300"/>
        <w:jc w:val="both"/>
      </w:pPr>
      <w:r>
        <w:rPr>
          <w:rFonts w:ascii="Times New Roman" w:cs="Times New Roman" w:eastAsia="Times New Roman" w:hAnsi="Times New Roman"/>
        </w:rPr>
        <w:t xml:space="preserve">Tabel Transactions berelasi banyak-ke-satu dengan Customers melalui CustomerID dan dengan Products melalui ProductID. Relasi ini memungkinkan filter pada dimensi (misalnya Region atau Category) memengaruhi seluruh perhitungan pada tabel fakta.</w:t>
      </w:r>
    </w:p>
    <w:p>
      <w:pPr>
        <w:pStyle w:val="Heading2"/>
        <w:spacing w:after="100" w:before="200"/>
      </w:pPr>
      <w:r>
        <w:rPr>
          <w:rFonts w:ascii="Times New Roman" w:cs="Times New Roman" w:eastAsia="Times New Roman" w:hAnsi="Times New Roman"/>
        </w:rPr>
        <w:t xml:space="preserve">3.4 Penggunaan DAX</w:t>
      </w:r>
    </w:p>
    <w:p>
      <w:pPr>
        <w:spacing w:after="80" w:before="100"/>
        <w:jc w:val="center"/>
      </w:pPr>
      <w:r>
        <w:rPr>
          <w:rFonts w:ascii="Times New Roman" w:cs="Times New Roman" w:eastAsia="Times New Roman" w:hAnsi="Times New Roman"/>
          <w:b/>
          <w:bCs/>
          <w:sz w:val="22"/>
          <w:szCs w:val="22"/>
        </w:rPr>
        <w:t xml:space="preserve">Tabel 3.1 Measure DAX yang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Measure</w:t>
            </w:r>
          </w:p>
        </w:tc>
        <w:tc>
          <w:tcPr>
            <w:tcW w:type="dxa" w:w="66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Rumus DAX</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Revenue</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SUM(Transactions[TotalValue])</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Transactions</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DISTINCTCOUNT(Transactions[TransactionID])</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Unique Customers</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DISTINCTCOUNT(Transactions[CustomerID])</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Avg Order Value</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DIVIDE([Total Revenue], [Total Transactions])</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Revenue per Customer</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DIVIDE([Total Revenue], [Total Unique Customers])</w:t>
            </w:r>
          </w:p>
        </w:tc>
      </w:tr>
      <w:tr>
        <w:trPr>
          <w:tblHeader w:val="false"/>
        </w:trP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Revenue Share %</w:t>
            </w:r>
          </w:p>
        </w:tc>
        <w:tc>
          <w:tcPr>
            <w:tcW w:type="dxa" w:w="66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DIVIDE([Total Revenue], CALCULATE([Total Revenue], ALL(Customers[Region])))</w:t>
            </w:r>
          </w:p>
        </w:tc>
      </w:tr>
    </w:tbl>
    <w:p>
      <w:pPr>
        <w:spacing w:after="100"/>
      </w:pPr>
    </w:p>
    <w:p>
      <w:pPr>
        <w:spacing w:after="120" w:line="300"/>
        <w:jc w:val="both"/>
      </w:pPr>
      <w:r>
        <w:rPr>
          <w:rFonts w:ascii="Times New Roman" w:cs="Times New Roman" w:eastAsia="Times New Roman" w:hAnsi="Times New Roman"/>
        </w:rPr>
        <w:t xml:space="preserve">Measure dihitung secara dinamis mengikuti konteks filter, berbeda dengan kolom hitungan yang dievaluasi per baris saat data dimuat.</w:t>
      </w:r>
    </w:p>
    <w:p>
      <w:pPr>
        <w:spacing w:after="60" w:before="100"/>
        <w:jc w:val="center"/>
      </w:pPr>
      <w:r>
        <w:drawing>
          <wp:inline distT="0" distB="0" distL="0" distR="0">
            <wp:extent cx="533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8858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3.3 Measure Total Revenue pada Power BI</w:t>
      </w:r>
    </w:p>
    <w:p>
      <w:pPr>
        <w:spacing w:after="120" w:line="300"/>
        <w:jc w:val="both"/>
      </w:pPr>
      <w:r>
        <w:rPr>
          <w:rFonts w:ascii="Times New Roman" w:cs="Times New Roman" w:eastAsia="Times New Roman" w:hAnsi="Times New Roman"/>
        </w:rPr>
        <w:t xml:space="preserve">Gambar 3.3 menampilkan measure Total Revenue yang menjumlahkan kolom TotalValue. Measure ini menjadi dasar bagi measure lain, seperti Avg Order Value dan Revenue per Customer.</w:t>
      </w:r>
    </w:p>
    <w:p>
      <w:pPr>
        <w:spacing w:after="60" w:before="100"/>
        <w:jc w:val="center"/>
      </w:pPr>
      <w:r>
        <w:drawing>
          <wp:inline distT="0" distB="0" distL="0" distR="0">
            <wp:extent cx="5334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8858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3.4 Measure Revenue Share % pada Power BI</w:t>
      </w:r>
    </w:p>
    <w:p>
      <w:pPr>
        <w:spacing w:after="120" w:line="300"/>
        <w:jc w:val="both"/>
      </w:pPr>
      <w:r>
        <w:rPr>
          <w:rFonts w:ascii="Times New Roman" w:cs="Times New Roman" w:eastAsia="Times New Roman" w:hAnsi="Times New Roman"/>
        </w:rPr>
        <w:t xml:space="preserve">Gambar 3.4 menampilkan measure Revenue Share % dengan format persentase. Fungsi ALL menghapus filter pada Region sehingga penyebut berupa total seluruh wilayah, sedangkan pembilangnya mengikuti wilayah pada baris tabel.</w:t>
      </w:r>
    </w:p>
    <w:p>
      <w:pPr>
        <w:pStyle w:val="Heading2"/>
        <w:spacing w:after="100" w:before="200"/>
      </w:pPr>
      <w:r>
        <w:rPr>
          <w:rFonts w:ascii="Times New Roman" w:cs="Times New Roman" w:eastAsia="Times New Roman" w:hAnsi="Times New Roman"/>
        </w:rPr>
        <w:t xml:space="preserve">3.5 Rancangan Dashboard</w:t>
      </w:r>
    </w:p>
    <w:p>
      <w:pPr>
        <w:spacing w:after="120" w:line="300"/>
        <w:jc w:val="both"/>
      </w:pPr>
      <w:r>
        <w:rPr>
          <w:rFonts w:ascii="Times New Roman" w:cs="Times New Roman" w:eastAsia="Times New Roman" w:hAnsi="Times New Roman"/>
        </w:rPr>
        <w:t xml:space="preserve">Dashboard terdiri atas tiga halaman: Revenue Report (penjualan), Customer Behavior Report (perilaku pelanggan), dan KPI Summary (ringkasan indikator kinerja utama). Interaktivitas disediakan oleh slicer Region dan slicer waktu (tahun, kuartal, bulan, dan quantity).</w:t>
      </w:r>
    </w:p>
    <w:p>
      <w:pPr>
        <w:pStyle w:val="Heading1"/>
        <w:spacing w:after="200" w:before="240"/>
        <w:jc w:val="center"/>
      </w:pPr>
      <w:r>
        <w:rPr>
          <w:rFonts w:ascii="Times New Roman" w:cs="Times New Roman" w:eastAsia="Times New Roman" w:hAnsi="Times New Roman"/>
        </w:rPr>
        <w:t xml:space="preserve">BAB IV  HASIL DAN PEMBAHASAN</w:t>
      </w:r>
    </w:p>
    <w:p>
      <w:pPr>
        <w:pStyle w:val="Heading2"/>
        <w:spacing w:after="100" w:before="200"/>
      </w:pPr>
      <w:r>
        <w:rPr>
          <w:rFonts w:ascii="Times New Roman" w:cs="Times New Roman" w:eastAsia="Times New Roman" w:hAnsi="Times New Roman"/>
        </w:rPr>
        <w:t xml:space="preserve">4.1 Dashboard Power BI</w:t>
      </w:r>
    </w:p>
    <w:p>
      <w:pPr>
        <w:pStyle w:val="Heading2"/>
        <w:spacing w:after="100" w:before="200"/>
      </w:pPr>
      <w:r>
        <w:rPr>
          <w:rFonts w:ascii="Times New Roman" w:cs="Times New Roman" w:eastAsia="Times New Roman" w:hAnsi="Times New Roman"/>
        </w:rPr>
        <w:t xml:space="preserve">4.1.1 Revenue Report</w:t>
      </w:r>
    </w:p>
    <w:p>
      <w:pPr>
        <w:spacing w:after="60" w:before="100"/>
        <w:jc w:val="center"/>
      </w:pPr>
      <w:r>
        <w:drawing>
          <wp:inline distT="0" distB="0" distL="0" distR="0">
            <wp:extent cx="5143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20027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4.1 Tren pendapatan bulanan (Total Revenue by Month)</w:t>
      </w:r>
    </w:p>
    <w:p>
      <w:pPr>
        <w:spacing w:after="120" w:line="300"/>
        <w:jc w:val="both"/>
      </w:pPr>
      <w:r>
        <w:rPr>
          <w:rFonts w:ascii="Times New Roman" w:cs="Times New Roman" w:eastAsia="Times New Roman" w:hAnsi="Times New Roman"/>
        </w:rPr>
        <w:t xml:space="preserve">Gambar 4.1 memperlihatkan pendapatan bulanan sepanjang 2024. Pendapatan mencapai puncak pada Juli (sekitar 71 ribu) dan September (sekitar 70 ribu), serta terendah pada November (sekitar 38 ribu). Pola ini menunjukkan adanya musiman dalam penjualan.</w:t>
      </w:r>
    </w:p>
    <w:p>
      <w:pPr>
        <w:spacing w:after="60" w:before="100"/>
        <w:jc w:val="center"/>
      </w:pPr>
      <w:r>
        <w:drawing>
          <wp:inline distT="0" distB="0" distL="0" distR="0">
            <wp:extent cx="40957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0099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4.2 Penjualan per produk (Total Sales by Product)</w:t>
      </w:r>
    </w:p>
    <w:p>
      <w:pPr>
        <w:spacing w:after="120" w:line="300"/>
        <w:jc w:val="both"/>
      </w:pPr>
      <w:r>
        <w:rPr>
          <w:rFonts w:ascii="Times New Roman" w:cs="Times New Roman" w:eastAsia="Times New Roman" w:hAnsi="Times New Roman"/>
        </w:rPr>
        <w:t xml:space="preserve">Gambar 4.2 menyajikan penjualan per nama produk dari yang tertinggi. ActiveWear Smartwatch memimpin dengan sekitar 39 ribu, disusul SoundWave Headphones dan SoundWave Novel. Pengelompokan memakai nama produk sehingga satu nama dapat mewakili beberapa ProductID.</w:t>
      </w:r>
    </w:p>
    <w:p>
      <w:pPr>
        <w:spacing w:after="60" w:before="100"/>
        <w:jc w:val="center"/>
      </w:pPr>
      <w:r>
        <w:drawing>
          <wp:inline distT="0" distB="0" distL="0" distR="0">
            <wp:extent cx="3810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7813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4.3 Kontribusi per kategori (Total Sales by Category)</w:t>
      </w:r>
    </w:p>
    <w:p>
      <w:pPr>
        <w:spacing w:after="120" w:line="300"/>
        <w:jc w:val="both"/>
      </w:pPr>
      <w:r>
        <w:rPr>
          <w:rFonts w:ascii="Times New Roman" w:cs="Times New Roman" w:eastAsia="Times New Roman" w:hAnsi="Times New Roman"/>
        </w:rPr>
        <w:t xml:space="preserve">Gambar 4.3 menunjukkan kontribusi tiap kategori: Books 27,85%, Electronics 26,20%, Clothing 24,08%, dan Home Decor 21,87%. Books dan Electronics bersama-sama menyumbang sekitar 54% pendapatan.</w:t>
      </w:r>
    </w:p>
    <w:p>
      <w:pPr>
        <w:pStyle w:val="Heading2"/>
        <w:spacing w:after="100" w:before="200"/>
      </w:pPr>
      <w:r>
        <w:rPr>
          <w:rFonts w:ascii="Times New Roman" w:cs="Times New Roman" w:eastAsia="Times New Roman" w:hAnsi="Times New Roman"/>
        </w:rPr>
        <w:t xml:space="preserve">4.1.2 Customer Behavior Report</w:t>
      </w:r>
    </w:p>
    <w:p>
      <w:pPr>
        <w:spacing w:after="60" w:before="1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527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4.4 Halaman Laporan Perilaku Pelanggan</w:t>
      </w:r>
    </w:p>
    <w:p>
      <w:pPr>
        <w:spacing w:after="120" w:line="300"/>
        <w:jc w:val="both"/>
      </w:pPr>
      <w:r>
        <w:rPr>
          <w:rFonts w:ascii="Times New Roman" w:cs="Times New Roman" w:eastAsia="Times New Roman" w:hAnsi="Times New Roman"/>
        </w:rPr>
        <w:t xml:space="preserve">Gambar 4.4 menampilkan halaman perilaku pelanggan yang memuat dua grafik menurut wilayah serta slicer Region dan waktu (tahun, kuartal, bulan, dan quantity). Grafik kiri menunjukkan pendapatan per pelanggan, dan grafik kanan menunjukkan jumlah pelanggan aktif, yaitu South America 59, Europe 50, North America 46, dan Asia 44 (total 199).</w:t>
      </w:r>
    </w:p>
    <w:p>
      <w:pPr>
        <w:spacing w:after="60" w:before="100"/>
        <w:jc w:val="center"/>
      </w:pPr>
      <w:r>
        <w:drawing>
          <wp:inline distT="0" distB="0" distL="0" distR="0">
            <wp:extent cx="3619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790825"/>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4.5 Pendapatan per pelanggan menurut wilayah (Revenue per Customer by Region)</w:t>
      </w:r>
    </w:p>
    <w:p>
      <w:pPr>
        <w:spacing w:after="120" w:line="300"/>
        <w:jc w:val="both"/>
      </w:pPr>
      <w:r>
        <w:rPr>
          <w:rFonts w:ascii="Times New Roman" w:cs="Times New Roman" w:eastAsia="Times New Roman" w:hAnsi="Times New Roman"/>
        </w:rPr>
        <w:t xml:space="preserve">Gambar 4.5 memperlihatkan rata-rata pendapatan per pelanggan aktif. South America tertinggi (3.717,84), disusul Asia (3.456,25), Europe (3.325,09), dan North America (3.311,16). Asia memiliki pelanggan paling sedikit, tetapi nilai per pelanggannya melampaui Europe dan North America.</w:t>
      </w:r>
    </w:p>
    <w:p>
      <w:pPr>
        <w:pStyle w:val="Heading2"/>
        <w:spacing w:after="100" w:before="200"/>
      </w:pPr>
      <w:r>
        <w:rPr>
          <w:rFonts w:ascii="Times New Roman" w:cs="Times New Roman" w:eastAsia="Times New Roman" w:hAnsi="Times New Roman"/>
        </w:rPr>
        <w:t xml:space="preserve">4.1.3 KPI Summary</w:t>
      </w:r>
    </w:p>
    <w:p>
      <w:pPr>
        <w:spacing w:after="60" w:before="10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289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4.6 Halaman KPI Summary</w:t>
      </w:r>
    </w:p>
    <w:p>
      <w:pPr>
        <w:spacing w:after="120" w:line="300"/>
        <w:jc w:val="both"/>
      </w:pPr>
      <w:r>
        <w:rPr>
          <w:rFonts w:ascii="Times New Roman" w:cs="Times New Roman" w:eastAsia="Times New Roman" w:hAnsi="Times New Roman"/>
        </w:rPr>
        <w:t xml:space="preserve">Gambar 4.6 menampilkan ringkasan kinerja dalam satu halaman. Empat kartu menyajikan Total Revenue (689.995,56), Total Transactions (1.000), Total Unique Customers (199), dan Avg Order Value (690,00). Tabel menyajikan perbandingan antar wilayah dengan Revenue per Customer, Total Revenue, dan Revenue Share %, sedangkan dua grafik menunjukkan tren bulanan dan pendapatan per kategori. Seluruh angka dihasilkan oleh measure DAX.</w:t>
      </w:r>
    </w:p>
    <w:p>
      <w:pPr>
        <w:pStyle w:val="Heading2"/>
        <w:spacing w:after="100" w:before="200"/>
      </w:pPr>
      <w:r>
        <w:rPr>
          <w:rFonts w:ascii="Times New Roman" w:cs="Times New Roman" w:eastAsia="Times New Roman" w:hAnsi="Times New Roman"/>
        </w:rPr>
        <w:t xml:space="preserve">4.1.4 Interaktivitas Dashboard</w:t>
      </w:r>
    </w:p>
    <w:p>
      <w:pPr>
        <w:spacing w:after="120" w:line="300"/>
        <w:jc w:val="both"/>
      </w:pPr>
      <w:r>
        <w:rPr>
          <w:rFonts w:ascii="Times New Roman" w:cs="Times New Roman" w:eastAsia="Times New Roman" w:hAnsi="Times New Roman"/>
        </w:rPr>
        <w:t xml:space="preserve">Slicer memungkinkan pengguna menyaring seluruh visual secara serentak. Perhitungan pada measure DAX diperbarui menurut konteks filter yang dipilih.</w:t>
      </w:r>
    </w:p>
    <w:p>
      <w:pPr>
        <w:spacing w:after="60" w:before="100"/>
        <w:jc w:val="center"/>
      </w:pPr>
      <w:r>
        <w:drawing>
          <wp:inline distT="0" distB="0" distL="0" distR="0">
            <wp:extent cx="5143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7655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4.7 Hasil penyaringan wilayah South America</w:t>
      </w:r>
    </w:p>
    <w:p>
      <w:pPr>
        <w:spacing w:after="120" w:line="300"/>
        <w:jc w:val="both"/>
      </w:pPr>
      <w:r>
        <w:rPr>
          <w:rFonts w:ascii="Times New Roman" w:cs="Times New Roman" w:eastAsia="Times New Roman" w:hAnsi="Times New Roman"/>
        </w:rPr>
        <w:t xml:space="preserve">Gambar 4.7 memperlihatkan hasil ketika wilayah South America dipilih: Total Revenue 219,35 ribu, Total Transactions 304, Total Unique Customers 59, dan Avg Order Value 721,55. Angka ini lebih tinggi dari rata-rata keseluruhan (690,00) sehingga wilayah tersebut bernilai transaksi lebih besar.</w:t>
      </w:r>
    </w:p>
    <w:p>
      <w:pPr>
        <w:spacing w:after="60" w:before="10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857500"/>
                    </a:xfrm>
                    <a:prstGeom prst="rect">
                      <a:avLst/>
                    </a:prstGeom>
                  </pic:spPr>
                </pic:pic>
              </a:graphicData>
            </a:graphic>
          </wp:inline>
        </w:drawing>
      </w:r>
    </w:p>
    <w:p>
      <w:pPr>
        <w:spacing w:after="160"/>
        <w:jc w:val="center"/>
      </w:pPr>
      <w:r>
        <w:rPr>
          <w:rFonts w:ascii="Times New Roman" w:cs="Times New Roman" w:eastAsia="Times New Roman" w:hAnsi="Times New Roman"/>
          <w:i/>
          <w:iCs/>
          <w:sz w:val="21"/>
          <w:szCs w:val="21"/>
        </w:rPr>
        <w:t xml:space="preserve">Gambar 4.8 Hasil penyaringan bulan Oktober melalui grafik tren</w:t>
      </w:r>
    </w:p>
    <w:p>
      <w:pPr>
        <w:spacing w:after="120" w:line="300"/>
        <w:jc w:val="both"/>
      </w:pPr>
      <w:r>
        <w:rPr>
          <w:rFonts w:ascii="Times New Roman" w:cs="Times New Roman" w:eastAsia="Times New Roman" w:hAnsi="Times New Roman"/>
        </w:rPr>
        <w:t xml:space="preserve">Gambar 4.8 memperlihatkan efek pemilihan bulan Oktober pada grafik tren: seluruh kartu dan tabel menyesuaikan, yaitu Total Revenue 47,06 ribu, 70 transaksi, 60 pelanggan, dan Avg Order Value 672,33. Fitur ini memungkinkan analisis rinci per periode tanpa membuat laporan terpisah.</w:t>
      </w:r>
    </w:p>
    <w:p>
      <w:pPr>
        <w:pStyle w:val="Heading2"/>
        <w:spacing w:after="100" w:before="200"/>
      </w:pPr>
      <w:r>
        <w:rPr>
          <w:rFonts w:ascii="Times New Roman" w:cs="Times New Roman" w:eastAsia="Times New Roman" w:hAnsi="Times New Roman"/>
        </w:rPr>
        <w:t xml:space="preserve">4.2 Ringkasan Kinerja</w:t>
      </w:r>
    </w:p>
    <w:p>
      <w:pPr>
        <w:spacing w:after="80" w:before="100"/>
        <w:jc w:val="center"/>
      </w:pPr>
      <w:r>
        <w:rPr>
          <w:rFonts w:ascii="Times New Roman" w:cs="Times New Roman" w:eastAsia="Times New Roman" w:hAnsi="Times New Roman"/>
          <w:b/>
          <w:bCs/>
          <w:sz w:val="22"/>
          <w:szCs w:val="22"/>
        </w:rPr>
        <w:t xml:space="preserve">Tabel 4.1 Indikator kinerja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Indikator</w:t>
            </w:r>
          </w:p>
        </w:tc>
        <w:tc>
          <w:tcPr>
            <w:tcW w:type="dxa" w:w="468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Nilai</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pendapatan</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689.995,56</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Total transaksi</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1.000</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Pelanggan aktif</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199 dari 200 terdaftar</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Unit terjual</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2.537</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Rata-rata nilai per transaksi</w:t>
            </w:r>
          </w:p>
        </w:tc>
        <w:tc>
          <w:tcPr>
            <w:tcW w:type="dxa" w:w="468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690,00</w:t>
            </w:r>
          </w:p>
        </w:tc>
      </w:tr>
    </w:tbl>
    <w:p>
      <w:pPr>
        <w:spacing w:after="100"/>
      </w:pPr>
    </w:p>
    <w:p>
      <w:pPr>
        <w:pStyle w:val="Heading2"/>
        <w:spacing w:after="100" w:before="200"/>
      </w:pPr>
      <w:r>
        <w:rPr>
          <w:rFonts w:ascii="Times New Roman" w:cs="Times New Roman" w:eastAsia="Times New Roman" w:hAnsi="Times New Roman"/>
        </w:rPr>
        <w:t xml:space="preserve">4.3 Tren Pendapatan Bulanan</w:t>
      </w:r>
    </w:p>
    <w:p>
      <w:pPr>
        <w:spacing w:after="120" w:line="300"/>
        <w:jc w:val="both"/>
      </w:pPr>
      <w:r>
        <w:rPr>
          <w:rFonts w:ascii="Times New Roman" w:cs="Times New Roman" w:eastAsia="Times New Roman" w:hAnsi="Times New Roman"/>
        </w:rPr>
        <w:t xml:space="preserve">Pendapatan bulanan mencapai puncak pada Juli (71.366) dan September (70.604), serta terendah pada November (38.224). Berdasarkan kuartal, kuartal ketiga paling kuat (205.407) dan kuartal keempat paling lemah (144.337). Pola ini mengindikasikan adanya musiman dalam penjualan.</w:t>
      </w:r>
    </w:p>
    <w:p>
      <w:pPr>
        <w:pStyle w:val="Heading2"/>
        <w:spacing w:after="100" w:before="200"/>
      </w:pPr>
      <w:r>
        <w:rPr>
          <w:rFonts w:ascii="Times New Roman" w:cs="Times New Roman" w:eastAsia="Times New Roman" w:hAnsi="Times New Roman"/>
        </w:rPr>
        <w:t xml:space="preserve">4.4 Kategori dan Produk</w:t>
      </w:r>
    </w:p>
    <w:p>
      <w:pPr>
        <w:spacing w:after="80" w:before="100"/>
        <w:jc w:val="center"/>
      </w:pPr>
      <w:r>
        <w:rPr>
          <w:rFonts w:ascii="Times New Roman" w:cs="Times New Roman" w:eastAsia="Times New Roman" w:hAnsi="Times New Roman"/>
          <w:b/>
          <w:bCs/>
          <w:sz w:val="22"/>
          <w:szCs w:val="22"/>
        </w:rPr>
        <w:t xml:space="preserve">Tabel 4.2 Pendapatan menurut kategori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Kategori</w:t>
            </w:r>
          </w:p>
        </w:tc>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Pendapatan</w:t>
            </w:r>
          </w:p>
        </w:tc>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Proporsi</w:t>
            </w:r>
          </w:p>
        </w:tc>
        <w:tc>
          <w:tcPr>
            <w:tcW w:type="dxa" w:w="234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Transaksi</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Books</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192.147</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27,8%</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270</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Electronics</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180.784</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26,2%</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254</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Clothing</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166.171</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24,1%</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228</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Home Decor</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150.894</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21,9%</w:t>
            </w:r>
          </w:p>
        </w:tc>
        <w:tc>
          <w:tcPr>
            <w:tcW w:type="dxa" w:w="234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248</w:t>
            </w:r>
          </w:p>
        </w:tc>
      </w:tr>
    </w:tbl>
    <w:p>
      <w:pPr>
        <w:spacing w:after="100"/>
      </w:pPr>
    </w:p>
    <w:p>
      <w:pPr>
        <w:spacing w:after="120" w:line="300"/>
        <w:jc w:val="both"/>
      </w:pPr>
      <w:r>
        <w:rPr>
          <w:rFonts w:ascii="Times New Roman" w:cs="Times New Roman" w:eastAsia="Times New Roman" w:hAnsi="Times New Roman"/>
        </w:rPr>
        <w:t xml:space="preserve">Books dan Electronics bersama-sama menyumbang sekitar 54% pendapatan, sedangkan Home Decor paling rendah. Berdasarkan nama produk, ActiveWear Smartwatch memperoleh penjualan tertinggi (39.097) karena nama tersebut dipakai oleh empat ProductID; berdasarkan ProductID, produk tertinggi adalah P029 TechPro Headphones (19.514).</w:t>
      </w:r>
    </w:p>
    <w:p>
      <w:pPr>
        <w:pStyle w:val="Heading2"/>
        <w:spacing w:after="100" w:before="200"/>
      </w:pPr>
      <w:r>
        <w:rPr>
          <w:rFonts w:ascii="Times New Roman" w:cs="Times New Roman" w:eastAsia="Times New Roman" w:hAnsi="Times New Roman"/>
        </w:rPr>
        <w:t xml:space="preserve">4.5 Wilayah dan Perilaku Pelanggan</w:t>
      </w:r>
    </w:p>
    <w:p>
      <w:pPr>
        <w:spacing w:after="80" w:before="100"/>
        <w:jc w:val="center"/>
      </w:pPr>
      <w:r>
        <w:rPr>
          <w:rFonts w:ascii="Times New Roman" w:cs="Times New Roman" w:eastAsia="Times New Roman" w:hAnsi="Times New Roman"/>
          <w:b/>
          <w:bCs/>
          <w:sz w:val="22"/>
          <w:szCs w:val="22"/>
        </w:rPr>
        <w:t xml:space="preserve">Tabel 4.3 Kinerja menurut wilayah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600"/>
        <w:gridCol w:w="1900"/>
        <w:gridCol w:w="1800"/>
        <w:gridCol w:w="1900"/>
      </w:tblGrid>
      <w:tr>
        <w:trPr>
          <w:tblHeader/>
        </w:trPr>
        <w:tc>
          <w:tcPr>
            <w:tcW w:type="dxa" w:w="21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Wilayah</w:t>
            </w:r>
          </w:p>
        </w:tc>
        <w:tc>
          <w:tcPr>
            <w:tcW w:type="dxa" w:w="16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Pelanggan aktif</w:t>
            </w:r>
          </w:p>
        </w:tc>
        <w:tc>
          <w:tcPr>
            <w:tcW w:type="dxa" w:w="1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Pendapatan</w:t>
            </w:r>
          </w:p>
        </w:tc>
        <w:tc>
          <w:tcPr>
            <w:tcW w:type="dxa" w:w="18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Share</w:t>
            </w:r>
          </w:p>
        </w:tc>
        <w:tc>
          <w:tcPr>
            <w:tcW w:type="dxa" w:w="19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1"/>
                <w:szCs w:val="21"/>
              </w:rPr>
              <w:t xml:space="preserve">Pendapatan per pelanggan</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South America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59</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219.352,56</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31,8%</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3.717,84</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Europe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50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166.254,63</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24,1%</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3.325,09</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North America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46</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152.313,40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22,1%</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3.311,16</w:t>
            </w:r>
          </w:p>
        </w:tc>
      </w:tr>
      <w:tr>
        <w:trPr>
          <w:tblHeader w:val="false"/>
        </w:trPr>
        <w:tc>
          <w:tcPr>
            <w:tcW w:type="dxa" w:w="21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Asia</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44</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152.074,97</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22,0%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1"/>
                <w:szCs w:val="21"/>
              </w:rPr>
              <w:t xml:space="preserve">3.456,25</w:t>
            </w:r>
          </w:p>
        </w:tc>
      </w:tr>
    </w:tbl>
    <w:p>
      <w:pPr>
        <w:spacing w:after="100"/>
      </w:pPr>
    </w:p>
    <w:p>
      <w:pPr>
        <w:spacing w:after="120" w:line="300"/>
        <w:jc w:val="both"/>
      </w:pPr>
      <w:r>
        <w:rPr>
          <w:rFonts w:ascii="Times New Roman" w:cs="Times New Roman" w:eastAsia="Times New Roman" w:hAnsi="Times New Roman"/>
        </w:rPr>
        <w:t xml:space="preserve">South America unggul pada jumlah pelanggan dan nilai belanja per pelanggan. Asia memiliki pelanggan paling sedikit, tetapi nilai belanja per pelanggannya melampaui Europe dan North America. Rata-rata pelanggan aktif bertransaksi sekitar lima kali, dan 20 pelanggan teratas (sekitar 10%) menyumbang 20% pendapatan sehingga pendapatan tidak bergantung pada segelintir pelanggan.</w:t>
      </w:r>
    </w:p>
    <w:p>
      <w:pPr>
        <w:pStyle w:val="Heading2"/>
        <w:spacing w:after="100" w:before="200"/>
      </w:pPr>
      <w:r>
        <w:rPr>
          <w:rFonts w:ascii="Times New Roman" w:cs="Times New Roman" w:eastAsia="Times New Roman" w:hAnsi="Times New Roman"/>
        </w:rPr>
        <w:t xml:space="preserve">4.6 Interpretasi</w:t>
      </w:r>
    </w:p>
    <w:p>
      <w:pPr>
        <w:pStyle w:val="ListParagraph"/>
        <w:numPr>
          <w:ilvl w:val="0"/>
          <w:numId w:val="3"/>
        </w:numPr>
        <w:spacing w:after="60" w:line="288"/>
        <w:jc w:val="both"/>
      </w:pPr>
      <w:r>
        <w:rPr>
          <w:rFonts w:ascii="Times New Roman" w:cs="Times New Roman" w:eastAsia="Times New Roman" w:hAnsi="Times New Roman"/>
        </w:rPr>
        <w:t xml:space="preserve">Pendapatan relatif tersebar merata antar wilayah dan kategori, dengan South America sebagai kontributor dominan.</w:t>
      </w:r>
    </w:p>
    <w:p>
      <w:pPr>
        <w:pStyle w:val="ListParagraph"/>
        <w:numPr>
          <w:ilvl w:val="0"/>
          <w:numId w:val="3"/>
        </w:numPr>
        <w:spacing w:after="60" w:line="288"/>
        <w:jc w:val="both"/>
      </w:pPr>
      <w:r>
        <w:rPr>
          <w:rFonts w:ascii="Times New Roman" w:cs="Times New Roman" w:eastAsia="Times New Roman" w:hAnsi="Times New Roman"/>
        </w:rPr>
        <w:t xml:space="preserve">Penjualan bersifat musiman, kuat pada pertengahan tahun dan melemah pada akhir tahun.</w:t>
      </w:r>
    </w:p>
    <w:p>
      <w:pPr>
        <w:pStyle w:val="ListParagraph"/>
        <w:numPr>
          <w:ilvl w:val="0"/>
          <w:numId w:val="3"/>
        </w:numPr>
        <w:spacing w:after="60" w:line="288"/>
        <w:jc w:val="both"/>
      </w:pPr>
      <w:r>
        <w:rPr>
          <w:rFonts w:ascii="Times New Roman" w:cs="Times New Roman" w:eastAsia="Times New Roman" w:hAnsi="Times New Roman"/>
        </w:rPr>
        <w:t xml:space="preserve">Jumlah pelanggan tidak selalu berbanding lurus dengan nilai belanja per pelanggan.</w:t>
      </w:r>
    </w:p>
    <w:p>
      <w:pPr>
        <w:pStyle w:val="Heading1"/>
        <w:spacing w:after="200" w:before="240"/>
        <w:jc w:val="center"/>
      </w:pPr>
      <w:r>
        <w:rPr>
          <w:rFonts w:ascii="Times New Roman" w:cs="Times New Roman" w:eastAsia="Times New Roman" w:hAnsi="Times New Roman"/>
        </w:rPr>
        <w:t xml:space="preserve">BAB V  KESIMPULAN DAN REKOMENDASI</w:t>
      </w:r>
    </w:p>
    <w:p>
      <w:pPr>
        <w:pStyle w:val="Heading2"/>
        <w:spacing w:after="100" w:before="200"/>
      </w:pPr>
      <w:r>
        <w:rPr>
          <w:rFonts w:ascii="Times New Roman" w:cs="Times New Roman" w:eastAsia="Times New Roman" w:hAnsi="Times New Roman"/>
        </w:rPr>
        <w:t xml:space="preserve">5.1 Kesimpulan</w:t>
      </w:r>
    </w:p>
    <w:p>
      <w:pPr>
        <w:spacing w:after="120" w:line="300"/>
        <w:jc w:val="both"/>
      </w:pPr>
      <w:r>
        <w:rPr>
          <w:rFonts w:ascii="Times New Roman" w:cs="Times New Roman" w:eastAsia="Times New Roman" w:hAnsi="Times New Roman"/>
        </w:rPr>
        <w:t xml:space="preserve">Analisis terhadap 1.000 transaksi EverMart menghasilkan total pendapatan 689.995,56 dari 199 pelanggan aktif. Pendapatan tertinggi berasal dari wilayah South America dan kategori Books serta Electronics, dengan puncak penjualan pada Juli dan September. Dashboard Power BI yang dibangun menyediakan ringkasan interaktif sehingga manajemen dapat menelaah kinerja menurut wilayah dan periode.</w:t>
      </w:r>
    </w:p>
    <w:p>
      <w:pPr>
        <w:pStyle w:val="Heading2"/>
        <w:spacing w:after="100" w:before="200"/>
      </w:pPr>
      <w:r>
        <w:rPr>
          <w:rFonts w:ascii="Times New Roman" w:cs="Times New Roman" w:eastAsia="Times New Roman" w:hAnsi="Times New Roman"/>
        </w:rPr>
        <w:t xml:space="preserve">5.2 Rekomendasi</w:t>
      </w:r>
    </w:p>
    <w:p>
      <w:pPr>
        <w:pStyle w:val="ListParagraph"/>
        <w:numPr>
          <w:ilvl w:val="0"/>
          <w:numId w:val="5"/>
        </w:numPr>
        <w:spacing w:after="60" w:line="288"/>
        <w:jc w:val="both"/>
      </w:pPr>
      <w:r>
        <w:rPr>
          <w:rFonts w:ascii="Times New Roman" w:cs="Times New Roman" w:eastAsia="Times New Roman" w:hAnsi="Times New Roman"/>
        </w:rPr>
        <w:t xml:space="preserve">Memprioritaskan sumber daya promosi dan persediaan pada wilayah South America.</w:t>
      </w:r>
    </w:p>
    <w:p>
      <w:pPr>
        <w:pStyle w:val="ListParagraph"/>
        <w:numPr>
          <w:ilvl w:val="0"/>
          <w:numId w:val="5"/>
        </w:numPr>
        <w:spacing w:after="60" w:line="288"/>
        <w:jc w:val="both"/>
      </w:pPr>
      <w:r>
        <w:rPr>
          <w:rFonts w:ascii="Times New Roman" w:cs="Times New Roman" w:eastAsia="Times New Roman" w:hAnsi="Times New Roman"/>
        </w:rPr>
        <w:t xml:space="preserve">Menjaga persediaan produk terlaris serta mendorong kategori Books dan Electronics; memberikan paket produk atau potongan harga pada Home Decor.</w:t>
      </w:r>
    </w:p>
    <w:p>
      <w:pPr>
        <w:pStyle w:val="ListParagraph"/>
        <w:numPr>
          <w:ilvl w:val="0"/>
          <w:numId w:val="5"/>
        </w:numPr>
        <w:spacing w:after="60" w:line="288"/>
        <w:jc w:val="both"/>
      </w:pPr>
      <w:r>
        <w:rPr>
          <w:rFonts w:ascii="Times New Roman" w:cs="Times New Roman" w:eastAsia="Times New Roman" w:hAnsi="Times New Roman"/>
        </w:rPr>
        <w:t xml:space="preserve">Menyiapkan promosi pada Oktober dan November saat pendapatan menurun, dan memperkuat kampanye menjelang Juli dan September.</w:t>
      </w:r>
    </w:p>
    <w:p>
      <w:pPr>
        <w:pStyle w:val="ListParagraph"/>
        <w:numPr>
          <w:ilvl w:val="0"/>
          <w:numId w:val="5"/>
        </w:numPr>
        <w:spacing w:after="60" w:line="288"/>
        <w:jc w:val="both"/>
      </w:pPr>
      <w:r>
        <w:rPr>
          <w:rFonts w:ascii="Times New Roman" w:cs="Times New Roman" w:eastAsia="Times New Roman" w:hAnsi="Times New Roman"/>
        </w:rPr>
        <w:t xml:space="preserve">Menyusun program loyalitas bagi pelanggan teratas, mengaktifkan pelanggan terdaftar yang belum bertransaksi, dan merapikan data produk.</w:t>
      </w:r>
    </w:p>
    <w:p>
      <w:pPr>
        <w:pStyle w:val="Heading2"/>
        <w:spacing w:after="100" w:before="200"/>
      </w:pPr>
      <w:r>
        <w:rPr>
          <w:rFonts w:ascii="Times New Roman" w:cs="Times New Roman" w:eastAsia="Times New Roman" w:hAnsi="Times New Roman"/>
        </w:rPr>
        <w:t xml:space="preserve">5.3 Keterbatasan</w:t>
      </w:r>
    </w:p>
    <w:p>
      <w:pPr>
        <w:spacing w:after="120" w:line="300"/>
        <w:jc w:val="both"/>
      </w:pPr>
      <w:r>
        <w:rPr>
          <w:rFonts w:ascii="Times New Roman" w:cs="Times New Roman" w:eastAsia="Times New Roman" w:hAnsi="Times New Roman"/>
        </w:rPr>
        <w:t xml:space="preserve">Data hanya mencakup satu tahun dan kemungkinan bersifat sintetis. Nama produk tidak konsisten dengan kategorinya, dan periode data mencakup beberapa transaksi pada akhir Desember 2023. Generalisasi terhadap kondisi nyata perlu dilakukan dengan hati-hati.</w:t>
      </w:r>
    </w:p>
    <w:p>
      <w:pPr>
        <w:pStyle w:val="Heading1"/>
        <w:spacing w:after="200" w:before="240"/>
        <w:jc w:val="center"/>
      </w:pPr>
      <w:r>
        <w:rPr>
          <w:rFonts w:ascii="Times New Roman" w:cs="Times New Roman" w:eastAsia="Times New Roman" w:hAnsi="Times New Roman"/>
        </w:rPr>
        <w:t xml:space="preserve">DAFTAR PUSTAKA</w:t>
      </w:r>
    </w:p>
    <w:p>
      <w:pPr>
        <w:spacing w:after="120" w:line="300"/>
        <w:jc w:val="both"/>
      </w:pPr>
      <w:r>
        <w:rPr>
          <w:rFonts w:ascii="Times New Roman" w:cs="Times New Roman" w:eastAsia="Times New Roman" w:hAnsi="Times New Roman"/>
          <w:i/>
          <w:iCs/>
        </w:rPr>
        <w:t xml:space="preserve">[Tuliskan sumber rujukan yang Anda gunakan, misalnya dokumentasi resmi Microsoft Power BI dan DAX, buku atau modul mata kuliah BDASC, serta sumber dataset. Gunakan format sitasi yang diminta dosen.]</w:t>
      </w:r>
    </w:p>
    <w:p>
      <w:pPr>
        <w:pStyle w:val="Heading1"/>
        <w:spacing w:after="200" w:before="240"/>
        <w:jc w:val="center"/>
      </w:pPr>
      <w:r>
        <w:rPr>
          <w:rFonts w:ascii="Times New Roman" w:cs="Times New Roman" w:eastAsia="Times New Roman" w:hAnsi="Times New Roman"/>
        </w:rPr>
        <w:t xml:space="preserve">LAMPIRAN</w:t>
      </w:r>
    </w:p>
    <w:p>
      <w:pPr>
        <w:pStyle w:val="Heading2"/>
        <w:spacing w:after="100" w:before="200"/>
      </w:pPr>
      <w:r>
        <w:rPr>
          <w:rFonts w:ascii="Times New Roman" w:cs="Times New Roman" w:eastAsia="Times New Roman" w:hAnsi="Times New Roman"/>
        </w:rPr>
        <w:t xml:space="preserve">Lampiran A. Berkas dan Sumber Data</w:t>
      </w:r>
    </w:p>
    <w:p>
      <w:pPr>
        <w:spacing w:after="120" w:line="300"/>
        <w:jc w:val="both"/>
      </w:pPr>
      <w:r>
        <w:rPr>
          <w:rFonts w:ascii="Times New Roman" w:cs="Times New Roman" w:eastAsia="Times New Roman" w:hAnsi="Times New Roman"/>
        </w:rPr>
        <w:t xml:space="preserve">Berkas Power BI: EverMart_Online_Transactions_uts.pbix. Sumber data: EverMart_Online_Transactions.xlsx (sheet Customers, Products, dan Transactions).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850614961b6e6b6f96166e835b48554f883d42d.png"/><Relationship Id="rId9" Type="http://schemas.openxmlformats.org/officeDocument/2006/relationships/image" Target="media/2f3ba9077e181085bca44c82256078f9efd7d82c.png"/><Relationship Id="rId10" Type="http://schemas.openxmlformats.org/officeDocument/2006/relationships/image" Target="media/c5a0d5ddce93972bfaa5d4e2231e681ffe06cc41.png"/><Relationship Id="rId11" Type="http://schemas.openxmlformats.org/officeDocument/2006/relationships/image" Target="media/e1fb6dc4f0d10a85eec667a745f35df814c96773.png"/><Relationship Id="rId12" Type="http://schemas.openxmlformats.org/officeDocument/2006/relationships/image" Target="media/95ad9e617fab5492375126f7760ff3ff8c3ed041.png"/><Relationship Id="rId13" Type="http://schemas.openxmlformats.org/officeDocument/2006/relationships/image" Target="media/9de7fe08d84170b16c5879725168da6426e39fb7.png"/><Relationship Id="rId14" Type="http://schemas.openxmlformats.org/officeDocument/2006/relationships/image" Target="media/c81f00fc36787034b8ad75daa53b090e845a0a60.png"/><Relationship Id="rId15" Type="http://schemas.openxmlformats.org/officeDocument/2006/relationships/image" Target="media/8b287657165ddd6e45051dd93c0413d9064ccc45.png"/><Relationship Id="rId16" Type="http://schemas.openxmlformats.org/officeDocument/2006/relationships/image" Target="media/742bddcb0018a0d178a0ddc7ea8f5c8c2a24f73d.png"/><Relationship Id="rId17" Type="http://schemas.openxmlformats.org/officeDocument/2006/relationships/image" Target="media/e0add18e1a8b463d57c89dcbbd98559d1ccca394.png"/><Relationship Id="rId18" Type="http://schemas.openxmlformats.org/officeDocument/2006/relationships/image" Target="media/f51e31dfcd47763571e41589e642392a538bcc36.png"/><Relationship Id="rId19" Type="http://schemas.openxmlformats.org/officeDocument/2006/relationships/image" Target="media/ebb3411927aff58a94cd28a41ddd4683fb46050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2026-10-17T17:53:34.121Z</dcterms:created>
  <dcterms:modified xsi:type="dcterms:W3CDTF">2026-10-17T17:53:34.121Z</dcterms:modified>
</cp:coreProperties>
</file>

<file path=docProps/custom.xml><?xml version="1.0" encoding="utf-8"?>
<Properties xmlns="http://schemas.openxmlformats.org/officeDocument/2006/custom-properties" xmlns:vt="http://schemas.openxmlformats.org/officeDocument/2006/docPropsVTypes"/>
</file>