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Evaluasi</w:t>
      </w:r>
      <w:r>
        <w:t xml:space="preserve"> </w:t>
      </w:r>
      <w:r>
        <w:t xml:space="preserve">Green</w:t>
      </w:r>
      <w:r>
        <w:t xml:space="preserve"> </w:t>
      </w:r>
      <w:r>
        <w:t xml:space="preserve">Procurement</w:t>
      </w:r>
      <w:r>
        <w:t xml:space="preserve"> </w:t>
      </w:r>
      <w:r>
        <w:t xml:space="preserve">dan</w:t>
      </w:r>
      <w:r>
        <w:t xml:space="preserve"> </w:t>
      </w:r>
      <w:r>
        <w:t xml:space="preserve">Pengembangan</w:t>
      </w:r>
      <w:r>
        <w:t xml:space="preserve"> </w:t>
      </w:r>
      <w:r>
        <w:t xml:space="preserve">Pemasok</w:t>
      </w:r>
    </w:p>
    <w:p>
      <w:pPr>
        <w:pStyle w:val="Subtitle"/>
      </w:pPr>
      <w:r>
        <w:t xml:space="preserve">Tugas</w:t>
      </w:r>
      <w:r>
        <w:t xml:space="preserve"> </w:t>
      </w:r>
      <w:r>
        <w:t xml:space="preserve">W5</w:t>
      </w:r>
      <w:r>
        <w:t xml:space="preserve"> </w:t>
      </w:r>
      <w:r>
        <w:t xml:space="preserve">—</w:t>
      </w:r>
      <w:r>
        <w:t xml:space="preserve"> </w:t>
      </w:r>
      <w:r>
        <w:t xml:space="preserve">Green</w:t>
      </w:r>
      <w:r>
        <w:t xml:space="preserve"> </w:t>
      </w:r>
      <w:r>
        <w:t xml:space="preserve">Procurement</w:t>
      </w:r>
      <w:r>
        <w:t xml:space="preserve"> </w:t>
      </w:r>
      <w:r>
        <w:t xml:space="preserve">and</w:t>
      </w:r>
      <w:r>
        <w:t xml:space="preserve"> </w:t>
      </w:r>
      <w:r>
        <w:t xml:space="preserve">Supplier</w:t>
      </w:r>
      <w:r>
        <w:t xml:space="preserve"> </w:t>
      </w:r>
      <w:r>
        <w:t xml:space="preserve">Collaboration</w:t>
      </w:r>
    </w:p>
    <w:bookmarkStart w:id="20" w:name="pendahuluan-dan-konteks-kasus"/>
    <w:p>
      <w:pPr>
        <w:pStyle w:val="Heading1"/>
      </w:pPr>
      <w:r>
        <w:t xml:space="preserve">1. Pendahuluan dan Konteks Kasus</w:t>
      </w:r>
    </w:p>
    <w:p>
      <w:pPr>
        <w:pStyle w:val="FirstParagraph"/>
      </w:pPr>
      <w:r>
        <w:t xml:space="preserve">Green procurement (pembelian hijau) memasukkan pertimbangan lingkungan ke setiap tahap pengadaan: penetapan kebutuhan, spesifikasi, seleksi pemasok, kontrak, hingga evaluasi kinerja. Kerangka ini merujuk pada Ref [2] dan Ref [3] sebagai rujukan utama, dengan dukungan ISO 20400:2017 serta literatur pengembangan pemasok hijau (Vachon &amp; Klassen, 2006; Bai &amp; Sarkis, 2010).</w:t>
      </w:r>
    </w:p>
    <w:p>
      <w:pPr>
        <w:pStyle w:val="BodyText"/>
      </w:pPr>
      <w:r>
        <w:rPr>
          <w:bCs/>
          <w:b/>
        </w:rPr>
        <w:t xml:space="preserve">Kasus ilustratif.</w:t>
      </w:r>
      <w:r>
        <w:t xml:space="preserve"> </w:t>
      </w:r>
      <w:r>
        <w:t xml:space="preserve">Sebuah sekolah swasta K–12 di Tangerang membeli bahan pembersih dan sanitasi (disinfektan, pembersih lantai, sabun cuci tangan, pembersih toilet) senilai sekitar</w:t>
      </w:r>
      <w:r>
        <w:t xml:space="preserve"> </w:t>
      </w:r>
      <w:r>
        <w:rPr>
          <w:bCs/>
          <w:b/>
        </w:rPr>
        <w:t xml:space="preserve">Rp120 juta per tahun</w:t>
      </w:r>
      <w:r>
        <w:t xml:space="preserve">. Kategori ini dipilih karena:</w:t>
      </w:r>
    </w:p>
    <w:p>
      <w:pPr>
        <w:numPr>
          <w:ilvl w:val="0"/>
          <w:numId w:val="1001"/>
        </w:numPr>
        <w:pStyle w:val="Compact"/>
      </w:pPr>
      <w:r>
        <w:t xml:space="preserve">dampak lingkungannya nyata: limbah kimia ke saluran air, kemasan plastik sekali pakai, dan paparan bahan kimia bagi siswa serta petugas kebersihan;</w:t>
      </w:r>
    </w:p>
    <w:p>
      <w:pPr>
        <w:numPr>
          <w:ilvl w:val="0"/>
          <w:numId w:val="1001"/>
        </w:numPr>
        <w:pStyle w:val="Compact"/>
      </w:pPr>
      <w:r>
        <w:t xml:space="preserve">pasarnya terdiri atas tiga jenis pemasok yang mewakili dilema umum, yaitu distributor merek besar, UMKM lokal, dan produsen murah konvensional;</w:t>
      </w:r>
    </w:p>
    <w:p>
      <w:pPr>
        <w:numPr>
          <w:ilvl w:val="0"/>
          <w:numId w:val="1001"/>
        </w:numPr>
        <w:pStyle w:val="Compact"/>
      </w:pPr>
      <w:r>
        <w:t xml:space="preserve">volume pembeliannya cukup untuk memberi daya tawar, tetapi tidak cukup untuk memaksa pemasok besar mengubah produknya.</w:t>
      </w:r>
    </w:p>
    <w:p>
      <w:pPr>
        <w:pStyle w:val="FirstParagraph"/>
      </w:pPr>
      <w:r>
        <w:t xml:space="preserve">Angka dalam dokumen ini merupakan ilustrasi untuk menunjukkan cara kerja metode. Angka tersebut perlu diganti dengan data riil organisasi.</w:t>
      </w:r>
    </w:p>
    <w:bookmarkEnd w:id="20"/>
    <w:bookmarkStart w:id="23" w:name="kriteria-pembelian-hijau"/>
    <w:p>
      <w:pPr>
        <w:pStyle w:val="Heading1"/>
      </w:pPr>
      <w:r>
        <w:t xml:space="preserve">2. Kriteria Pembelian Hijau</w:t>
      </w:r>
    </w:p>
    <w:p>
      <w:pPr>
        <w:pStyle w:val="FirstParagraph"/>
      </w:pPr>
      <w:r>
        <w:t xml:space="preserve">Kriteria disusun dalam dua lapis. Lapis pertama adalah</w:t>
      </w:r>
      <w:r>
        <w:t xml:space="preserve"> </w:t>
      </w:r>
      <w:r>
        <w:rPr>
          <w:bCs/>
          <w:b/>
        </w:rPr>
        <w:t xml:space="preserve">gerbang wajib (pass/fail)</w:t>
      </w:r>
      <w:r>
        <w:t xml:space="preserve">: pemasok yang gagal di lapis ini tidak dinilai lebih lanjut. Lapis kedua adalah</w:t>
      </w:r>
      <w:r>
        <w:t xml:space="preserve"> </w:t>
      </w:r>
      <w:r>
        <w:rPr>
          <w:bCs/>
          <w:b/>
        </w:rPr>
        <w:t xml:space="preserve">kriteria berbobot</w:t>
      </w:r>
      <w:r>
        <w:t xml:space="preserve"> </w:t>
      </w:r>
      <w:r>
        <w:t xml:space="preserve">yang membedakan kinerja di antara pemasok yang lolos.</w:t>
      </w:r>
    </w:p>
    <w:bookmarkStart w:id="21" w:name="gerbang-wajib-passfail"/>
    <w:p>
      <w:pPr>
        <w:pStyle w:val="Heading2"/>
      </w:pPr>
      <w:r>
        <w:t xml:space="preserve">2.1 Gerbang wajib (pass/fail)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Kode</w:t>
            </w:r>
          </w:p>
        </w:tc>
        <w:tc>
          <w:tcPr/>
          <w:p>
            <w:pPr>
              <w:pStyle w:val="Compact"/>
              <w:jc w:val="left"/>
            </w:pPr>
            <w:r>
              <w:t xml:space="preserve">Persyaratan</w:t>
            </w:r>
          </w:p>
        </w:tc>
        <w:tc>
          <w:tcPr/>
          <w:p>
            <w:pPr>
              <w:pStyle w:val="Compact"/>
              <w:jc w:val="left"/>
            </w:pPr>
            <w:r>
              <w:t xml:space="preserve">Bukti</w:t>
            </w:r>
          </w:p>
        </w:tc>
      </w:tr>
      <w:tr>
        <w:tc>
          <w:tcPr/>
          <w:p>
            <w:pPr>
              <w:pStyle w:val="Compact"/>
              <w:jc w:val="left"/>
            </w:pPr>
            <w:r>
              <w:t xml:space="preserve">G1</w:t>
            </w:r>
          </w:p>
        </w:tc>
        <w:tc>
          <w:tcPr/>
          <w:p>
            <w:pPr>
              <w:pStyle w:val="Compact"/>
              <w:jc w:val="left"/>
            </w:pPr>
            <w:r>
              <w:t xml:space="preserve">Legalitas usaha (NIB) dan izin edar PKRT dari Kemenkes untuk produk pembersih</w:t>
            </w:r>
          </w:p>
        </w:tc>
        <w:tc>
          <w:tcPr/>
          <w:p>
            <w:pPr>
              <w:pStyle w:val="Compact"/>
              <w:jc w:val="left"/>
            </w:pPr>
            <w:r>
              <w:t xml:space="preserve">Salinan NIB, nomor izin edar</w:t>
            </w:r>
          </w:p>
        </w:tc>
      </w:tr>
      <w:tr>
        <w:tc>
          <w:tcPr/>
          <w:p>
            <w:pPr>
              <w:pStyle w:val="Compact"/>
              <w:jc w:val="left"/>
            </w:pPr>
            <w:r>
              <w:t xml:space="preserve">G2</w:t>
            </w:r>
          </w:p>
        </w:tc>
        <w:tc>
          <w:tcPr/>
          <w:p>
            <w:pPr>
              <w:pStyle w:val="Compact"/>
              <w:jc w:val="left"/>
            </w:pPr>
            <w:r>
              <w:t xml:space="preserve">Safety Data Sheet (SDS/MSDS) tersedia dalam Bahasa Indonesia untuk setiap SKU</w:t>
            </w:r>
          </w:p>
        </w:tc>
        <w:tc>
          <w:tcPr/>
          <w:p>
            <w:pPr>
              <w:pStyle w:val="Compact"/>
              <w:jc w:val="left"/>
            </w:pPr>
            <w:r>
              <w:t xml:space="preserve">Dokumen SDS</w:t>
            </w:r>
          </w:p>
        </w:tc>
      </w:tr>
      <w:tr>
        <w:tc>
          <w:tcPr/>
          <w:p>
            <w:pPr>
              <w:pStyle w:val="Compact"/>
              <w:jc w:val="left"/>
            </w:pPr>
            <w:r>
              <w:t xml:space="preserve">G3</w:t>
            </w:r>
          </w:p>
        </w:tc>
        <w:tc>
          <w:tcPr/>
          <w:p>
            <w:pPr>
              <w:pStyle w:val="Compact"/>
              <w:jc w:val="left"/>
            </w:pPr>
            <w:r>
              <w:t xml:space="preserve">Produk tidak mengandung bahan yang dilarang atau dibatasi (misalnya fosfat tinggi, NPE, atau klorin untuk area kelas anak)</w:t>
            </w:r>
          </w:p>
        </w:tc>
        <w:tc>
          <w:tcPr/>
          <w:p>
            <w:pPr>
              <w:pStyle w:val="Compact"/>
              <w:jc w:val="left"/>
            </w:pPr>
            <w:r>
              <w:t xml:space="preserve">Komposisi dan SDS</w:t>
            </w:r>
          </w:p>
        </w:tc>
      </w:tr>
      <w:tr>
        <w:tc>
          <w:tcPr/>
          <w:p>
            <w:pPr>
              <w:pStyle w:val="Compact"/>
              <w:jc w:val="left"/>
            </w:pPr>
            <w:r>
              <w:t xml:space="preserve">G4</w:t>
            </w:r>
          </w:p>
        </w:tc>
        <w:tc>
          <w:tcPr/>
          <w:p>
            <w:pPr>
              <w:pStyle w:val="Compact"/>
              <w:jc w:val="left"/>
            </w:pPr>
            <w:r>
              <w:t xml:space="preserve">Tidak ada pelanggaran lingkungan atau ketenagakerjaan berat dalam 2 tahun terakhir</w:t>
            </w:r>
          </w:p>
        </w:tc>
        <w:tc>
          <w:tcPr/>
          <w:p>
            <w:pPr>
              <w:pStyle w:val="Compact"/>
              <w:jc w:val="left"/>
            </w:pPr>
            <w:r>
              <w:t xml:space="preserve">Surat pernyataan dan pengecekan publik</w:t>
            </w:r>
          </w:p>
        </w:tc>
      </w:tr>
    </w:tbl>
    <w:bookmarkEnd w:id="21"/>
    <w:bookmarkStart w:id="22" w:name="kriteria-berbobot"/>
    <w:p>
      <w:pPr>
        <w:pStyle w:val="Heading2"/>
      </w:pPr>
      <w:r>
        <w:t xml:space="preserve">2.2 Kriteria berbobot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Kriteria</w:t>
            </w:r>
          </w:p>
        </w:tc>
        <w:tc>
          <w:tcPr/>
          <w:p>
            <w:pPr>
              <w:pStyle w:val="Compact"/>
              <w:jc w:val="left"/>
            </w:pPr>
            <w:r>
              <w:t xml:space="preserve">Dimensi</w:t>
            </w:r>
          </w:p>
        </w:tc>
        <w:tc>
          <w:tcPr/>
          <w:p>
            <w:pPr>
              <w:pStyle w:val="Compact"/>
              <w:jc w:val="left"/>
            </w:pPr>
            <w:r>
              <w:t xml:space="preserve">Bobot</w:t>
            </w:r>
          </w:p>
        </w:tc>
        <w:tc>
          <w:tcPr/>
          <w:p>
            <w:pPr>
              <w:pStyle w:val="Compact"/>
              <w:jc w:val="left"/>
            </w:pPr>
            <w:r>
              <w:t xml:space="preserve">Indikator penilaian (skala 1–5)</w:t>
            </w:r>
          </w:p>
        </w:tc>
      </w:tr>
      <w:tr>
        <w:tc>
          <w:tcPr/>
          <w:p>
            <w:pPr>
              <w:pStyle w:val="Compact"/>
              <w:jc w:val="left"/>
            </w:pPr>
            <w:r>
              <w:t xml:space="preserve">K1</w:t>
            </w:r>
          </w:p>
        </w:tc>
        <w:tc>
          <w:tcPr/>
          <w:p>
            <w:pPr>
              <w:pStyle w:val="Compact"/>
              <w:jc w:val="left"/>
            </w:pPr>
            <w:r>
              <w:t xml:space="preserve">Harga &amp; total cost of ownership (TCO)</w:t>
            </w:r>
          </w:p>
        </w:tc>
        <w:tc>
          <w:tcPr/>
          <w:p>
            <w:pPr>
              <w:pStyle w:val="Compact"/>
              <w:jc w:val="left"/>
            </w:pPr>
            <w:r>
              <w:t xml:space="preserve">Biaya</w:t>
            </w:r>
          </w:p>
        </w:tc>
        <w:tc>
          <w:tcPr/>
          <w:p>
            <w:pPr>
              <w:pStyle w:val="Compact"/>
              <w:jc w:val="left"/>
            </w:pPr>
            <w:r>
              <w:t xml:space="preserve">20%</w:t>
            </w:r>
          </w:p>
        </w:tc>
        <w:tc>
          <w:tcPr/>
          <w:p>
            <w:pPr>
              <w:pStyle w:val="Compact"/>
              <w:jc w:val="left"/>
            </w:pPr>
            <w:r>
              <w:t xml:space="preserve">Biaya per liter siap pakai (setelah pengenceran), ongkos kirim, dan biaya pembuangan</w:t>
            </w:r>
          </w:p>
        </w:tc>
      </w:tr>
      <w:tr>
        <w:tc>
          <w:tcPr/>
          <w:p>
            <w:pPr>
              <w:pStyle w:val="Compact"/>
              <w:jc w:val="left"/>
            </w:pPr>
            <w:r>
              <w:t xml:space="preserve">K2</w:t>
            </w:r>
          </w:p>
        </w:tc>
        <w:tc>
          <w:tcPr/>
          <w:p>
            <w:pPr>
              <w:pStyle w:val="Compact"/>
              <w:jc w:val="left"/>
            </w:pPr>
            <w:r>
              <w:t xml:space="preserve">Kualitas &amp; konsistensi produk</w:t>
            </w:r>
          </w:p>
        </w:tc>
        <w:tc>
          <w:tcPr/>
          <w:p>
            <w:pPr>
              <w:pStyle w:val="Compact"/>
              <w:jc w:val="left"/>
            </w:pPr>
            <w:r>
              <w:t xml:space="preserve">Kualitas</w:t>
            </w:r>
          </w:p>
        </w:tc>
        <w:tc>
          <w:tcPr/>
          <w:p>
            <w:pPr>
              <w:pStyle w:val="Compact"/>
              <w:jc w:val="left"/>
            </w:pPr>
            <w:r>
              <w:t xml:space="preserve">15%</w:t>
            </w:r>
          </w:p>
        </w:tc>
        <w:tc>
          <w:tcPr/>
          <w:p>
            <w:pPr>
              <w:pStyle w:val="Compact"/>
              <w:jc w:val="left"/>
            </w:pPr>
            <w:r>
              <w:t xml:space="preserve">Hasil uji coba pemakaian, tingkat keluhan, dan konsistensi antar-batch</w:t>
            </w:r>
          </w:p>
        </w:tc>
      </w:tr>
      <w:tr>
        <w:tc>
          <w:tcPr/>
          <w:p>
            <w:pPr>
              <w:pStyle w:val="Compact"/>
              <w:jc w:val="left"/>
            </w:pPr>
            <w:r>
              <w:t xml:space="preserve">K3</w:t>
            </w:r>
          </w:p>
        </w:tc>
        <w:tc>
          <w:tcPr/>
          <w:p>
            <w:pPr>
              <w:pStyle w:val="Compact"/>
              <w:jc w:val="left"/>
            </w:pPr>
            <w:r>
              <w:t xml:space="preserve">Kinerja pengiriman</w:t>
            </w:r>
          </w:p>
        </w:tc>
        <w:tc>
          <w:tcPr/>
          <w:p>
            <w:pPr>
              <w:pStyle w:val="Compact"/>
              <w:jc w:val="left"/>
            </w:pPr>
            <w:r>
              <w:t xml:space="preserve">Risiko</w:t>
            </w:r>
          </w:p>
        </w:tc>
        <w:tc>
          <w:tcPr/>
          <w:p>
            <w:pPr>
              <w:pStyle w:val="Compact"/>
              <w:jc w:val="left"/>
            </w:pPr>
            <w:r>
              <w:t xml:space="preserve">10%</w:t>
            </w:r>
          </w:p>
        </w:tc>
        <w:tc>
          <w:tcPr/>
          <w:p>
            <w:pPr>
              <w:pStyle w:val="Compact"/>
              <w:jc w:val="left"/>
            </w:pPr>
            <w:r>
              <w:t xml:space="preserve">Ketepatan waktu, lead time, dan pemenuhan pesanan</w:t>
            </w:r>
          </w:p>
        </w:tc>
      </w:tr>
      <w:tr>
        <w:tc>
          <w:tcPr/>
          <w:p>
            <w:pPr>
              <w:pStyle w:val="Compact"/>
              <w:jc w:val="left"/>
            </w:pPr>
            <w:r>
              <w:t xml:space="preserve">K4</w:t>
            </w:r>
          </w:p>
        </w:tc>
        <w:tc>
          <w:tcPr/>
          <w:p>
            <w:pPr>
              <w:pStyle w:val="Compact"/>
              <w:jc w:val="left"/>
            </w:pPr>
            <w:r>
              <w:t xml:space="preserve">Sistem &amp; sertifikasi lingkungan</w:t>
            </w:r>
          </w:p>
        </w:tc>
        <w:tc>
          <w:tcPr/>
          <w:p>
            <w:pPr>
              <w:pStyle w:val="Compact"/>
              <w:jc w:val="left"/>
            </w:pPr>
            <w:r>
              <w:t xml:space="preserve">Lingkungan</w:t>
            </w:r>
          </w:p>
        </w:tc>
        <w:tc>
          <w:tcPr/>
          <w:p>
            <w:pPr>
              <w:pStyle w:val="Compact"/>
              <w:jc w:val="left"/>
            </w:pPr>
            <w:r>
              <w:t xml:space="preserve">15%</w:t>
            </w:r>
          </w:p>
        </w:tc>
        <w:tc>
          <w:tcPr/>
          <w:p>
            <w:pPr>
              <w:pStyle w:val="Compact"/>
              <w:jc w:val="left"/>
            </w:pPr>
            <w:r>
              <w:t xml:space="preserve">ISO 14001, Ekolabel KLHK, Green Label Indonesia, atau setara</w:t>
            </w:r>
          </w:p>
        </w:tc>
      </w:tr>
      <w:tr>
        <w:tc>
          <w:tcPr/>
          <w:p>
            <w:pPr>
              <w:pStyle w:val="Compact"/>
              <w:jc w:val="left"/>
            </w:pPr>
            <w:r>
              <w:t xml:space="preserve">K5</w:t>
            </w:r>
          </w:p>
        </w:tc>
        <w:tc>
          <w:tcPr/>
          <w:p>
            <w:pPr>
              <w:pStyle w:val="Compact"/>
              <w:jc w:val="left"/>
            </w:pPr>
            <w:r>
              <w:t xml:space="preserve">Profil bahan produk</w:t>
            </w:r>
          </w:p>
        </w:tc>
        <w:tc>
          <w:tcPr/>
          <w:p>
            <w:pPr>
              <w:pStyle w:val="Compact"/>
              <w:jc w:val="left"/>
            </w:pPr>
            <w:r>
              <w:t xml:space="preserve">Lingkungan</w:t>
            </w:r>
          </w:p>
        </w:tc>
        <w:tc>
          <w:tcPr/>
          <w:p>
            <w:pPr>
              <w:pStyle w:val="Compact"/>
              <w:jc w:val="left"/>
            </w:pPr>
            <w:r>
              <w:t xml:space="preserve">15%</w:t>
            </w:r>
          </w:p>
        </w:tc>
        <w:tc>
          <w:tcPr/>
          <w:p>
            <w:pPr>
              <w:pStyle w:val="Compact"/>
              <w:jc w:val="left"/>
            </w:pPr>
            <w:r>
              <w:t xml:space="preserve">Biodegradabilitas, kadar VOC rendah, dan bebas fosfat serta pewangi berbahaya</w:t>
            </w:r>
          </w:p>
        </w:tc>
      </w:tr>
      <w:tr>
        <w:tc>
          <w:tcPr/>
          <w:p>
            <w:pPr>
              <w:pStyle w:val="Compact"/>
              <w:jc w:val="left"/>
            </w:pPr>
            <w:r>
              <w:t xml:space="preserve">K6</w:t>
            </w:r>
          </w:p>
        </w:tc>
        <w:tc>
          <w:tcPr/>
          <w:p>
            <w:pPr>
              <w:pStyle w:val="Compact"/>
              <w:jc w:val="left"/>
            </w:pPr>
            <w:r>
              <w:t xml:space="preserve">Kemasan &amp; take-back</w:t>
            </w:r>
          </w:p>
        </w:tc>
        <w:tc>
          <w:tcPr/>
          <w:p>
            <w:pPr>
              <w:pStyle w:val="Compact"/>
              <w:jc w:val="left"/>
            </w:pPr>
            <w:r>
              <w:t xml:space="preserve">Lingkungan</w:t>
            </w:r>
          </w:p>
        </w:tc>
        <w:tc>
          <w:tcPr/>
          <w:p>
            <w:pPr>
              <w:pStyle w:val="Compact"/>
              <w:jc w:val="left"/>
            </w:pPr>
            <w:r>
              <w:t xml:space="preserve">10%</w:t>
            </w:r>
          </w:p>
        </w:tc>
        <w:tc>
          <w:tcPr/>
          <w:p>
            <w:pPr>
              <w:pStyle w:val="Compact"/>
              <w:jc w:val="left"/>
            </w:pPr>
            <w:r>
              <w:t xml:space="preserve">Kemasan isi ulang (jeriken 20 L), penarikan kembali kemasan, dan kandungan daur ulang</w:t>
            </w:r>
          </w:p>
        </w:tc>
      </w:tr>
      <w:tr>
        <w:tc>
          <w:tcPr/>
          <w:p>
            <w:pPr>
              <w:pStyle w:val="Compact"/>
              <w:jc w:val="left"/>
            </w:pPr>
            <w:r>
              <w:t xml:space="preserve">K7</w:t>
            </w:r>
          </w:p>
        </w:tc>
        <w:tc>
          <w:tcPr/>
          <w:p>
            <w:pPr>
              <w:pStyle w:val="Compact"/>
              <w:jc w:val="left"/>
            </w:pPr>
            <w:r>
              <w:t xml:space="preserve">Kesiapan berbagi data</w:t>
            </w:r>
          </w:p>
        </w:tc>
        <w:tc>
          <w:tcPr/>
          <w:p>
            <w:pPr>
              <w:pStyle w:val="Compact"/>
              <w:jc w:val="left"/>
            </w:pPr>
            <w:r>
              <w:t xml:space="preserve">Kolaborasi</w:t>
            </w:r>
          </w:p>
        </w:tc>
        <w:tc>
          <w:tcPr/>
          <w:p>
            <w:pPr>
              <w:pStyle w:val="Compact"/>
              <w:jc w:val="left"/>
            </w:pPr>
            <w:r>
              <w:t xml:space="preserve">10%</w:t>
            </w:r>
          </w:p>
        </w:tc>
        <w:tc>
          <w:tcPr/>
          <w:p>
            <w:pPr>
              <w:pStyle w:val="Compact"/>
              <w:jc w:val="left"/>
            </w:pPr>
            <w:r>
              <w:t xml:space="preserve">Kemampuan melaporkan volume, kemasan, dan pembaruan SDS secara rutin</w:t>
            </w:r>
          </w:p>
        </w:tc>
      </w:tr>
      <w:tr>
        <w:tc>
          <w:tcPr/>
          <w:p>
            <w:pPr>
              <w:pStyle w:val="Compact"/>
              <w:jc w:val="left"/>
            </w:pPr>
            <w:r>
              <w:t xml:space="preserve">K8</w:t>
            </w:r>
          </w:p>
        </w:tc>
        <w:tc>
          <w:tcPr/>
          <w:p>
            <w:pPr>
              <w:pStyle w:val="Compact"/>
              <w:jc w:val="left"/>
            </w:pPr>
            <w:r>
              <w:t xml:space="preserve">Kapasitas &amp; kemauan berkembang</w:t>
            </w:r>
          </w:p>
        </w:tc>
        <w:tc>
          <w:tcPr/>
          <w:p>
            <w:pPr>
              <w:pStyle w:val="Compact"/>
              <w:jc w:val="left"/>
            </w:pPr>
            <w:r>
              <w:t xml:space="preserve">Kapasitas</w:t>
            </w:r>
          </w:p>
        </w:tc>
        <w:tc>
          <w:tcPr/>
          <w:p>
            <w:pPr>
              <w:pStyle w:val="Compact"/>
              <w:jc w:val="left"/>
            </w:pPr>
            <w:r>
              <w:t xml:space="preserve">5%</w:t>
            </w:r>
          </w:p>
        </w:tc>
        <w:tc>
          <w:tcPr/>
          <w:p>
            <w:pPr>
              <w:pStyle w:val="Compact"/>
              <w:jc w:val="left"/>
            </w:pPr>
            <w:r>
              <w:t xml:space="preserve">Komitmen tertulis terhadap rencana perbaikan dan keterbukaan untuk diaudit</w:t>
            </w:r>
          </w:p>
        </w:tc>
      </w:tr>
      <w:tr>
        <w:tc>
          <w:tcPr/>
          <w:p>
            <w:pPr>
              <w:pStyle w:val="Compact"/>
            </w:pPr>
          </w:p>
        </w:tc>
        <w:tc>
          <w:tcPr/>
          <w:p>
            <w:pPr>
              <w:pStyle w:val="Compact"/>
              <w:jc w:val="left"/>
            </w:pPr>
            <w:r>
              <w:rPr>
                <w:bCs/>
                <w:b/>
              </w:rPr>
              <w:t xml:space="preserve">Total</w:t>
            </w:r>
          </w:p>
        </w:tc>
        <w:tc>
          <w:tcPr/>
          <w:p>
            <w:pPr>
              <w:pStyle w:val="Compact"/>
            </w:pPr>
          </w:p>
        </w:tc>
        <w:tc>
          <w:tcPr/>
          <w:p>
            <w:pPr>
              <w:pStyle w:val="Compact"/>
              <w:jc w:val="left"/>
            </w:pPr>
            <w:r>
              <w:rPr>
                <w:bCs/>
                <w:b/>
              </w:rPr>
              <w:t xml:space="preserve">100%</w:t>
            </w:r>
          </w:p>
        </w:tc>
        <w:tc>
          <w:tcPr/>
          <w:p>
            <w:pPr>
              <w:pStyle w:val="Compact"/>
            </w:pPr>
          </w:p>
        </w:tc>
      </w:tr>
    </w:tbl>
    <w:p>
      <w:pPr>
        <w:pStyle w:val="BodyText"/>
      </w:pPr>
      <w:r>
        <w:t xml:space="preserve">Bobot lingkungan langsung (K4 + K5 + K6) berjumlah</w:t>
      </w:r>
      <w:r>
        <w:t xml:space="preserve"> </w:t>
      </w:r>
      <w:r>
        <w:rPr>
          <w:bCs/>
          <w:b/>
        </w:rPr>
        <w:t xml:space="preserve">40%</w:t>
      </w:r>
      <w:r>
        <w:t xml:space="preserve">, sedangkan biaya, kualitas, dan risiko (K1 + K2 + K3) berjumlah</w:t>
      </w:r>
      <w:r>
        <w:t xml:space="preserve"> </w:t>
      </w:r>
      <w:r>
        <w:rPr>
          <w:bCs/>
          <w:b/>
        </w:rPr>
        <w:t xml:space="preserve">45%</w:t>
      </w:r>
      <w:r>
        <w:t xml:space="preserve">. Dengan proporsi ini, pemasok yang</w:t>
      </w:r>
      <w:r>
        <w:t xml:space="preserve"> </w:t>
      </w:r>
      <w:r>
        <w:t xml:space="preserve">“</w:t>
      </w:r>
      <w:r>
        <w:t xml:space="preserve">hijau tetapi mahal dan tidak andal</w:t>
      </w:r>
      <w:r>
        <w:t xml:space="preserve">”</w:t>
      </w:r>
      <w:r>
        <w:t xml:space="preserve"> </w:t>
      </w:r>
      <w:r>
        <w:t xml:space="preserve">tidak otomatis menang, dan pemasok yang</w:t>
      </w:r>
      <w:r>
        <w:t xml:space="preserve"> </w:t>
      </w:r>
      <w:r>
        <w:t xml:space="preserve">“</w:t>
      </w:r>
      <w:r>
        <w:t xml:space="preserve">murah tetapi mencemari</w:t>
      </w:r>
      <w:r>
        <w:t xml:space="preserve">”</w:t>
      </w:r>
      <w:r>
        <w:t xml:space="preserve"> </w:t>
      </w:r>
      <w:r>
        <w:t xml:space="preserve">juga tidak. K7 dan K8 sengaja dimasukkan karena kolaborasi jangka panjang bergantung pada data dan kemauan berkembang, tidak hanya pada kondisi pemasok saat ini (Vachon &amp; Klassen, 2006).</w:t>
      </w:r>
    </w:p>
    <w:bookmarkEnd w:id="22"/>
    <w:bookmarkEnd w:id="23"/>
    <w:bookmarkStart w:id="24" w:name="supplier-criteria-matrix-keluaran-1"/>
    <w:p>
      <w:pPr>
        <w:pStyle w:val="Heading1"/>
      </w:pPr>
      <w:r>
        <w:t xml:space="preserve">3. Supplier Criteria Matrix (Keluaran 1)</w:t>
      </w:r>
    </w:p>
    <w:p>
      <w:pPr>
        <w:pStyle w:val="FirstParagraph"/>
      </w:pPr>
      <w:r>
        <w:t xml:space="preserve">Ketiga calon pemasok lolos gerbang G1–G4. Pemasok C lolos G3 dengan catatan karena produknya tidak dipakai di area kelas anak.</w:t>
      </w:r>
    </w:p>
    <w:p>
      <w:pPr>
        <w:numPr>
          <w:ilvl w:val="0"/>
          <w:numId w:val="1002"/>
        </w:numPr>
        <w:pStyle w:val="Compact"/>
      </w:pPr>
      <w:r>
        <w:rPr>
          <w:bCs/>
          <w:b/>
        </w:rPr>
        <w:t xml:space="preserve">Pemasok A</w:t>
      </w:r>
      <w:r>
        <w:t xml:space="preserve">: distributor merek nasional dengan produk berekolabel. Harganya sekitar 18% di atas rata-rata.</w:t>
      </w:r>
    </w:p>
    <w:p>
      <w:pPr>
        <w:numPr>
          <w:ilvl w:val="0"/>
          <w:numId w:val="1002"/>
        </w:numPr>
        <w:pStyle w:val="Compact"/>
      </w:pPr>
      <w:r>
        <w:rPr>
          <w:bCs/>
          <w:b/>
        </w:rPr>
        <w:t xml:space="preserve">Pemasok B</w:t>
      </w:r>
      <w:r>
        <w:t xml:space="preserve">: UMKM produsen lokal di Tangerang yang menyediakan isi ulang jeriken. Pemasok ini belum bersertifikat, tetapi sangat responsif.</w:t>
      </w:r>
    </w:p>
    <w:p>
      <w:pPr>
        <w:numPr>
          <w:ilvl w:val="0"/>
          <w:numId w:val="1002"/>
        </w:numPr>
        <w:pStyle w:val="Compact"/>
      </w:pPr>
      <w:r>
        <w:rPr>
          <w:bCs/>
          <w:b/>
        </w:rPr>
        <w:t xml:space="preserve">Pemasok C</w:t>
      </w:r>
      <w:r>
        <w:t xml:space="preserve">: produsen konvensional dengan harga termurah, tanpa dokumen lingkungan, dan kemasannya sekali pakai.</w:t>
      </w:r>
    </w:p>
    <w:p>
      <w:pPr>
        <w:pStyle w:val="FirstParagraph"/>
      </w:pPr>
      <w:r>
        <w:t xml:space="preserve">Skor tertimbang = Σ (bobot × skor) ÷ 5, dinyatakan dalam skala 0–100.</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Kriteria</w:t>
            </w:r>
          </w:p>
        </w:tc>
        <w:tc>
          <w:tcPr/>
          <w:p>
            <w:pPr>
              <w:pStyle w:val="Compact"/>
              <w:jc w:val="left"/>
            </w:pPr>
            <w:r>
              <w:t xml:space="preserve">Bobot</w:t>
            </w:r>
          </w:p>
        </w:tc>
        <w:tc>
          <w:tcPr/>
          <w:p>
            <w:pPr>
              <w:pStyle w:val="Compact"/>
              <w:jc w:val="left"/>
            </w:pPr>
            <w:r>
              <w:t xml:space="preserve">A skor</w:t>
            </w:r>
          </w:p>
        </w:tc>
        <w:tc>
          <w:tcPr/>
          <w:p>
            <w:pPr>
              <w:pStyle w:val="Compact"/>
              <w:jc w:val="left"/>
            </w:pPr>
            <w:r>
              <w:t xml:space="preserve">A nilai</w:t>
            </w:r>
          </w:p>
        </w:tc>
        <w:tc>
          <w:tcPr/>
          <w:p>
            <w:pPr>
              <w:pStyle w:val="Compact"/>
              <w:jc w:val="left"/>
            </w:pPr>
            <w:r>
              <w:t xml:space="preserve">B skor</w:t>
            </w:r>
          </w:p>
        </w:tc>
        <w:tc>
          <w:tcPr/>
          <w:p>
            <w:pPr>
              <w:pStyle w:val="Compact"/>
              <w:jc w:val="left"/>
            </w:pPr>
            <w:r>
              <w:t xml:space="preserve">B nilai</w:t>
            </w:r>
          </w:p>
        </w:tc>
        <w:tc>
          <w:tcPr/>
          <w:p>
            <w:pPr>
              <w:pStyle w:val="Compact"/>
              <w:jc w:val="left"/>
            </w:pPr>
            <w:r>
              <w:t xml:space="preserve">C skor</w:t>
            </w:r>
          </w:p>
        </w:tc>
        <w:tc>
          <w:tcPr/>
          <w:p>
            <w:pPr>
              <w:pStyle w:val="Compact"/>
              <w:jc w:val="left"/>
            </w:pPr>
            <w:r>
              <w:t xml:space="preserve">C nilai</w:t>
            </w:r>
          </w:p>
        </w:tc>
      </w:tr>
      <w:tr>
        <w:tc>
          <w:tcPr/>
          <w:p>
            <w:pPr>
              <w:pStyle w:val="Compact"/>
              <w:jc w:val="left"/>
            </w:pPr>
            <w:r>
              <w:t xml:space="preserve">K1 Harga &amp; TCO</w:t>
            </w:r>
          </w:p>
        </w:tc>
        <w:tc>
          <w:tcPr/>
          <w:p>
            <w:pPr>
              <w:pStyle w:val="Compact"/>
              <w:jc w:val="left"/>
            </w:pPr>
            <w:r>
              <w:t xml:space="preserve">20</w:t>
            </w:r>
          </w:p>
        </w:tc>
        <w:tc>
          <w:tcPr/>
          <w:p>
            <w:pPr>
              <w:pStyle w:val="Compact"/>
              <w:jc w:val="left"/>
            </w:pPr>
            <w:r>
              <w:t xml:space="preserve">2</w:t>
            </w:r>
          </w:p>
        </w:tc>
        <w:tc>
          <w:tcPr/>
          <w:p>
            <w:pPr>
              <w:pStyle w:val="Compact"/>
              <w:jc w:val="left"/>
            </w:pPr>
            <w:r>
              <w:t xml:space="preserve">8,0</w:t>
            </w:r>
          </w:p>
        </w:tc>
        <w:tc>
          <w:tcPr/>
          <w:p>
            <w:pPr>
              <w:pStyle w:val="Compact"/>
              <w:jc w:val="left"/>
            </w:pPr>
            <w:r>
              <w:t xml:space="preserve">4</w:t>
            </w:r>
          </w:p>
        </w:tc>
        <w:tc>
          <w:tcPr/>
          <w:p>
            <w:pPr>
              <w:pStyle w:val="Compact"/>
              <w:jc w:val="left"/>
            </w:pPr>
            <w:r>
              <w:t xml:space="preserve">16,0</w:t>
            </w:r>
          </w:p>
        </w:tc>
        <w:tc>
          <w:tcPr/>
          <w:p>
            <w:pPr>
              <w:pStyle w:val="Compact"/>
              <w:jc w:val="left"/>
            </w:pPr>
            <w:r>
              <w:t xml:space="preserve">5</w:t>
            </w:r>
          </w:p>
        </w:tc>
        <w:tc>
          <w:tcPr/>
          <w:p>
            <w:pPr>
              <w:pStyle w:val="Compact"/>
              <w:jc w:val="left"/>
            </w:pPr>
            <w:r>
              <w:t xml:space="preserve">20,0</w:t>
            </w:r>
          </w:p>
        </w:tc>
      </w:tr>
      <w:tr>
        <w:tc>
          <w:tcPr/>
          <w:p>
            <w:pPr>
              <w:pStyle w:val="Compact"/>
              <w:jc w:val="left"/>
            </w:pPr>
            <w:r>
              <w:t xml:space="preserve">K2 Kualitas</w:t>
            </w:r>
          </w:p>
        </w:tc>
        <w:tc>
          <w:tcPr/>
          <w:p>
            <w:pPr>
              <w:pStyle w:val="Compact"/>
              <w:jc w:val="left"/>
            </w:pPr>
            <w:r>
              <w:t xml:space="preserve">15</w:t>
            </w:r>
          </w:p>
        </w:tc>
        <w:tc>
          <w:tcPr/>
          <w:p>
            <w:pPr>
              <w:pStyle w:val="Compact"/>
              <w:jc w:val="left"/>
            </w:pPr>
            <w:r>
              <w:t xml:space="preserve">5</w:t>
            </w:r>
          </w:p>
        </w:tc>
        <w:tc>
          <w:tcPr/>
          <w:p>
            <w:pPr>
              <w:pStyle w:val="Compact"/>
              <w:jc w:val="left"/>
            </w:pPr>
            <w:r>
              <w:t xml:space="preserve">15,0</w:t>
            </w:r>
          </w:p>
        </w:tc>
        <w:tc>
          <w:tcPr/>
          <w:p>
            <w:pPr>
              <w:pStyle w:val="Compact"/>
              <w:jc w:val="left"/>
            </w:pPr>
            <w:r>
              <w:t xml:space="preserve">3</w:t>
            </w:r>
          </w:p>
        </w:tc>
        <w:tc>
          <w:tcPr/>
          <w:p>
            <w:pPr>
              <w:pStyle w:val="Compact"/>
              <w:jc w:val="left"/>
            </w:pPr>
            <w:r>
              <w:t xml:space="preserve">9,0</w:t>
            </w:r>
          </w:p>
        </w:tc>
        <w:tc>
          <w:tcPr/>
          <w:p>
            <w:pPr>
              <w:pStyle w:val="Compact"/>
              <w:jc w:val="left"/>
            </w:pPr>
            <w:r>
              <w:t xml:space="preserve">3</w:t>
            </w:r>
          </w:p>
        </w:tc>
        <w:tc>
          <w:tcPr/>
          <w:p>
            <w:pPr>
              <w:pStyle w:val="Compact"/>
              <w:jc w:val="left"/>
            </w:pPr>
            <w:r>
              <w:t xml:space="preserve">9,0</w:t>
            </w:r>
          </w:p>
        </w:tc>
      </w:tr>
      <w:tr>
        <w:tc>
          <w:tcPr/>
          <w:p>
            <w:pPr>
              <w:pStyle w:val="Compact"/>
              <w:jc w:val="left"/>
            </w:pPr>
            <w:r>
              <w:t xml:space="preserve">K3 Pengiriman</w:t>
            </w:r>
          </w:p>
        </w:tc>
        <w:tc>
          <w:tcPr/>
          <w:p>
            <w:pPr>
              <w:pStyle w:val="Compact"/>
              <w:jc w:val="left"/>
            </w:pPr>
            <w:r>
              <w:t xml:space="preserve">10</w:t>
            </w:r>
          </w:p>
        </w:tc>
        <w:tc>
          <w:tcPr/>
          <w:p>
            <w:pPr>
              <w:pStyle w:val="Compact"/>
              <w:jc w:val="left"/>
            </w:pPr>
            <w:r>
              <w:t xml:space="preserve">4</w:t>
            </w:r>
          </w:p>
        </w:tc>
        <w:tc>
          <w:tcPr/>
          <w:p>
            <w:pPr>
              <w:pStyle w:val="Compact"/>
              <w:jc w:val="left"/>
            </w:pPr>
            <w:r>
              <w:t xml:space="preserve">8,0</w:t>
            </w:r>
          </w:p>
        </w:tc>
        <w:tc>
          <w:tcPr/>
          <w:p>
            <w:pPr>
              <w:pStyle w:val="Compact"/>
              <w:jc w:val="left"/>
            </w:pPr>
            <w:r>
              <w:t xml:space="preserve">3</w:t>
            </w:r>
          </w:p>
        </w:tc>
        <w:tc>
          <w:tcPr/>
          <w:p>
            <w:pPr>
              <w:pStyle w:val="Compact"/>
              <w:jc w:val="left"/>
            </w:pPr>
            <w:r>
              <w:t xml:space="preserve">6,0</w:t>
            </w:r>
          </w:p>
        </w:tc>
        <w:tc>
          <w:tcPr/>
          <w:p>
            <w:pPr>
              <w:pStyle w:val="Compact"/>
              <w:jc w:val="left"/>
            </w:pPr>
            <w:r>
              <w:t xml:space="preserve">4</w:t>
            </w:r>
          </w:p>
        </w:tc>
        <w:tc>
          <w:tcPr/>
          <w:p>
            <w:pPr>
              <w:pStyle w:val="Compact"/>
              <w:jc w:val="left"/>
            </w:pPr>
            <w:r>
              <w:t xml:space="preserve">8,0</w:t>
            </w:r>
          </w:p>
        </w:tc>
      </w:tr>
      <w:tr>
        <w:tc>
          <w:tcPr/>
          <w:p>
            <w:pPr>
              <w:pStyle w:val="Compact"/>
              <w:jc w:val="left"/>
            </w:pPr>
            <w:r>
              <w:t xml:space="preserve">K4 Sertifikasi lingkungan</w:t>
            </w:r>
          </w:p>
        </w:tc>
        <w:tc>
          <w:tcPr/>
          <w:p>
            <w:pPr>
              <w:pStyle w:val="Compact"/>
              <w:jc w:val="left"/>
            </w:pPr>
            <w:r>
              <w:t xml:space="preserve">15</w:t>
            </w:r>
          </w:p>
        </w:tc>
        <w:tc>
          <w:tcPr/>
          <w:p>
            <w:pPr>
              <w:pStyle w:val="Compact"/>
              <w:jc w:val="left"/>
            </w:pPr>
            <w:r>
              <w:t xml:space="preserve">5</w:t>
            </w:r>
          </w:p>
        </w:tc>
        <w:tc>
          <w:tcPr/>
          <w:p>
            <w:pPr>
              <w:pStyle w:val="Compact"/>
              <w:jc w:val="left"/>
            </w:pPr>
            <w:r>
              <w:t xml:space="preserve">15,0</w:t>
            </w:r>
          </w:p>
        </w:tc>
        <w:tc>
          <w:tcPr/>
          <w:p>
            <w:pPr>
              <w:pStyle w:val="Compact"/>
              <w:jc w:val="left"/>
            </w:pPr>
            <w:r>
              <w:t xml:space="preserve">1</w:t>
            </w:r>
          </w:p>
        </w:tc>
        <w:tc>
          <w:tcPr/>
          <w:p>
            <w:pPr>
              <w:pStyle w:val="Compact"/>
              <w:jc w:val="left"/>
            </w:pPr>
            <w:r>
              <w:t xml:space="preserve">3,0</w:t>
            </w:r>
          </w:p>
        </w:tc>
        <w:tc>
          <w:tcPr/>
          <w:p>
            <w:pPr>
              <w:pStyle w:val="Compact"/>
              <w:jc w:val="left"/>
            </w:pPr>
            <w:r>
              <w:t xml:space="preserve">1</w:t>
            </w:r>
          </w:p>
        </w:tc>
        <w:tc>
          <w:tcPr/>
          <w:p>
            <w:pPr>
              <w:pStyle w:val="Compact"/>
              <w:jc w:val="left"/>
            </w:pPr>
            <w:r>
              <w:t xml:space="preserve">3,0</w:t>
            </w:r>
          </w:p>
        </w:tc>
      </w:tr>
      <w:tr>
        <w:tc>
          <w:tcPr/>
          <w:p>
            <w:pPr>
              <w:pStyle w:val="Compact"/>
              <w:jc w:val="left"/>
            </w:pPr>
            <w:r>
              <w:t xml:space="preserve">K5 Profil bahan</w:t>
            </w:r>
          </w:p>
        </w:tc>
        <w:tc>
          <w:tcPr/>
          <w:p>
            <w:pPr>
              <w:pStyle w:val="Compact"/>
              <w:jc w:val="left"/>
            </w:pPr>
            <w:r>
              <w:t xml:space="preserve">15</w:t>
            </w:r>
          </w:p>
        </w:tc>
        <w:tc>
          <w:tcPr/>
          <w:p>
            <w:pPr>
              <w:pStyle w:val="Compact"/>
              <w:jc w:val="left"/>
            </w:pPr>
            <w:r>
              <w:t xml:space="preserve">5</w:t>
            </w:r>
          </w:p>
        </w:tc>
        <w:tc>
          <w:tcPr/>
          <w:p>
            <w:pPr>
              <w:pStyle w:val="Compact"/>
              <w:jc w:val="left"/>
            </w:pPr>
            <w:r>
              <w:t xml:space="preserve">15,0</w:t>
            </w:r>
          </w:p>
        </w:tc>
        <w:tc>
          <w:tcPr/>
          <w:p>
            <w:pPr>
              <w:pStyle w:val="Compact"/>
              <w:jc w:val="left"/>
            </w:pPr>
            <w:r>
              <w:t xml:space="preserve">3</w:t>
            </w:r>
          </w:p>
        </w:tc>
        <w:tc>
          <w:tcPr/>
          <w:p>
            <w:pPr>
              <w:pStyle w:val="Compact"/>
              <w:jc w:val="left"/>
            </w:pPr>
            <w:r>
              <w:t xml:space="preserve">9,0</w:t>
            </w:r>
          </w:p>
        </w:tc>
        <w:tc>
          <w:tcPr/>
          <w:p>
            <w:pPr>
              <w:pStyle w:val="Compact"/>
              <w:jc w:val="left"/>
            </w:pPr>
            <w:r>
              <w:t xml:space="preserve">1</w:t>
            </w:r>
          </w:p>
        </w:tc>
        <w:tc>
          <w:tcPr/>
          <w:p>
            <w:pPr>
              <w:pStyle w:val="Compact"/>
              <w:jc w:val="left"/>
            </w:pPr>
            <w:r>
              <w:t xml:space="preserve">3,0</w:t>
            </w:r>
          </w:p>
        </w:tc>
      </w:tr>
      <w:tr>
        <w:tc>
          <w:tcPr/>
          <w:p>
            <w:pPr>
              <w:pStyle w:val="Compact"/>
              <w:jc w:val="left"/>
            </w:pPr>
            <w:r>
              <w:t xml:space="preserve">K6 Kemasan &amp; take-back</w:t>
            </w:r>
          </w:p>
        </w:tc>
        <w:tc>
          <w:tcPr/>
          <w:p>
            <w:pPr>
              <w:pStyle w:val="Compact"/>
              <w:jc w:val="left"/>
            </w:pPr>
            <w:r>
              <w:t xml:space="preserve">10</w:t>
            </w:r>
          </w:p>
        </w:tc>
        <w:tc>
          <w:tcPr/>
          <w:p>
            <w:pPr>
              <w:pStyle w:val="Compact"/>
              <w:jc w:val="left"/>
            </w:pPr>
            <w:r>
              <w:t xml:space="preserve">3</w:t>
            </w:r>
          </w:p>
        </w:tc>
        <w:tc>
          <w:tcPr/>
          <w:p>
            <w:pPr>
              <w:pStyle w:val="Compact"/>
              <w:jc w:val="left"/>
            </w:pPr>
            <w:r>
              <w:t xml:space="preserve">6,0</w:t>
            </w:r>
          </w:p>
        </w:tc>
        <w:tc>
          <w:tcPr/>
          <w:p>
            <w:pPr>
              <w:pStyle w:val="Compact"/>
              <w:jc w:val="left"/>
            </w:pPr>
            <w:r>
              <w:t xml:space="preserve">4</w:t>
            </w:r>
          </w:p>
        </w:tc>
        <w:tc>
          <w:tcPr/>
          <w:p>
            <w:pPr>
              <w:pStyle w:val="Compact"/>
              <w:jc w:val="left"/>
            </w:pPr>
            <w:r>
              <w:t xml:space="preserve">8,0</w:t>
            </w:r>
          </w:p>
        </w:tc>
        <w:tc>
          <w:tcPr/>
          <w:p>
            <w:pPr>
              <w:pStyle w:val="Compact"/>
              <w:jc w:val="left"/>
            </w:pPr>
            <w:r>
              <w:t xml:space="preserve">1</w:t>
            </w:r>
          </w:p>
        </w:tc>
        <w:tc>
          <w:tcPr/>
          <w:p>
            <w:pPr>
              <w:pStyle w:val="Compact"/>
              <w:jc w:val="left"/>
            </w:pPr>
            <w:r>
              <w:t xml:space="preserve">2,0</w:t>
            </w:r>
          </w:p>
        </w:tc>
      </w:tr>
      <w:tr>
        <w:tc>
          <w:tcPr/>
          <w:p>
            <w:pPr>
              <w:pStyle w:val="Compact"/>
              <w:jc w:val="left"/>
            </w:pPr>
            <w:r>
              <w:t xml:space="preserve">K7 Kesiapan data</w:t>
            </w:r>
          </w:p>
        </w:tc>
        <w:tc>
          <w:tcPr/>
          <w:p>
            <w:pPr>
              <w:pStyle w:val="Compact"/>
              <w:jc w:val="left"/>
            </w:pPr>
            <w:r>
              <w:t xml:space="preserve">10</w:t>
            </w:r>
          </w:p>
        </w:tc>
        <w:tc>
          <w:tcPr/>
          <w:p>
            <w:pPr>
              <w:pStyle w:val="Compact"/>
              <w:jc w:val="left"/>
            </w:pPr>
            <w:r>
              <w:t xml:space="preserve">4</w:t>
            </w:r>
          </w:p>
        </w:tc>
        <w:tc>
          <w:tcPr/>
          <w:p>
            <w:pPr>
              <w:pStyle w:val="Compact"/>
              <w:jc w:val="left"/>
            </w:pPr>
            <w:r>
              <w:t xml:space="preserve">8,0</w:t>
            </w:r>
          </w:p>
        </w:tc>
        <w:tc>
          <w:tcPr/>
          <w:p>
            <w:pPr>
              <w:pStyle w:val="Compact"/>
              <w:jc w:val="left"/>
            </w:pPr>
            <w:r>
              <w:t xml:space="preserve">2</w:t>
            </w:r>
          </w:p>
        </w:tc>
        <w:tc>
          <w:tcPr/>
          <w:p>
            <w:pPr>
              <w:pStyle w:val="Compact"/>
              <w:jc w:val="left"/>
            </w:pPr>
            <w:r>
              <w:t xml:space="preserve">4,0</w:t>
            </w:r>
          </w:p>
        </w:tc>
        <w:tc>
          <w:tcPr/>
          <w:p>
            <w:pPr>
              <w:pStyle w:val="Compact"/>
              <w:jc w:val="left"/>
            </w:pPr>
            <w:r>
              <w:t xml:space="preserve">1</w:t>
            </w:r>
          </w:p>
        </w:tc>
        <w:tc>
          <w:tcPr/>
          <w:p>
            <w:pPr>
              <w:pStyle w:val="Compact"/>
              <w:jc w:val="left"/>
            </w:pPr>
            <w:r>
              <w:t xml:space="preserve">2,0</w:t>
            </w:r>
          </w:p>
        </w:tc>
      </w:tr>
      <w:tr>
        <w:tc>
          <w:tcPr/>
          <w:p>
            <w:pPr>
              <w:pStyle w:val="Compact"/>
              <w:jc w:val="left"/>
            </w:pPr>
            <w:r>
              <w:t xml:space="preserve">K8 Kapasitas berkembang</w:t>
            </w:r>
          </w:p>
        </w:tc>
        <w:tc>
          <w:tcPr/>
          <w:p>
            <w:pPr>
              <w:pStyle w:val="Compact"/>
              <w:jc w:val="left"/>
            </w:pPr>
            <w:r>
              <w:t xml:space="preserve">5</w:t>
            </w:r>
          </w:p>
        </w:tc>
        <w:tc>
          <w:tcPr/>
          <w:p>
            <w:pPr>
              <w:pStyle w:val="Compact"/>
              <w:jc w:val="left"/>
            </w:pPr>
            <w:r>
              <w:t xml:space="preserve">3</w:t>
            </w:r>
          </w:p>
        </w:tc>
        <w:tc>
          <w:tcPr/>
          <w:p>
            <w:pPr>
              <w:pStyle w:val="Compact"/>
              <w:jc w:val="left"/>
            </w:pPr>
            <w:r>
              <w:t xml:space="preserve">3,0</w:t>
            </w:r>
          </w:p>
        </w:tc>
        <w:tc>
          <w:tcPr/>
          <w:p>
            <w:pPr>
              <w:pStyle w:val="Compact"/>
              <w:jc w:val="left"/>
            </w:pPr>
            <w:r>
              <w:t xml:space="preserve">5</w:t>
            </w:r>
          </w:p>
        </w:tc>
        <w:tc>
          <w:tcPr/>
          <w:p>
            <w:pPr>
              <w:pStyle w:val="Compact"/>
              <w:jc w:val="left"/>
            </w:pPr>
            <w:r>
              <w:t xml:space="preserve">5,0</w:t>
            </w:r>
          </w:p>
        </w:tc>
        <w:tc>
          <w:tcPr/>
          <w:p>
            <w:pPr>
              <w:pStyle w:val="Compact"/>
              <w:jc w:val="left"/>
            </w:pPr>
            <w:r>
              <w:t xml:space="preserve">2</w:t>
            </w:r>
          </w:p>
        </w:tc>
        <w:tc>
          <w:tcPr/>
          <w:p>
            <w:pPr>
              <w:pStyle w:val="Compact"/>
              <w:jc w:val="left"/>
            </w:pPr>
            <w:r>
              <w:t xml:space="preserve">2,0</w:t>
            </w:r>
          </w:p>
        </w:tc>
      </w:tr>
      <w:tr>
        <w:tc>
          <w:tcPr/>
          <w:p>
            <w:pPr>
              <w:pStyle w:val="Compact"/>
              <w:jc w:val="left"/>
            </w:pPr>
            <w:r>
              <w:rPr>
                <w:bCs/>
                <w:b/>
              </w:rPr>
              <w:t xml:space="preserve">Total</w:t>
            </w:r>
          </w:p>
        </w:tc>
        <w:tc>
          <w:tcPr/>
          <w:p>
            <w:pPr>
              <w:pStyle w:val="Compact"/>
              <w:jc w:val="left"/>
            </w:pPr>
            <w:r>
              <w:rPr>
                <w:bCs/>
                <w:b/>
              </w:rPr>
              <w:t xml:space="preserve">100</w:t>
            </w:r>
          </w:p>
        </w:tc>
        <w:tc>
          <w:tcPr/>
          <w:p>
            <w:pPr>
              <w:pStyle w:val="Compact"/>
            </w:pPr>
          </w:p>
        </w:tc>
        <w:tc>
          <w:tcPr/>
          <w:p>
            <w:pPr>
              <w:pStyle w:val="Compact"/>
              <w:jc w:val="left"/>
            </w:pPr>
            <w:r>
              <w:rPr>
                <w:bCs/>
                <w:b/>
              </w:rPr>
              <w:t xml:space="preserve">78,0</w:t>
            </w:r>
          </w:p>
        </w:tc>
        <w:tc>
          <w:tcPr/>
          <w:p>
            <w:pPr>
              <w:pStyle w:val="Compact"/>
            </w:pPr>
          </w:p>
        </w:tc>
        <w:tc>
          <w:tcPr/>
          <w:p>
            <w:pPr>
              <w:pStyle w:val="Compact"/>
              <w:jc w:val="left"/>
            </w:pPr>
            <w:r>
              <w:rPr>
                <w:bCs/>
                <w:b/>
              </w:rPr>
              <w:t xml:space="preserve">60,0</w:t>
            </w:r>
          </w:p>
        </w:tc>
        <w:tc>
          <w:tcPr/>
          <w:p>
            <w:pPr>
              <w:pStyle w:val="Compact"/>
            </w:pPr>
          </w:p>
        </w:tc>
        <w:tc>
          <w:tcPr/>
          <w:p>
            <w:pPr>
              <w:pStyle w:val="Compact"/>
              <w:jc w:val="left"/>
            </w:pPr>
            <w:r>
              <w:rPr>
                <w:bCs/>
                <w:b/>
              </w:rPr>
              <w:t xml:space="preserve">49,0</w:t>
            </w:r>
          </w:p>
        </w:tc>
      </w:tr>
    </w:tbl>
    <w:p>
      <w:pPr>
        <w:pStyle w:val="BodyText"/>
      </w:pPr>
      <w:r>
        <w:rPr>
          <w:bCs/>
          <w:b/>
        </w:rPr>
        <w:t xml:space="preserve">Aturan keputusan: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Rentang skor</w:t>
            </w:r>
          </w:p>
        </w:tc>
        <w:tc>
          <w:tcPr/>
          <w:p>
            <w:pPr>
              <w:pStyle w:val="Compact"/>
              <w:jc w:val="left"/>
            </w:pPr>
            <w:r>
              <w:t xml:space="preserve">Status</w:t>
            </w:r>
          </w:p>
        </w:tc>
        <w:tc>
          <w:tcPr/>
          <w:p>
            <w:pPr>
              <w:pStyle w:val="Compact"/>
              <w:jc w:val="left"/>
            </w:pPr>
            <w:r>
              <w:t xml:space="preserve">Konsekuensi</w:t>
            </w:r>
          </w:p>
        </w:tc>
      </w:tr>
      <w:tr>
        <w:tc>
          <w:tcPr/>
          <w:p>
            <w:pPr>
              <w:pStyle w:val="Compact"/>
              <w:jc w:val="left"/>
            </w:pPr>
            <w:r>
              <w:t xml:space="preserve">≥ 70</w:t>
            </w:r>
          </w:p>
        </w:tc>
        <w:tc>
          <w:tcPr/>
          <w:p>
            <w:pPr>
              <w:pStyle w:val="Compact"/>
              <w:jc w:val="left"/>
            </w:pPr>
            <w:r>
              <w:rPr>
                <w:iCs/>
                <w:i/>
              </w:rPr>
              <w:t xml:space="preserve">Preferred</w:t>
            </w:r>
          </w:p>
        </w:tc>
        <w:tc>
          <w:tcPr/>
          <w:p>
            <w:pPr>
              <w:pStyle w:val="Compact"/>
              <w:jc w:val="left"/>
            </w:pPr>
            <w:r>
              <w:t xml:space="preserve">Kontrak penuh dan bisa mendapat kontrak multi-tahun</w:t>
            </w:r>
          </w:p>
        </w:tc>
      </w:tr>
      <w:tr>
        <w:tc>
          <w:tcPr/>
          <w:p>
            <w:pPr>
              <w:pStyle w:val="Compact"/>
              <w:jc w:val="left"/>
            </w:pPr>
            <w:r>
              <w:t xml:space="preserve">55–69</w:t>
            </w:r>
          </w:p>
        </w:tc>
        <w:tc>
          <w:tcPr/>
          <w:p>
            <w:pPr>
              <w:pStyle w:val="Compact"/>
              <w:jc w:val="left"/>
            </w:pPr>
            <w:r>
              <w:rPr>
                <w:iCs/>
                <w:i/>
              </w:rPr>
              <w:t xml:space="preserve">Conditional</w:t>
            </w:r>
          </w:p>
        </w:tc>
        <w:tc>
          <w:tcPr/>
          <w:p>
            <w:pPr>
              <w:pStyle w:val="Compact"/>
              <w:jc w:val="left"/>
            </w:pPr>
            <w:r>
              <w:t xml:space="preserve">Kontrak terbatas dan wajib mengikuti program pengembangan (bagian 6)</w:t>
            </w:r>
          </w:p>
        </w:tc>
      </w:tr>
      <w:tr>
        <w:tc>
          <w:tcPr/>
          <w:p>
            <w:pPr>
              <w:pStyle w:val="Compact"/>
              <w:jc w:val="left"/>
            </w:pPr>
            <w:r>
              <w:t xml:space="preserve">&lt; 55</w:t>
            </w:r>
          </w:p>
        </w:tc>
        <w:tc>
          <w:tcPr/>
          <w:p>
            <w:pPr>
              <w:pStyle w:val="Compact"/>
              <w:jc w:val="left"/>
            </w:pPr>
            <w:r>
              <w:rPr>
                <w:iCs/>
                <w:i/>
              </w:rPr>
              <w:t xml:space="preserve">Not approved</w:t>
            </w:r>
          </w:p>
        </w:tc>
        <w:tc>
          <w:tcPr/>
          <w:p>
            <w:pPr>
              <w:pStyle w:val="Compact"/>
              <w:jc w:val="left"/>
            </w:pPr>
            <w:r>
              <w:t xml:space="preserve">Tidak mendapat kontrak baru. Kontrak yang berjalan dihentikan bertahap (phase-out)</w:t>
            </w:r>
          </w:p>
        </w:tc>
      </w:tr>
    </w:tbl>
    <w:p>
      <w:pPr>
        <w:pStyle w:val="BodyText"/>
      </w:pPr>
      <w:r>
        <w:rPr>
          <w:bCs/>
          <w:b/>
        </w:rPr>
        <w:t xml:space="preserve">Hasilnya:</w:t>
      </w:r>
      <w:r>
        <w:t xml:space="preserve"> </w:t>
      </w:r>
      <w:r>
        <w:t xml:space="preserve">A berstatus preferred, B conditional, dan C not approved. Pemasok C memang paling murah, tetapi tetap gugur. Ini menunjukkan bahwa kriteria hijau benar-benar memengaruhi keputusan dan tidak sekadar menjadi formalitas.</w:t>
      </w:r>
    </w:p>
    <w:bookmarkEnd w:id="24"/>
    <w:bookmarkStart w:id="28" w:name="proses-seleksi-dan-audit-pemasok"/>
    <w:p>
      <w:pPr>
        <w:pStyle w:val="Heading1"/>
      </w:pPr>
      <w:r>
        <w:t xml:space="preserve">4. Proses Seleksi dan Audit Pemasok</w:t>
      </w:r>
    </w:p>
    <w:bookmarkStart w:id="25" w:name="segmentasi-risiko"/>
    <w:p>
      <w:pPr>
        <w:pStyle w:val="Heading2"/>
      </w:pPr>
      <w:r>
        <w:t xml:space="preserve">4.1 Segmentasi risiko</w:t>
      </w:r>
    </w:p>
    <w:p>
      <w:pPr>
        <w:pStyle w:val="FirstParagraph"/>
      </w:pPr>
      <w:r>
        <w:t xml:space="preserve">Intensitas audit disesuaikan dengan risiko. Dengan begitu, sumber daya pengadaan yang terbatas difokuskan pada pemasok dengan risiko terbesar.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Dampak lingkungan rendah</w:t>
            </w:r>
          </w:p>
        </w:tc>
        <w:tc>
          <w:tcPr/>
          <w:p>
            <w:pPr>
              <w:pStyle w:val="Compact"/>
              <w:jc w:val="left"/>
            </w:pPr>
            <w:r>
              <w:t xml:space="preserve">Dampak lingkungan tinggi</w:t>
            </w:r>
          </w:p>
        </w:tc>
      </w:tr>
      <w:tr>
        <w:tc>
          <w:tcPr/>
          <w:p>
            <w:pPr>
              <w:pStyle w:val="Compact"/>
              <w:jc w:val="left"/>
            </w:pPr>
            <w:r>
              <w:rPr>
                <w:bCs/>
                <w:b/>
              </w:rPr>
              <w:t xml:space="preserve">Belanja tinggi</w:t>
            </w:r>
          </w:p>
        </w:tc>
        <w:tc>
          <w:tcPr/>
          <w:p>
            <w:pPr>
              <w:pStyle w:val="Compact"/>
              <w:jc w:val="left"/>
            </w:pPr>
            <w:r>
              <w:t xml:space="preserve">Tier 2: desk audit tahunan</w:t>
            </w:r>
          </w:p>
        </w:tc>
        <w:tc>
          <w:tcPr/>
          <w:p>
            <w:pPr>
              <w:pStyle w:val="Compact"/>
              <w:jc w:val="left"/>
            </w:pPr>
            <w:r>
              <w:rPr>
                <w:bCs/>
                <w:b/>
              </w:rPr>
              <w:t xml:space="preserve">Tier 1: kunjungan lapangan dan audit tahunan</w:t>
            </w:r>
          </w:p>
        </w:tc>
      </w:tr>
      <w:tr>
        <w:tc>
          <w:tcPr/>
          <w:p>
            <w:pPr>
              <w:pStyle w:val="Compact"/>
              <w:jc w:val="left"/>
            </w:pPr>
            <w:r>
              <w:rPr>
                <w:bCs/>
                <w:b/>
              </w:rPr>
              <w:t xml:space="preserve">Belanja rendah</w:t>
            </w:r>
          </w:p>
        </w:tc>
        <w:tc>
          <w:tcPr/>
          <w:p>
            <w:pPr>
              <w:pStyle w:val="Compact"/>
              <w:jc w:val="left"/>
            </w:pPr>
            <w:r>
              <w:t xml:space="preserve">Tier 3: self-assessment saja</w:t>
            </w:r>
          </w:p>
        </w:tc>
        <w:tc>
          <w:tcPr/>
          <w:p>
            <w:pPr>
              <w:pStyle w:val="Compact"/>
              <w:jc w:val="left"/>
            </w:pPr>
            <w:r>
              <w:t xml:space="preserve">Tier 2: desk audit tahunan</w:t>
            </w:r>
          </w:p>
        </w:tc>
      </w:tr>
    </w:tbl>
    <w:p>
      <w:pPr>
        <w:pStyle w:val="BodyText"/>
      </w:pPr>
      <w:r>
        <w:t xml:space="preserve">Bahan pembersih dan disinfektan termasuk</w:t>
      </w:r>
      <w:r>
        <w:t xml:space="preserve"> </w:t>
      </w:r>
      <w:r>
        <w:rPr>
          <w:bCs/>
          <w:b/>
        </w:rPr>
        <w:t xml:space="preserve">Tier 1</w:t>
      </w:r>
      <w:r>
        <w:t xml:space="preserve"> </w:t>
      </w:r>
      <w:r>
        <w:t xml:space="preserve">karena dampak bahan kimianya tinggi dan nilai belanjanya besar.</w:t>
      </w:r>
    </w:p>
    <w:bookmarkEnd w:id="25"/>
    <w:bookmarkStart w:id="26" w:name="tahapan-seleksi-dan-audit"/>
    <w:p>
      <w:pPr>
        <w:pStyle w:val="Heading2"/>
      </w:pPr>
      <w:r>
        <w:t xml:space="preserve">4.2 Tahapan seleksi dan audit</w:t>
      </w:r>
    </w:p>
    <w:p>
      <w:pPr>
        <w:numPr>
          <w:ilvl w:val="0"/>
          <w:numId w:val="1003"/>
        </w:numPr>
        <w:pStyle w:val="Compact"/>
      </w:pPr>
      <w:r>
        <w:rPr>
          <w:bCs/>
          <w:b/>
        </w:rPr>
        <w:t xml:space="preserve">Identifikasi kebutuhan dan spesifikasi hijau.</w:t>
      </w:r>
      <w:r>
        <w:t xml:space="preserve"> </w:t>
      </w:r>
      <w:r>
        <w:t xml:space="preserve">Spesifikasi ditulis berdasarkan fungsi (misalnya</w:t>
      </w:r>
      <w:r>
        <w:t xml:space="preserve"> </w:t>
      </w:r>
      <w:r>
        <w:t xml:space="preserve">“</w:t>
      </w:r>
      <w:r>
        <w:t xml:space="preserve">pembersih lantai biodegradable ≥ 60% dalam 28 hari, isi ulang 20 L</w:t>
      </w:r>
      <w:r>
        <w:t xml:space="preserve">”</w:t>
      </w:r>
      <w:r>
        <w:t xml:space="preserve">), bukan berdasarkan merek. Cara ini membuka peluang bagi UMKM.</w:t>
      </w:r>
    </w:p>
    <w:p>
      <w:pPr>
        <w:numPr>
          <w:ilvl w:val="0"/>
          <w:numId w:val="1003"/>
        </w:numPr>
        <w:pStyle w:val="Compact"/>
      </w:pPr>
      <w:r>
        <w:rPr>
          <w:bCs/>
          <w:b/>
        </w:rPr>
        <w:t xml:space="preserve">Pra-kualifikasi.</w:t>
      </w:r>
      <w:r>
        <w:t xml:space="preserve"> </w:t>
      </w:r>
      <w:r>
        <w:t xml:space="preserve">Pemasok mengisi kuesioner</w:t>
      </w:r>
      <w:r>
        <w:t xml:space="preserve"> </w:t>
      </w:r>
      <w:r>
        <w:rPr>
          <w:iCs/>
          <w:i/>
        </w:rPr>
        <w:t xml:space="preserve">self-assessment</w:t>
      </w:r>
      <w:r>
        <w:t xml:space="preserve"> </w:t>
      </w:r>
      <w:r>
        <w:t xml:space="preserve">dan melampirkan dokumen gerbang G1–G4.</w:t>
      </w:r>
    </w:p>
    <w:p>
      <w:pPr>
        <w:numPr>
          <w:ilvl w:val="0"/>
          <w:numId w:val="1003"/>
        </w:numPr>
        <w:pStyle w:val="Compact"/>
      </w:pPr>
      <w:r>
        <w:rPr>
          <w:bCs/>
          <w:b/>
        </w:rPr>
        <w:t xml:space="preserve">Verifikasi dokumen (desk audit).</w:t>
      </w:r>
      <w:r>
        <w:t xml:space="preserve"> </w:t>
      </w:r>
      <w:r>
        <w:t xml:space="preserve">Tim mengecek keaslian sertifikat, kesesuaian SDS dengan label, dan nomor izin edar.</w:t>
      </w:r>
    </w:p>
    <w:p>
      <w:pPr>
        <w:numPr>
          <w:ilvl w:val="0"/>
          <w:numId w:val="1003"/>
        </w:numPr>
        <w:pStyle w:val="Compact"/>
      </w:pPr>
      <w:r>
        <w:rPr>
          <w:bCs/>
          <w:b/>
        </w:rPr>
        <w:t xml:space="preserve">Uji coba produk.</w:t>
      </w:r>
      <w:r>
        <w:t xml:space="preserve"> </w:t>
      </w:r>
      <w:r>
        <w:t xml:space="preserve">Produk dipakai selama 2–4 minggu di dua area. Petugas kebersihan menilai hasilnya untuk skor K2.</w:t>
      </w:r>
    </w:p>
    <w:p>
      <w:pPr>
        <w:numPr>
          <w:ilvl w:val="0"/>
          <w:numId w:val="1003"/>
        </w:numPr>
        <w:pStyle w:val="Compact"/>
      </w:pPr>
      <w:r>
        <w:rPr>
          <w:bCs/>
          <w:b/>
        </w:rPr>
        <w:t xml:space="preserve">Audit lapangan (khusus Tier 1).</w:t>
      </w:r>
      <w:r>
        <w:t xml:space="preserve"> </w:t>
      </w:r>
      <w:r>
        <w:t xml:space="preserve">Tim memeriksa penyimpanan bahan kimia, pengelolaan limbah cair, sistem take-back kemasan, dan ketertelusuran batch.</w:t>
      </w:r>
    </w:p>
    <w:p>
      <w:pPr>
        <w:numPr>
          <w:ilvl w:val="0"/>
          <w:numId w:val="1003"/>
        </w:numPr>
        <w:pStyle w:val="Compact"/>
      </w:pPr>
      <w:r>
        <w:rPr>
          <w:bCs/>
          <w:b/>
        </w:rPr>
        <w:t xml:space="preserve">Penilaian matriks dan keputusan.</w:t>
      </w:r>
      <w:r>
        <w:t xml:space="preserve"> </w:t>
      </w:r>
      <w:r>
        <w:t xml:space="preserve">Penilaian dilakukan minimal oleh dua penilai (pengadaan dan GA/K3) untuk mengurangi bias, lalu skor dirata-rata.</w:t>
      </w:r>
    </w:p>
    <w:p>
      <w:pPr>
        <w:numPr>
          <w:ilvl w:val="0"/>
          <w:numId w:val="1003"/>
        </w:numPr>
        <w:pStyle w:val="Compact"/>
      </w:pPr>
      <w:r>
        <w:rPr>
          <w:bCs/>
          <w:b/>
        </w:rPr>
        <w:t xml:space="preserve">Corrective Action Plan (CAP).</w:t>
      </w:r>
      <w:r>
        <w:t xml:space="preserve"> </w:t>
      </w:r>
      <w:r>
        <w:t xml:space="preserve">Setiap temuan dicatat beserta tenggat waktu dan penanggung jawabnya.</w:t>
      </w:r>
    </w:p>
    <w:p>
      <w:pPr>
        <w:numPr>
          <w:ilvl w:val="0"/>
          <w:numId w:val="1003"/>
        </w:numPr>
        <w:pStyle w:val="Compact"/>
      </w:pPr>
      <w:r>
        <w:rPr>
          <w:bCs/>
          <w:b/>
        </w:rPr>
        <w:t xml:space="preserve">Audit ulang dan pemantauan.</w:t>
      </w:r>
      <w:r>
        <w:t xml:space="preserve"> </w:t>
      </w:r>
      <w:r>
        <w:t xml:space="preserve">Audit ulang dilakukan setiap tahun untuk Tier 1. KPI dipantau setiap kuartal melalui mekanisme berbagi data (bagian 7).</w:t>
      </w:r>
    </w:p>
    <w:bookmarkEnd w:id="26"/>
    <w:bookmarkStart w:id="27" w:name="klasifikasi-temuan-audit"/>
    <w:p>
      <w:pPr>
        <w:pStyle w:val="Heading2"/>
      </w:pPr>
      <w:r>
        <w:t xml:space="preserve">4.3 Klasifikasi temuan audit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w:t>
            </w:r>
          </w:p>
        </w:tc>
        <w:tc>
          <w:tcPr/>
          <w:p>
            <w:pPr>
              <w:pStyle w:val="Compact"/>
              <w:jc w:val="left"/>
            </w:pPr>
            <w:r>
              <w:t xml:space="preserve">Contoh</w:t>
            </w:r>
          </w:p>
        </w:tc>
        <w:tc>
          <w:tcPr/>
          <w:p>
            <w:pPr>
              <w:pStyle w:val="Compact"/>
              <w:jc w:val="left"/>
            </w:pPr>
            <w:r>
              <w:t xml:space="preserve">Tindakan</w:t>
            </w:r>
          </w:p>
        </w:tc>
      </w:tr>
      <w:tr>
        <w:tc>
          <w:tcPr/>
          <w:p>
            <w:pPr>
              <w:pStyle w:val="Compact"/>
              <w:jc w:val="left"/>
            </w:pPr>
            <w:r>
              <w:t xml:space="preserve">Kritis</w:t>
            </w:r>
          </w:p>
        </w:tc>
        <w:tc>
          <w:tcPr/>
          <w:p>
            <w:pPr>
              <w:pStyle w:val="Compact"/>
              <w:jc w:val="left"/>
            </w:pPr>
            <w:r>
              <w:t xml:space="preserve">Produk tidak sesuai SDS, ada bahan terlarang</w:t>
            </w:r>
          </w:p>
        </w:tc>
        <w:tc>
          <w:tcPr/>
          <w:p>
            <w:pPr>
              <w:pStyle w:val="Compact"/>
              <w:jc w:val="left"/>
            </w:pPr>
            <w:r>
              <w:t xml:space="preserve">Pengiriman dihentikan dan dilakukan audit ulang dalam 30 hari</w:t>
            </w:r>
          </w:p>
        </w:tc>
      </w:tr>
      <w:tr>
        <w:tc>
          <w:tcPr/>
          <w:p>
            <w:pPr>
              <w:pStyle w:val="Compact"/>
              <w:jc w:val="left"/>
            </w:pPr>
            <w:r>
              <w:t xml:space="preserve">Mayor</w:t>
            </w:r>
          </w:p>
        </w:tc>
        <w:tc>
          <w:tcPr/>
          <w:p>
            <w:pPr>
              <w:pStyle w:val="Compact"/>
              <w:jc w:val="left"/>
            </w:pPr>
            <w:r>
              <w:t xml:space="preserve">Tidak ada penampungan limbah, data tidak dikirim 2 kuartal</w:t>
            </w:r>
          </w:p>
        </w:tc>
        <w:tc>
          <w:tcPr/>
          <w:p>
            <w:pPr>
              <w:pStyle w:val="Compact"/>
              <w:jc w:val="left"/>
            </w:pPr>
            <w:r>
              <w:t xml:space="preserve">CAP dengan tenggat 90 hari</w:t>
            </w:r>
          </w:p>
        </w:tc>
      </w:tr>
      <w:tr>
        <w:tc>
          <w:tcPr/>
          <w:p>
            <w:pPr>
              <w:pStyle w:val="Compact"/>
              <w:jc w:val="left"/>
            </w:pPr>
            <w:r>
              <w:t xml:space="preserve">Minor</w:t>
            </w:r>
          </w:p>
        </w:tc>
        <w:tc>
          <w:tcPr/>
          <w:p>
            <w:pPr>
              <w:pStyle w:val="Compact"/>
              <w:jc w:val="left"/>
            </w:pPr>
            <w:r>
              <w:t xml:space="preserve">Label kurang lengkap, dokumentasi belum rapi</w:t>
            </w:r>
          </w:p>
        </w:tc>
        <w:tc>
          <w:tcPr/>
          <w:p>
            <w:pPr>
              <w:pStyle w:val="Compact"/>
              <w:jc w:val="left"/>
            </w:pPr>
            <w:r>
              <w:t xml:space="preserve">CAP dengan tenggat 180 hari</w:t>
            </w:r>
          </w:p>
        </w:tc>
      </w:tr>
    </w:tbl>
    <w:bookmarkEnd w:id="27"/>
    <w:bookmarkEnd w:id="28"/>
    <w:bookmarkStart w:id="29" w:name="target-lingkungan"/>
    <w:p>
      <w:pPr>
        <w:pStyle w:val="Heading1"/>
      </w:pPr>
      <w:r>
        <w:t xml:space="preserve">5. Target Lingkungan</w:t>
      </w:r>
    </w:p>
    <w:p>
      <w:pPr>
        <w:pStyle w:val="FirstParagraph"/>
      </w:pPr>
      <w:r>
        <w:t xml:space="preserve">Target disusun dengan prinsip SMART dan dikaitkan langsung dengan kriteria matriks.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Target (akhir tahun anggaran berikutnya)</w:t>
            </w:r>
          </w:p>
        </w:tc>
        <w:tc>
          <w:tcPr/>
          <w:p>
            <w:pPr>
              <w:pStyle w:val="Compact"/>
              <w:jc w:val="left"/>
            </w:pPr>
            <w:r>
              <w:t xml:space="preserve">Baseline (ilustrasi)</w:t>
            </w:r>
          </w:p>
        </w:tc>
        <w:tc>
          <w:tcPr/>
          <w:p>
            <w:pPr>
              <w:pStyle w:val="Compact"/>
              <w:jc w:val="left"/>
            </w:pPr>
            <w:r>
              <w:t xml:space="preserve">Indikator</w:t>
            </w:r>
          </w:p>
        </w:tc>
        <w:tc>
          <w:tcPr/>
          <w:p>
            <w:pPr>
              <w:pStyle w:val="Compact"/>
              <w:jc w:val="left"/>
            </w:pPr>
            <w:r>
              <w:t xml:space="preserve">Terkait kriteria</w:t>
            </w:r>
          </w:p>
        </w:tc>
      </w:tr>
      <w:tr>
        <w:tc>
          <w:tcPr/>
          <w:p>
            <w:pPr>
              <w:pStyle w:val="Compact"/>
              <w:jc w:val="left"/>
            </w:pPr>
            <w:r>
              <w:t xml:space="preserve">T1</w:t>
            </w:r>
          </w:p>
        </w:tc>
        <w:tc>
          <w:tcPr/>
          <w:p>
            <w:pPr>
              <w:pStyle w:val="Compact"/>
              <w:jc w:val="left"/>
            </w:pPr>
            <w:r>
              <w:t xml:space="preserve">≥ 60% belanja kategori pembersih untuk produk berekolabel atau terverifikasi biodegradable</w:t>
            </w:r>
          </w:p>
        </w:tc>
        <w:tc>
          <w:tcPr/>
          <w:p>
            <w:pPr>
              <w:pStyle w:val="Compact"/>
              <w:jc w:val="left"/>
            </w:pPr>
            <w:r>
              <w:t xml:space="preserve">15%</w:t>
            </w:r>
          </w:p>
        </w:tc>
        <w:tc>
          <w:tcPr/>
          <w:p>
            <w:pPr>
              <w:pStyle w:val="Compact"/>
              <w:jc w:val="left"/>
            </w:pPr>
            <w:r>
              <w:t xml:space="preserve">% nilai belanja</w:t>
            </w:r>
          </w:p>
        </w:tc>
        <w:tc>
          <w:tcPr/>
          <w:p>
            <w:pPr>
              <w:pStyle w:val="Compact"/>
              <w:jc w:val="left"/>
            </w:pPr>
            <w:r>
              <w:t xml:space="preserve">K4, K5</w:t>
            </w:r>
          </w:p>
        </w:tc>
      </w:tr>
      <w:tr>
        <w:tc>
          <w:tcPr/>
          <w:p>
            <w:pPr>
              <w:pStyle w:val="Compact"/>
              <w:jc w:val="left"/>
            </w:pPr>
            <w:r>
              <w:t xml:space="preserve">T2</w:t>
            </w:r>
          </w:p>
        </w:tc>
        <w:tc>
          <w:tcPr/>
          <w:p>
            <w:pPr>
              <w:pStyle w:val="Compact"/>
              <w:jc w:val="left"/>
            </w:pPr>
            <w:r>
              <w:t xml:space="preserve">Kemasan plastik sekali pakai turun 40% melalui sistem isi ulang 20 L</w:t>
            </w:r>
          </w:p>
        </w:tc>
        <w:tc>
          <w:tcPr/>
          <w:p>
            <w:pPr>
              <w:pStyle w:val="Compact"/>
              <w:jc w:val="left"/>
            </w:pPr>
            <w:r>
              <w:t xml:space="preserve">±1.000 botol per tahun</w:t>
            </w:r>
          </w:p>
        </w:tc>
        <w:tc>
          <w:tcPr/>
          <w:p>
            <w:pPr>
              <w:pStyle w:val="Compact"/>
              <w:jc w:val="left"/>
            </w:pPr>
            <w:r>
              <w:t xml:space="preserve">Jumlah atau kg kemasan</w:t>
            </w:r>
          </w:p>
        </w:tc>
        <w:tc>
          <w:tcPr/>
          <w:p>
            <w:pPr>
              <w:pStyle w:val="Compact"/>
              <w:jc w:val="left"/>
            </w:pPr>
            <w:r>
              <w:t xml:space="preserve">K6</w:t>
            </w:r>
          </w:p>
        </w:tc>
      </w:tr>
      <w:tr>
        <w:tc>
          <w:tcPr/>
          <w:p>
            <w:pPr>
              <w:pStyle w:val="Compact"/>
              <w:jc w:val="left"/>
            </w:pPr>
            <w:r>
              <w:t xml:space="preserve">T3</w:t>
            </w:r>
          </w:p>
        </w:tc>
        <w:tc>
          <w:tcPr/>
          <w:p>
            <w:pPr>
              <w:pStyle w:val="Compact"/>
              <w:jc w:val="left"/>
            </w:pPr>
            <w:r>
              <w:t xml:space="preserve">≥ 70% jeriken kembali melalui take-back</w:t>
            </w:r>
          </w:p>
        </w:tc>
        <w:tc>
          <w:tcPr/>
          <w:p>
            <w:pPr>
              <w:pStyle w:val="Compact"/>
              <w:jc w:val="left"/>
            </w:pPr>
            <w:r>
              <w:t xml:space="preserve">0%</w:t>
            </w:r>
          </w:p>
        </w:tc>
        <w:tc>
          <w:tcPr/>
          <w:p>
            <w:pPr>
              <w:pStyle w:val="Compact"/>
              <w:jc w:val="left"/>
            </w:pPr>
            <w:r>
              <w:t xml:space="preserve">% jeriken kembali</w:t>
            </w:r>
          </w:p>
        </w:tc>
        <w:tc>
          <w:tcPr/>
          <w:p>
            <w:pPr>
              <w:pStyle w:val="Compact"/>
              <w:jc w:val="left"/>
            </w:pPr>
            <w:r>
              <w:t xml:space="preserve">K6</w:t>
            </w:r>
          </w:p>
        </w:tc>
      </w:tr>
      <w:tr>
        <w:tc>
          <w:tcPr/>
          <w:p>
            <w:pPr>
              <w:pStyle w:val="Compact"/>
              <w:jc w:val="left"/>
            </w:pPr>
            <w:r>
              <w:t xml:space="preserve">T4</w:t>
            </w:r>
          </w:p>
        </w:tc>
        <w:tc>
          <w:tcPr/>
          <w:p>
            <w:pPr>
              <w:pStyle w:val="Compact"/>
              <w:jc w:val="left"/>
            </w:pPr>
            <w:r>
              <w:t xml:space="preserve">100% pemasok Tier 1 mengirim laporan data kuartalan tepat waktu</w:t>
            </w:r>
          </w:p>
        </w:tc>
        <w:tc>
          <w:tcPr/>
          <w:p>
            <w:pPr>
              <w:pStyle w:val="Compact"/>
              <w:jc w:val="left"/>
            </w:pPr>
            <w:r>
              <w:t xml:space="preserve">0%</w:t>
            </w:r>
          </w:p>
        </w:tc>
        <w:tc>
          <w:tcPr/>
          <w:p>
            <w:pPr>
              <w:pStyle w:val="Compact"/>
              <w:jc w:val="left"/>
            </w:pPr>
            <w:r>
              <w:t xml:space="preserve">% laporan diterima</w:t>
            </w:r>
          </w:p>
        </w:tc>
        <w:tc>
          <w:tcPr/>
          <w:p>
            <w:pPr>
              <w:pStyle w:val="Compact"/>
              <w:jc w:val="left"/>
            </w:pPr>
            <w:r>
              <w:t xml:space="preserve">K7</w:t>
            </w:r>
          </w:p>
        </w:tc>
      </w:tr>
      <w:tr>
        <w:tc>
          <w:tcPr/>
          <w:p>
            <w:pPr>
              <w:pStyle w:val="Compact"/>
              <w:jc w:val="left"/>
            </w:pPr>
            <w:r>
              <w:t xml:space="preserve">T5</w:t>
            </w:r>
          </w:p>
        </w:tc>
        <w:tc>
          <w:tcPr/>
          <w:p>
            <w:pPr>
              <w:pStyle w:val="Compact"/>
              <w:jc w:val="left"/>
            </w:pPr>
            <w:r>
              <w:t xml:space="preserve">Nol temuan audit kritis</w:t>
            </w:r>
          </w:p>
        </w:tc>
        <w:tc>
          <w:tcPr/>
          <w:p>
            <w:pPr>
              <w:pStyle w:val="Compact"/>
              <w:jc w:val="left"/>
            </w:pPr>
            <w:r>
              <w:t xml:space="preserve">Belum diaudit</w:t>
            </w:r>
          </w:p>
        </w:tc>
        <w:tc>
          <w:tcPr/>
          <w:p>
            <w:pPr>
              <w:pStyle w:val="Compact"/>
              <w:jc w:val="left"/>
            </w:pPr>
            <w:r>
              <w:t xml:space="preserve">Jumlah temuan kritis</w:t>
            </w:r>
          </w:p>
        </w:tc>
        <w:tc>
          <w:tcPr/>
          <w:p>
            <w:pPr>
              <w:pStyle w:val="Compact"/>
              <w:jc w:val="left"/>
            </w:pPr>
            <w:r>
              <w:t xml:space="preserve">Gerbang G2–G3</w:t>
            </w:r>
          </w:p>
        </w:tc>
      </w:tr>
      <w:tr>
        <w:tc>
          <w:tcPr/>
          <w:p>
            <w:pPr>
              <w:pStyle w:val="Compact"/>
              <w:jc w:val="left"/>
            </w:pPr>
            <w:r>
              <w:t xml:space="preserve">T6</w:t>
            </w:r>
          </w:p>
        </w:tc>
        <w:tc>
          <w:tcPr/>
          <w:p>
            <w:pPr>
              <w:pStyle w:val="Compact"/>
              <w:jc w:val="left"/>
            </w:pPr>
            <w:r>
              <w:t xml:space="preserve">Pemasok B naik dari skor 60 ke ≥ 70 dalam 12 bulan</w:t>
            </w:r>
          </w:p>
        </w:tc>
        <w:tc>
          <w:tcPr/>
          <w:p>
            <w:pPr>
              <w:pStyle w:val="Compact"/>
              <w:jc w:val="left"/>
            </w:pPr>
            <w:r>
              <w:t xml:space="preserve">60</w:t>
            </w:r>
          </w:p>
        </w:tc>
        <w:tc>
          <w:tcPr/>
          <w:p>
            <w:pPr>
              <w:pStyle w:val="Compact"/>
              <w:jc w:val="left"/>
            </w:pPr>
            <w:r>
              <w:t xml:space="preserve">Skor matriks</w:t>
            </w:r>
          </w:p>
        </w:tc>
        <w:tc>
          <w:tcPr/>
          <w:p>
            <w:pPr>
              <w:pStyle w:val="Compact"/>
              <w:jc w:val="left"/>
            </w:pPr>
            <w:r>
              <w:t xml:space="preserve">K4–K8</w:t>
            </w:r>
          </w:p>
        </w:tc>
      </w:tr>
    </w:tbl>
    <w:bookmarkEnd w:id="29"/>
    <w:bookmarkStart w:id="30" w:name="dukungan-pengembangan-pemasok"/>
    <w:p>
      <w:pPr>
        <w:pStyle w:val="Heading1"/>
      </w:pPr>
      <w:r>
        <w:t xml:space="preserve">6. Dukungan Pengembangan Pemasok</w:t>
      </w:r>
    </w:p>
    <w:p>
      <w:pPr>
        <w:pStyle w:val="FirstParagraph"/>
      </w:pPr>
      <w:r>
        <w:t xml:space="preserve">Literatur membedakan dua jenis pengembangan pemasok (Krause, Handfield &amp; Scannell, 1998; Bai &amp; Sarkis, 2010):</w:t>
      </w:r>
    </w:p>
    <w:p>
      <w:pPr>
        <w:numPr>
          <w:ilvl w:val="0"/>
          <w:numId w:val="1004"/>
        </w:numPr>
        <w:pStyle w:val="Compact"/>
      </w:pPr>
      <w:r>
        <w:rPr>
          <w:bCs/>
          <w:b/>
        </w:rPr>
        <w:t xml:space="preserve">pengembangan berbasis penilaian</w:t>
      </w:r>
      <w:r>
        <w:t xml:space="preserve"> </w:t>
      </w:r>
      <w:r>
        <w:t xml:space="preserve">(assessment-based), yaitu menetapkan standar, mengaudit, dan memberi umpan balik;</w:t>
      </w:r>
    </w:p>
    <w:p>
      <w:pPr>
        <w:numPr>
          <w:ilvl w:val="0"/>
          <w:numId w:val="1004"/>
        </w:numPr>
        <w:pStyle w:val="Compact"/>
      </w:pPr>
      <w:r>
        <w:rPr>
          <w:bCs/>
          <w:b/>
        </w:rPr>
        <w:t xml:space="preserve">pengembangan langsung</w:t>
      </w:r>
      <w:r>
        <w:t xml:space="preserve"> </w:t>
      </w:r>
      <w:r>
        <w:t xml:space="preserve">(direct involvement), yaitu menanamkan sumber daya pembeli secara langsung pada pemasok.</w:t>
      </w:r>
    </w:p>
    <w:p>
      <w:pPr>
        <w:pStyle w:val="FirstParagraph"/>
      </w:pPr>
      <w:r>
        <w:t xml:space="preserve">Karena posisi tawar sekolah kecil, kombinasi keduanya paling realistis. Program ini difokuskan pada Pemasok B.</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Bentuk dukungan</w:t>
            </w:r>
          </w:p>
        </w:tc>
        <w:tc>
          <w:tcPr/>
          <w:p>
            <w:pPr>
              <w:pStyle w:val="Compact"/>
              <w:jc w:val="left"/>
            </w:pPr>
            <w:r>
              <w:t xml:space="preserve">Rincian</w:t>
            </w:r>
          </w:p>
        </w:tc>
        <w:tc>
          <w:tcPr/>
          <w:p>
            <w:pPr>
              <w:pStyle w:val="Compact"/>
              <w:jc w:val="left"/>
            </w:pPr>
            <w:r>
              <w:t xml:space="preserve">Biaya pembeli (ilustrasi)</w:t>
            </w:r>
          </w:p>
        </w:tc>
        <w:tc>
          <w:tcPr/>
          <w:p>
            <w:pPr>
              <w:pStyle w:val="Compact"/>
              <w:jc w:val="left"/>
            </w:pPr>
            <w:r>
              <w:t xml:space="preserve">Target</w:t>
            </w:r>
          </w:p>
        </w:tc>
      </w:tr>
      <w:tr>
        <w:tc>
          <w:tcPr/>
          <w:p>
            <w:pPr>
              <w:pStyle w:val="Compact"/>
              <w:jc w:val="left"/>
            </w:pPr>
            <w:r>
              <w:t xml:space="preserve">Pelatihan teknis</w:t>
            </w:r>
          </w:p>
        </w:tc>
        <w:tc>
          <w:tcPr/>
          <w:p>
            <w:pPr>
              <w:pStyle w:val="Compact"/>
              <w:jc w:val="left"/>
            </w:pPr>
            <w:r>
              <w:t xml:space="preserve">Workshop formulasi biodegradable dan penyusunan SDS bersama konsultan atau dinas UMKM</w:t>
            </w:r>
          </w:p>
        </w:tc>
        <w:tc>
          <w:tcPr/>
          <w:p>
            <w:pPr>
              <w:pStyle w:val="Compact"/>
              <w:jc w:val="left"/>
            </w:pPr>
            <w:r>
              <w:t xml:space="preserve">Rp5 juta</w:t>
            </w:r>
          </w:p>
        </w:tc>
        <w:tc>
          <w:tcPr/>
          <w:p>
            <w:pPr>
              <w:pStyle w:val="Compact"/>
              <w:jc w:val="left"/>
            </w:pPr>
            <w:r>
              <w:t xml:space="preserve">K5 naik 3 → 4</w:t>
            </w:r>
          </w:p>
        </w:tc>
      </w:tr>
      <w:tr>
        <w:tc>
          <w:tcPr/>
          <w:p>
            <w:pPr>
              <w:pStyle w:val="Compact"/>
              <w:jc w:val="left"/>
            </w:pPr>
            <w:r>
              <w:t xml:space="preserve">Pendampingan sertifikasi</w:t>
            </w:r>
          </w:p>
        </w:tc>
        <w:tc>
          <w:tcPr/>
          <w:p>
            <w:pPr>
              <w:pStyle w:val="Compact"/>
              <w:jc w:val="left"/>
            </w:pPr>
            <w:r>
              <w:t xml:space="preserve">Berbagi biaya 50% untuk uji laboratorium biodegradabilitas sebagai langkah awal menuju ekolabel</w:t>
            </w:r>
          </w:p>
        </w:tc>
        <w:tc>
          <w:tcPr/>
          <w:p>
            <w:pPr>
              <w:pStyle w:val="Compact"/>
              <w:jc w:val="left"/>
            </w:pPr>
            <w:r>
              <w:t xml:space="preserve">Rp7,5 juta</w:t>
            </w:r>
          </w:p>
        </w:tc>
        <w:tc>
          <w:tcPr/>
          <w:p>
            <w:pPr>
              <w:pStyle w:val="Compact"/>
              <w:jc w:val="left"/>
            </w:pPr>
            <w:r>
              <w:t xml:space="preserve">K4 naik 1 → 3</w:t>
            </w:r>
          </w:p>
        </w:tc>
      </w:tr>
      <w:tr>
        <w:tc>
          <w:tcPr/>
          <w:p>
            <w:pPr>
              <w:pStyle w:val="Compact"/>
              <w:jc w:val="left"/>
            </w:pPr>
            <w:r>
              <w:t xml:space="preserve">Template &amp; sistem data</w:t>
            </w:r>
          </w:p>
        </w:tc>
        <w:tc>
          <w:tcPr/>
          <w:p>
            <w:pPr>
              <w:pStyle w:val="Compact"/>
              <w:jc w:val="left"/>
            </w:pPr>
            <w:r>
              <w:t xml:space="preserve">Sekolah menyediakan template laporan dan melatih staf pemasok mengisinya</w:t>
            </w:r>
          </w:p>
        </w:tc>
        <w:tc>
          <w:tcPr/>
          <w:p>
            <w:pPr>
              <w:pStyle w:val="Compact"/>
              <w:jc w:val="left"/>
            </w:pPr>
            <w:r>
              <w:t xml:space="preserve">Rp0 (waktu staf)</w:t>
            </w:r>
          </w:p>
        </w:tc>
        <w:tc>
          <w:tcPr/>
          <w:p>
            <w:pPr>
              <w:pStyle w:val="Compact"/>
              <w:jc w:val="left"/>
            </w:pPr>
            <w:r>
              <w:t xml:space="preserve">K7 naik 2 → 4</w:t>
            </w:r>
          </w:p>
        </w:tc>
      </w:tr>
      <w:tr>
        <w:tc>
          <w:tcPr/>
          <w:p>
            <w:pPr>
              <w:pStyle w:val="Compact"/>
              <w:jc w:val="left"/>
            </w:pPr>
            <w:r>
              <w:t xml:space="preserve">Uji coba bersama</w:t>
            </w:r>
          </w:p>
        </w:tc>
        <w:tc>
          <w:tcPr/>
          <w:p>
            <w:pPr>
              <w:pStyle w:val="Compact"/>
              <w:jc w:val="left"/>
            </w:pPr>
            <w:r>
              <w:t xml:space="preserve">Sekolah menjadi lokasi uji produk baru dan memberi umpan balik terstruktur</w:t>
            </w:r>
          </w:p>
        </w:tc>
        <w:tc>
          <w:tcPr/>
          <w:p>
            <w:pPr>
              <w:pStyle w:val="Compact"/>
              <w:jc w:val="left"/>
            </w:pPr>
            <w:r>
              <w:t xml:space="preserve">Rp2,5 juta (produk uji)</w:t>
            </w:r>
          </w:p>
        </w:tc>
        <w:tc>
          <w:tcPr/>
          <w:p>
            <w:pPr>
              <w:pStyle w:val="Compact"/>
              <w:jc w:val="left"/>
            </w:pPr>
            <w:r>
              <w:t xml:space="preserve">K2 naik 3 → 4</w:t>
            </w:r>
          </w:p>
        </w:tc>
      </w:tr>
      <w:tr>
        <w:tc>
          <w:tcPr/>
          <w:p>
            <w:pPr>
              <w:pStyle w:val="Compact"/>
              <w:jc w:val="left"/>
            </w:pPr>
            <w:r>
              <w:t xml:space="preserve">Insentif komersial</w:t>
            </w:r>
          </w:p>
        </w:tc>
        <w:tc>
          <w:tcPr/>
          <w:p>
            <w:pPr>
              <w:pStyle w:val="Compact"/>
              <w:jc w:val="left"/>
            </w:pPr>
            <w:r>
              <w:t xml:space="preserve">Komitmen volume 12 bulan dan termin pembayaran dipercepat (30 → 14 hari) jika target kuartalan tercapai</w:t>
            </w:r>
          </w:p>
        </w:tc>
        <w:tc>
          <w:tcPr/>
          <w:p>
            <w:pPr>
              <w:pStyle w:val="Compact"/>
              <w:jc w:val="left"/>
            </w:pPr>
            <w:r>
              <w:t xml:space="preserve">Biaya modal kerja kecil</w:t>
            </w:r>
          </w:p>
        </w:tc>
        <w:tc>
          <w:tcPr/>
          <w:p>
            <w:pPr>
              <w:pStyle w:val="Compact"/>
              <w:jc w:val="left"/>
            </w:pPr>
            <w:r>
              <w:t xml:space="preserve">Kemauan &amp; stabilitas</w:t>
            </w:r>
          </w:p>
        </w:tc>
      </w:tr>
      <w:tr>
        <w:tc>
          <w:tcPr/>
          <w:p>
            <w:pPr>
              <w:pStyle w:val="Compact"/>
              <w:jc w:val="left"/>
            </w:pPr>
            <w:r>
              <w:rPr>
                <w:bCs/>
                <w:b/>
              </w:rPr>
              <w:t xml:space="preserve">Total investasi</w:t>
            </w:r>
          </w:p>
        </w:tc>
        <w:tc>
          <w:tcPr/>
          <w:p>
            <w:pPr>
              <w:pStyle w:val="Compact"/>
            </w:pPr>
          </w:p>
        </w:tc>
        <w:tc>
          <w:tcPr/>
          <w:p>
            <w:pPr>
              <w:pStyle w:val="Compact"/>
              <w:jc w:val="left"/>
            </w:pPr>
            <w:r>
              <w:rPr>
                <w:bCs/>
                <w:b/>
              </w:rPr>
              <w:t xml:space="preserve">≈ Rp15 juta</w:t>
            </w:r>
          </w:p>
        </w:tc>
        <w:tc>
          <w:tcPr/>
          <w:p>
            <w:pPr>
              <w:pStyle w:val="Compact"/>
              <w:jc w:val="left"/>
            </w:pPr>
            <w:r>
              <w:t xml:space="preserve">Skor B ≥ 70</w:t>
            </w:r>
          </w:p>
        </w:tc>
      </w:tr>
    </w:tbl>
    <w:p>
      <w:pPr>
        <w:pStyle w:val="BodyText"/>
      </w:pPr>
      <w:r>
        <w:t xml:space="preserve">Jika target tercapai, skor ilustratif B dalam 12 bulan naik dari 60 menjadi sekitar</w:t>
      </w:r>
      <w:r>
        <w:t xml:space="preserve"> </w:t>
      </w:r>
      <w:r>
        <w:rPr>
          <w:bCs/>
          <w:b/>
        </w:rPr>
        <w:t xml:space="preserve">72</w:t>
      </w:r>
      <w:r>
        <w:t xml:space="preserve">. Kenaikan ini berasal dari K4 (+6), K5 (+3), K7 (+4), dan K2 (+3), dengan sedikit penurunan K1 (−4) karena harga naik tipis (±5%) setelah formulasi berubah.</w:t>
      </w:r>
    </w:p>
    <w:bookmarkEnd w:id="30"/>
    <w:bookmarkStart w:id="31" w:name="mekanisme-berbagi-data"/>
    <w:p>
      <w:pPr>
        <w:pStyle w:val="Heading1"/>
      </w:pPr>
      <w:r>
        <w:t xml:space="preserve">7. Mekanisme Berbagi Data</w:t>
      </w:r>
    </w:p>
    <w:p>
      <w:pPr>
        <w:pStyle w:val="FirstParagraph"/>
      </w:pPr>
      <w:r>
        <w:t xml:space="preserve">Berbagi data adalah fondasi kolaborasi. Tanpa data, target pada bagian 5 tidak bisa diverifikasi.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w:t>
            </w:r>
          </w:p>
        </w:tc>
        <w:tc>
          <w:tcPr/>
          <w:p>
            <w:pPr>
              <w:pStyle w:val="Compact"/>
              <w:jc w:val="left"/>
            </w:pPr>
            <w:r>
              <w:t xml:space="preserve">Rancangan</w:t>
            </w:r>
          </w:p>
        </w:tc>
      </w:tr>
      <w:tr>
        <w:tc>
          <w:tcPr/>
          <w:p>
            <w:pPr>
              <w:pStyle w:val="Compact"/>
              <w:jc w:val="left"/>
            </w:pPr>
            <w:r>
              <w:rPr>
                <w:bCs/>
                <w:b/>
              </w:rPr>
              <w:t xml:space="preserve">Data yang dibagikan pemasok</w:t>
            </w:r>
          </w:p>
        </w:tc>
        <w:tc>
          <w:tcPr/>
          <w:p>
            <w:pPr>
              <w:pStyle w:val="Compact"/>
              <w:jc w:val="left"/>
            </w:pPr>
            <w:r>
              <w:t xml:space="preserve">Volume per SKU (liter), jumlah atau berat kemasan terkirim, jeriken kembali, pembaruan SDS dan komposisi, insiden mutu, serta status CAP</w:t>
            </w:r>
          </w:p>
        </w:tc>
      </w:tr>
      <w:tr>
        <w:tc>
          <w:tcPr/>
          <w:p>
            <w:pPr>
              <w:pStyle w:val="Compact"/>
              <w:jc w:val="left"/>
            </w:pPr>
            <w:r>
              <w:rPr>
                <w:bCs/>
                <w:b/>
              </w:rPr>
              <w:t xml:space="preserve">Data yang dibagikan pembeli</w:t>
            </w:r>
          </w:p>
        </w:tc>
        <w:tc>
          <w:tcPr/>
          <w:p>
            <w:pPr>
              <w:pStyle w:val="Compact"/>
              <w:jc w:val="left"/>
            </w:pPr>
            <w:r>
              <w:t xml:space="preserve">Prakiraan kebutuhan 3–6 bulan, hasil penilaian kualitas oleh petugas, skor matriks terbaru, dan rencana spesifikasi baru</w:t>
            </w:r>
          </w:p>
        </w:tc>
      </w:tr>
      <w:tr>
        <w:tc>
          <w:tcPr/>
          <w:p>
            <w:pPr>
              <w:pStyle w:val="Compact"/>
              <w:jc w:val="left"/>
            </w:pPr>
            <w:r>
              <w:rPr>
                <w:bCs/>
                <w:b/>
              </w:rPr>
              <w:t xml:space="preserve">Frekuensi</w:t>
            </w:r>
          </w:p>
        </w:tc>
        <w:tc>
          <w:tcPr/>
          <w:p>
            <w:pPr>
              <w:pStyle w:val="Compact"/>
              <w:jc w:val="left"/>
            </w:pPr>
            <w:r>
              <w:t xml:space="preserve">Bulanan untuk volume dan kemasan, kuartalan untuk scorecard, dan segera untuk insiden atau perubahan formulasi</w:t>
            </w:r>
          </w:p>
        </w:tc>
      </w:tr>
      <w:tr>
        <w:tc>
          <w:tcPr/>
          <w:p>
            <w:pPr>
              <w:pStyle w:val="Compact"/>
              <w:jc w:val="left"/>
            </w:pPr>
            <w:r>
              <w:rPr>
                <w:bCs/>
                <w:b/>
              </w:rPr>
              <w:t xml:space="preserve">Media</w:t>
            </w:r>
          </w:p>
        </w:tc>
        <w:tc>
          <w:tcPr/>
          <w:p>
            <w:pPr>
              <w:pStyle w:val="Compact"/>
              <w:jc w:val="left"/>
            </w:pPr>
            <w:r>
              <w:t xml:space="preserve">Spreadsheet bersama dengan</w:t>
            </w:r>
            <w:r>
              <w:t xml:space="preserve"> </w:t>
            </w:r>
            <w:r>
              <w:rPr>
                <w:iCs/>
                <w:i/>
              </w:rPr>
              <w:t xml:space="preserve">protected range</w:t>
            </w:r>
            <w:r>
              <w:t xml:space="preserve">: pemasok hanya bisa mengisi kolomnya sendiri, sedangkan kolom penilaian hanya bisa diubah oleh tim pengadaan</w:t>
            </w:r>
          </w:p>
        </w:tc>
      </w:tr>
      <w:tr>
        <w:tc>
          <w:tcPr/>
          <w:p>
            <w:pPr>
              <w:pStyle w:val="Compact"/>
              <w:jc w:val="left"/>
            </w:pPr>
            <w:r>
              <w:rPr>
                <w:bCs/>
                <w:b/>
              </w:rPr>
              <w:t xml:space="preserve">Validasi</w:t>
            </w:r>
          </w:p>
        </w:tc>
        <w:tc>
          <w:tcPr/>
          <w:p>
            <w:pPr>
              <w:pStyle w:val="Compact"/>
              <w:jc w:val="left"/>
            </w:pPr>
            <w:r>
              <w:t xml:space="preserve">Volume dicocokkan dengan PO dan nota penerimaan barang. Selisih lebih dari 5% ditandai untuk ditinjau</w:t>
            </w:r>
          </w:p>
        </w:tc>
      </w:tr>
      <w:tr>
        <w:tc>
          <w:tcPr/>
          <w:p>
            <w:pPr>
              <w:pStyle w:val="Compact"/>
              <w:jc w:val="left"/>
            </w:pPr>
            <w:r>
              <w:rPr>
                <w:bCs/>
                <w:b/>
              </w:rPr>
              <w:t xml:space="preserve">Kerahasiaan</w:t>
            </w:r>
          </w:p>
        </w:tc>
        <w:tc>
          <w:tcPr/>
          <w:p>
            <w:pPr>
              <w:pStyle w:val="Compact"/>
              <w:jc w:val="left"/>
            </w:pPr>
            <w:r>
              <w:t xml:space="preserve">Data formulasi dan harga pokok pemasok tidak diminta. Yang diminta hanya klaim lingkungan yang bisa diverifikasi. Data hanya dipakai untuk evaluasi dan tidak dibagikan ke pesaing</w:t>
            </w:r>
          </w:p>
        </w:tc>
      </w:tr>
      <w:tr>
        <w:tc>
          <w:tcPr/>
          <w:p>
            <w:pPr>
              <w:pStyle w:val="Compact"/>
              <w:jc w:val="left"/>
            </w:pPr>
            <w:r>
              <w:rPr>
                <w:bCs/>
                <w:b/>
              </w:rPr>
              <w:t xml:space="preserve">Umpan balik</w:t>
            </w:r>
          </w:p>
        </w:tc>
        <w:tc>
          <w:tcPr/>
          <w:p>
            <w:pPr>
              <w:pStyle w:val="Compact"/>
              <w:jc w:val="left"/>
            </w:pPr>
            <w:r>
              <w:t xml:space="preserve">Scorecard kuartalan dikirim kembali ke pemasok sehingga data mengalir dua arah dan tidak hanya diminta dari pemasok</w:t>
            </w:r>
          </w:p>
        </w:tc>
      </w:tr>
    </w:tbl>
    <w:bookmarkEnd w:id="31"/>
    <w:bookmarkStart w:id="32" w:name="Xc39bffe730d84c759855b3447e2f5ca5fa2f79f"/>
    <w:p>
      <w:pPr>
        <w:pStyle w:val="Heading1"/>
      </w:pPr>
      <w:r>
        <w:t xml:space="preserve">8. Rancangan Mekanisme Kolaborasi (Keluaran 2)</w:t>
      </w:r>
    </w:p>
    <w:p>
      <w:pPr>
        <w:pStyle w:val="FirstParagraph"/>
      </w:pPr>
      <w:r>
        <w:t xml:space="preserve">Rancangan ini menyatukan bagian 4–7 menjadi satu siklus tahunan yang berulang:</w:t>
      </w:r>
    </w:p>
    <w:p>
      <w:pPr>
        <w:pStyle w:val="SourceCode"/>
      </w:pPr>
      <w:r>
        <w:rPr>
          <w:rStyle w:val="VerbatimChar"/>
        </w:rPr>
        <w:t xml:space="preserve">  [1] Spesifikasi hijau ──► [2] Seleksi &amp; audit ──► [3] Kontrak dengan klausul hijau</w:t>
      </w:r>
      <w:r>
        <w:br/>
      </w:r>
      <w:r>
        <w:rPr>
          <w:rStyle w:val="VerbatimChar"/>
        </w:rPr>
        <w:t xml:space="preserve">          ▲                                                      │</w:t>
      </w:r>
      <w:r>
        <w:br/>
      </w:r>
      <w:r>
        <w:rPr>
          <w:rStyle w:val="VerbatimChar"/>
        </w:rPr>
        <w:t xml:space="preserve">          │                                                      ▼</w:t>
      </w:r>
      <w:r>
        <w:br/>
      </w:r>
      <w:r>
        <w:rPr>
          <w:rStyle w:val="VerbatimChar"/>
        </w:rPr>
        <w:t xml:space="preserve">  [6] Review tahunan ◄── [5] Scorecard kuartalan ◄── [4] Pengembangan &amp; berbagi data</w:t>
      </w:r>
      <w:r>
        <w:br/>
      </w:r>
      <w:r>
        <w:rPr>
          <w:rStyle w:val="VerbatimChar"/>
        </w:rPr>
        <w:t xml:space="preserve">     (naik/turun status,      (data 2 arah)            (pelatihan, uji coba,</w:t>
      </w:r>
      <w:r>
        <w:br/>
      </w:r>
      <w:r>
        <w:rPr>
          <w:rStyle w:val="VerbatimChar"/>
        </w:rPr>
        <w:t xml:space="preserve">      revisi target)                                     insentif, CAP)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Isi rancangan</w:t>
            </w:r>
          </w:p>
        </w:tc>
        <w:tc>
          <w:tcPr/>
          <w:p>
            <w:pPr>
              <w:pStyle w:val="Compact"/>
              <w:jc w:val="left"/>
            </w:pPr>
            <w:r>
              <w:t xml:space="preserve">Penanggung jawab</w:t>
            </w:r>
          </w:p>
        </w:tc>
      </w:tr>
      <w:tr>
        <w:tc>
          <w:tcPr/>
          <w:p>
            <w:pPr>
              <w:pStyle w:val="Compact"/>
              <w:jc w:val="left"/>
            </w:pPr>
            <w:r>
              <w:rPr>
                <w:bCs/>
                <w:b/>
              </w:rPr>
              <w:t xml:space="preserve">Tata kelola</w:t>
            </w:r>
          </w:p>
        </w:tc>
        <w:tc>
          <w:tcPr/>
          <w:p>
            <w:pPr>
              <w:pStyle w:val="Compact"/>
              <w:jc w:val="left"/>
            </w:pPr>
            <w:r>
              <w:t xml:space="preserve">Rapat kolaborasi kuartalan (60 menit) antara pengadaan, GA/K3, dan pemilik atau manajer pemasok. Agendanya scorecard, status CAP, dan rencana kuartal berikutnya</w:t>
            </w:r>
          </w:p>
        </w:tc>
        <w:tc>
          <w:tcPr/>
          <w:p>
            <w:pPr>
              <w:pStyle w:val="Compact"/>
              <w:jc w:val="left"/>
            </w:pPr>
            <w:r>
              <w:t xml:space="preserve">Koordinator pengadaan</w:t>
            </w:r>
          </w:p>
        </w:tc>
      </w:tr>
      <w:tr>
        <w:tc>
          <w:tcPr/>
          <w:p>
            <w:pPr>
              <w:pStyle w:val="Compact"/>
              <w:jc w:val="left"/>
            </w:pPr>
            <w:r>
              <w:rPr>
                <w:bCs/>
                <w:b/>
              </w:rPr>
              <w:t xml:space="preserve">Klausul kontrak</w:t>
            </w:r>
          </w:p>
        </w:tc>
        <w:tc>
          <w:tcPr/>
          <w:p>
            <w:pPr>
              <w:pStyle w:val="Compact"/>
              <w:jc w:val="left"/>
            </w:pPr>
            <w:r>
              <w:t xml:space="preserve">Kewajiban SDS, laporan data bulanan, take-back jeriken, dan hak audit. Klausul tambahan: harga dikunci 6 bulan, dan tiga temuan mayor tanpa perbaikan menjadi dasar pemutusan kontrak</w:t>
            </w:r>
          </w:p>
        </w:tc>
        <w:tc>
          <w:tcPr/>
          <w:p>
            <w:pPr>
              <w:pStyle w:val="Compact"/>
              <w:jc w:val="left"/>
            </w:pPr>
            <w:r>
              <w:t xml:space="preserve">Pengadaan + manajemen</w:t>
            </w:r>
          </w:p>
        </w:tc>
      </w:tr>
      <w:tr>
        <w:tc>
          <w:tcPr/>
          <w:p>
            <w:pPr>
              <w:pStyle w:val="Compact"/>
              <w:jc w:val="left"/>
            </w:pPr>
            <w:r>
              <w:rPr>
                <w:bCs/>
                <w:b/>
              </w:rPr>
              <w:t xml:space="preserve">Insentif</w:t>
            </w:r>
          </w:p>
        </w:tc>
        <w:tc>
          <w:tcPr/>
          <w:p>
            <w:pPr>
              <w:pStyle w:val="Compact"/>
              <w:jc w:val="left"/>
            </w:pPr>
            <w:r>
              <w:t xml:space="preserve">Pemasok yang mencapai status</w:t>
            </w:r>
            <w:r>
              <w:t xml:space="preserve"> </w:t>
            </w:r>
            <w:r>
              <w:rPr>
                <w:iCs/>
                <w:i/>
              </w:rPr>
              <w:t xml:space="preserve">preferred</w:t>
            </w:r>
            <w:r>
              <w:t xml:space="preserve"> </w:t>
            </w:r>
            <w:r>
              <w:t xml:space="preserve">mendapat perpanjangan kontrak, termin pembayaran lebih cepat, dan prioritas pada kategori baru</w:t>
            </w:r>
          </w:p>
        </w:tc>
        <w:tc>
          <w:tcPr/>
          <w:p>
            <w:pPr>
              <w:pStyle w:val="Compact"/>
              <w:jc w:val="left"/>
            </w:pPr>
            <w:r>
              <w:t xml:space="preserve">Manajemen</w:t>
            </w:r>
          </w:p>
        </w:tc>
      </w:tr>
      <w:tr>
        <w:tc>
          <w:tcPr/>
          <w:p>
            <w:pPr>
              <w:pStyle w:val="Compact"/>
              <w:jc w:val="left"/>
            </w:pPr>
            <w:r>
              <w:rPr>
                <w:bCs/>
                <w:b/>
              </w:rPr>
              <w:t xml:space="preserve">Konsekuensi</w:t>
            </w:r>
          </w:p>
        </w:tc>
        <w:tc>
          <w:tcPr/>
          <w:p>
            <w:pPr>
              <w:pStyle w:val="Compact"/>
              <w:jc w:val="left"/>
            </w:pPr>
            <w:r>
              <w:t xml:space="preserve">Skor turun di bawah 55 dua kuartal berturut-turut berarti phase-out. Temuan kritis berarti pengiriman dihentikan</w:t>
            </w:r>
          </w:p>
        </w:tc>
        <w:tc>
          <w:tcPr/>
          <w:p>
            <w:pPr>
              <w:pStyle w:val="Compact"/>
              <w:jc w:val="left"/>
            </w:pPr>
            <w:r>
              <w:t xml:space="preserve">Pengadaan</w:t>
            </w:r>
          </w:p>
        </w:tc>
      </w:tr>
      <w:tr>
        <w:tc>
          <w:tcPr/>
          <w:p>
            <w:pPr>
              <w:pStyle w:val="Compact"/>
              <w:jc w:val="left"/>
            </w:pPr>
            <w:r>
              <w:rPr>
                <w:bCs/>
                <w:b/>
              </w:rPr>
              <w:t xml:space="preserve">Eskalasi</w:t>
            </w:r>
          </w:p>
        </w:tc>
        <w:tc>
          <w:tcPr/>
          <w:p>
            <w:pPr>
              <w:pStyle w:val="Compact"/>
              <w:jc w:val="left"/>
            </w:pPr>
            <w:r>
              <w:t xml:space="preserve">Masalah dibawa dari staf pengadaan ke koordinator, lalu ke pimpinan sekolah dan pemilik usaha pemasok</w:t>
            </w:r>
          </w:p>
        </w:tc>
        <w:tc>
          <w:tcPr/>
          <w:p>
            <w:pPr>
              <w:pStyle w:val="Compact"/>
              <w:jc w:val="left"/>
            </w:pPr>
            <w:r>
              <w:t xml:space="preserve">Berjenjang</w:t>
            </w:r>
          </w:p>
        </w:tc>
      </w:tr>
      <w:tr>
        <w:tc>
          <w:tcPr/>
          <w:p>
            <w:pPr>
              <w:pStyle w:val="Compact"/>
              <w:jc w:val="left"/>
            </w:pPr>
            <w:r>
              <w:rPr>
                <w:bCs/>
                <w:b/>
              </w:rPr>
              <w:t xml:space="preserve">Pembelajaran bersama</w:t>
            </w:r>
          </w:p>
        </w:tc>
        <w:tc>
          <w:tcPr/>
          <w:p>
            <w:pPr>
              <w:pStyle w:val="Compact"/>
              <w:jc w:val="left"/>
            </w:pPr>
            <w:r>
              <w:t xml:space="preserve">Kegiatan tahunan</w:t>
            </w:r>
            <w:r>
              <w:t xml:space="preserve"> </w:t>
            </w:r>
            <w:r>
              <w:t xml:space="preserve">“</w:t>
            </w:r>
            <w:r>
              <w:t xml:space="preserve">hari pemasok</w:t>
            </w:r>
            <w:r>
              <w:t xml:space="preserve">”</w:t>
            </w:r>
            <w:r>
              <w:t xml:space="preserve">: berbagi praktik baik antarpemasok dan menyampaikan target tahun berikutnya</w:t>
            </w:r>
          </w:p>
        </w:tc>
        <w:tc>
          <w:tcPr/>
          <w:p>
            <w:pPr>
              <w:pStyle w:val="Compact"/>
              <w:jc w:val="left"/>
            </w:pPr>
            <w:r>
              <w:t xml:space="preserve">Pengadaan</w:t>
            </w:r>
          </w:p>
        </w:tc>
      </w:tr>
    </w:tbl>
    <w:bookmarkEnd w:id="32"/>
    <w:bookmarkStart w:id="33" w:name="X5c6f53eec2acc4288de3426482949c2623dfb57"/>
    <w:p>
      <w:pPr>
        <w:pStyle w:val="Heading1"/>
      </w:pPr>
      <w:r>
        <w:t xml:space="preserve">9. Dilema: Biaya vs Kapasitas (dengan Risiko dan Kualitas)</w:t>
      </w:r>
    </w:p>
    <w:p>
      <w:pPr>
        <w:pStyle w:val="FirstParagraph"/>
      </w:pPr>
      <w:r>
        <w:rPr>
          <w:bCs/>
          <w:b/>
        </w:rPr>
        <w:t xml:space="preserve">Dilemanya.</w:t>
      </w:r>
      <w:r>
        <w:t xml:space="preserve"> </w:t>
      </w:r>
      <w:r>
        <w:t xml:space="preserve">Pemasok A unggul dalam skor (78) dan langsung memenuhi target lingkungan, tetapi harganya 18% lebih mahal. Pemasok B lebih murah dan lokal, kemasannya sudah isi ulang, dan sangat mau berkembang. Namun, B belum punya kapasitas sertifikasi dan data, sehingga belum bisa membuktikan klaim lingkungannya. Mengandalkan B saat ini berisiko pada kualitas dan kepatuhan.</w:t>
      </w:r>
    </w:p>
    <w:p>
      <w:pPr>
        <w:pStyle w:val="BodyText"/>
      </w:pPr>
      <w:r>
        <w:rPr>
          <w:bCs/>
          <w:b/>
        </w:rPr>
        <w:t xml:space="preserve">Perbandingan opsi (ilustrasi, belanja Rp120 juta per tahun):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Opsi</w:t>
            </w:r>
          </w:p>
        </w:tc>
        <w:tc>
          <w:tcPr/>
          <w:p>
            <w:pPr>
              <w:pStyle w:val="Compact"/>
              <w:jc w:val="left"/>
            </w:pPr>
            <w:r>
              <w:t xml:space="preserve">Biaya tahun 1</w:t>
            </w:r>
          </w:p>
        </w:tc>
        <w:tc>
          <w:tcPr/>
          <w:p>
            <w:pPr>
              <w:pStyle w:val="Compact"/>
              <w:jc w:val="left"/>
            </w:pPr>
            <w:r>
              <w:t xml:space="preserve">Biaya tahun 2</w:t>
            </w:r>
          </w:p>
        </w:tc>
        <w:tc>
          <w:tcPr/>
          <w:p>
            <w:pPr>
              <w:pStyle w:val="Compact"/>
              <w:jc w:val="left"/>
            </w:pPr>
            <w:r>
              <w:t xml:space="preserve">Capaian T1 (tahun 1)</w:t>
            </w:r>
          </w:p>
        </w:tc>
        <w:tc>
          <w:tcPr/>
          <w:p>
            <w:pPr>
              <w:pStyle w:val="Compact"/>
              <w:jc w:val="left"/>
            </w:pPr>
            <w:r>
              <w:t xml:space="preserve">Risiko utama</w:t>
            </w:r>
          </w:p>
        </w:tc>
      </w:tr>
      <w:tr>
        <w:tc>
          <w:tcPr/>
          <w:p>
            <w:pPr>
              <w:pStyle w:val="Compact"/>
              <w:jc w:val="left"/>
            </w:pPr>
            <w:r>
              <w:t xml:space="preserve">O1: 100% A</w:t>
            </w:r>
          </w:p>
        </w:tc>
        <w:tc>
          <w:tcPr/>
          <w:p>
            <w:pPr>
              <w:pStyle w:val="Compact"/>
              <w:jc w:val="left"/>
            </w:pPr>
            <w:r>
              <w:t xml:space="preserve">Rp141,6 jt (+21,6 jt)</w:t>
            </w:r>
          </w:p>
        </w:tc>
        <w:tc>
          <w:tcPr/>
          <w:p>
            <w:pPr>
              <w:pStyle w:val="Compact"/>
              <w:jc w:val="left"/>
            </w:pPr>
            <w:r>
              <w:t xml:space="preserve">Rp141,6 jt</w:t>
            </w:r>
          </w:p>
        </w:tc>
        <w:tc>
          <w:tcPr/>
          <w:p>
            <w:pPr>
              <w:pStyle w:val="Compact"/>
              <w:jc w:val="left"/>
            </w:pPr>
            <w:r>
              <w:t xml:space="preserve">Tinggi (~90%)</w:t>
            </w:r>
          </w:p>
        </w:tc>
        <w:tc>
          <w:tcPr/>
          <w:p>
            <w:pPr>
              <w:pStyle w:val="Compact"/>
              <w:jc w:val="left"/>
            </w:pPr>
            <w:r>
              <w:t xml:space="preserve">Anggaran membengkak dan ketergantungan pada satu pemasok</w:t>
            </w:r>
          </w:p>
        </w:tc>
      </w:tr>
      <w:tr>
        <w:tc>
          <w:tcPr/>
          <w:p>
            <w:pPr>
              <w:pStyle w:val="Compact"/>
              <w:jc w:val="left"/>
            </w:pPr>
            <w:r>
              <w:t xml:space="preserve">O2: 100% B tanpa pengembangan</w:t>
            </w:r>
          </w:p>
        </w:tc>
        <w:tc>
          <w:tcPr/>
          <w:p>
            <w:pPr>
              <w:pStyle w:val="Compact"/>
              <w:jc w:val="left"/>
            </w:pPr>
            <w:r>
              <w:t xml:space="preserve">Rp112 jt</w:t>
            </w:r>
          </w:p>
        </w:tc>
        <w:tc>
          <w:tcPr/>
          <w:p>
            <w:pPr>
              <w:pStyle w:val="Compact"/>
              <w:jc w:val="left"/>
            </w:pPr>
            <w:r>
              <w:t xml:space="preserve">Rp112 jt</w:t>
            </w:r>
          </w:p>
        </w:tc>
        <w:tc>
          <w:tcPr/>
          <w:p>
            <w:pPr>
              <w:pStyle w:val="Compact"/>
              <w:jc w:val="left"/>
            </w:pPr>
            <w:r>
              <w:t xml:space="preserve">Rendah (klaim tidak terverifikasi)</w:t>
            </w:r>
          </w:p>
        </w:tc>
        <w:tc>
          <w:tcPr/>
          <w:p>
            <w:pPr>
              <w:pStyle w:val="Compact"/>
              <w:jc w:val="left"/>
            </w:pPr>
            <w:r>
              <w:t xml:space="preserve">Kualitas dan kepatuhan, risiko greenwashing</w:t>
            </w:r>
          </w:p>
        </w:tc>
      </w:tr>
      <w:tr>
        <w:tc>
          <w:tcPr/>
          <w:p>
            <w:pPr>
              <w:pStyle w:val="Compact"/>
              <w:jc w:val="left"/>
            </w:pPr>
            <w:r>
              <w:rPr>
                <w:bCs/>
                <w:b/>
              </w:rPr>
              <w:t xml:space="preserve">O3: Split A 50% + B 50% dengan program pengembangan</w:t>
            </w:r>
          </w:p>
        </w:tc>
        <w:tc>
          <w:tcPr/>
          <w:p>
            <w:pPr>
              <w:pStyle w:val="Compact"/>
              <w:jc w:val="left"/>
            </w:pPr>
            <w:r>
              <w:t xml:space="preserve">Rp126,8 jt + 15 jt =</w:t>
            </w:r>
            <w:r>
              <w:t xml:space="preserve"> </w:t>
            </w:r>
            <w:r>
              <w:rPr>
                <w:bCs/>
                <w:b/>
              </w:rPr>
              <w:t xml:space="preserve">Rp141,8 jt</w:t>
            </w:r>
          </w:p>
        </w:tc>
        <w:tc>
          <w:tcPr/>
          <w:p>
            <w:pPr>
              <w:pStyle w:val="Compact"/>
              <w:jc w:val="left"/>
            </w:pPr>
            <w:r>
              <w:t xml:space="preserve">≈ Rp129 jt</w:t>
            </w:r>
          </w:p>
        </w:tc>
        <w:tc>
          <w:tcPr/>
          <w:p>
            <w:pPr>
              <w:pStyle w:val="Compact"/>
              <w:jc w:val="left"/>
            </w:pPr>
            <w:r>
              <w:t xml:space="preserve">Sedang (~55–60%)</w:t>
            </w:r>
          </w:p>
        </w:tc>
        <w:tc>
          <w:tcPr/>
          <w:p>
            <w:pPr>
              <w:pStyle w:val="Compact"/>
              <w:jc w:val="left"/>
            </w:pPr>
            <w:r>
              <w:t xml:space="preserve">Program B gagal. Dimitigasi dengan titik keputusan di bulan ke-6</w:t>
            </w:r>
          </w:p>
        </w:tc>
      </w:tr>
    </w:tbl>
    <w:p>
      <w:pPr>
        <w:pStyle w:val="BodyText"/>
      </w:pPr>
      <w:r>
        <w:t xml:space="preserve">Perhitungan O3: (60 × 1,18) + (60 × 0,933) = 70,8 + 56 = Rp126,8 jt, ditambah investasi pengembangan Rp15 jt. Pada tahun 2: 70,8 + (56 × 1,05) ≈ Rp129,6 jt, karena harga B naik ±5% setelah formulasi berubah dan tidak ada lagi investasi.</w:t>
      </w:r>
    </w:p>
    <w:p>
      <w:pPr>
        <w:pStyle w:val="BodyText"/>
      </w:pPr>
      <w:r>
        <w:rPr>
          <w:bCs/>
          <w:b/>
        </w:rPr>
        <w:t xml:space="preserve">Rekomendasi: O3 (split + pengembangan).</w:t>
      </w:r>
    </w:p>
    <w:p>
      <w:pPr>
        <w:numPr>
          <w:ilvl w:val="0"/>
          <w:numId w:val="1005"/>
        </w:numPr>
        <w:pStyle w:val="Compact"/>
      </w:pPr>
      <w:r>
        <w:t xml:space="preserve">Pada tahun 1, biayanya hampir sama dengan O1. Namun, mulai tahun 2, O3 lebih hemat sekitar Rp12 juta per tahun dibanding O1.</w:t>
      </w:r>
    </w:p>
    <w:p>
      <w:pPr>
        <w:numPr>
          <w:ilvl w:val="0"/>
          <w:numId w:val="1005"/>
        </w:numPr>
        <w:pStyle w:val="Compact"/>
      </w:pPr>
      <w:r>
        <w:t xml:space="preserve">Risiko pemasok tunggal berkurang, dan pemasok lokal ikut berkembang.</w:t>
      </w:r>
    </w:p>
    <w:p>
      <w:pPr>
        <w:numPr>
          <w:ilvl w:val="0"/>
          <w:numId w:val="1005"/>
        </w:numPr>
        <w:pStyle w:val="Compact"/>
      </w:pPr>
      <w:r>
        <w:t xml:space="preserve">Pembagian produk berdasarkan risiko:</w:t>
      </w:r>
      <w:r>
        <w:t xml:space="preserve"> </w:t>
      </w:r>
      <w:r>
        <w:rPr>
          <w:bCs/>
          <w:b/>
        </w:rPr>
        <w:t xml:space="preserve">produk berisiko tinggi</w:t>
      </w:r>
      <w:r>
        <w:t xml:space="preserve"> </w:t>
      </w:r>
      <w:r>
        <w:t xml:space="preserve">(disinfektan, pembersih toilet, area kelas TK) tetap dari A, sedangkan</w:t>
      </w:r>
      <w:r>
        <w:t xml:space="preserve"> </w:t>
      </w:r>
      <w:r>
        <w:rPr>
          <w:bCs/>
          <w:b/>
        </w:rPr>
        <w:t xml:space="preserve">produk berisiko rendah</w:t>
      </w:r>
      <w:r>
        <w:t xml:space="preserve"> </w:t>
      </w:r>
      <w:r>
        <w:t xml:space="preserve">(pembersih lantai umum, sabun cuci tangan isi ulang) dari B. Dengan begitu, risiko kualitas dan kesehatan tidak dipertaruhkan.</w:t>
      </w:r>
    </w:p>
    <w:p>
      <w:pPr>
        <w:numPr>
          <w:ilvl w:val="0"/>
          <w:numId w:val="1005"/>
        </w:numPr>
        <w:pStyle w:val="Compact"/>
      </w:pPr>
      <w:r>
        <w:rPr>
          <w:bCs/>
          <w:b/>
        </w:rPr>
        <w:t xml:space="preserve">Titik keputusan bulan ke-6:</w:t>
      </w:r>
      <w:r>
        <w:t xml:space="preserve"> </w:t>
      </w:r>
      <w:r>
        <w:t xml:space="preserve">jika skor B di bawah 65 atau ada temuan kritis, porsi B dikurangi menjadi 25% dan dialihkan ke A.</w:t>
      </w:r>
    </w:p>
    <w:p>
      <w:pPr>
        <w:pStyle w:val="FirstParagraph"/>
      </w:pPr>
      <w:r>
        <w:t xml:space="preserve">Dilema ini menunjukkan bahwa green procurement bukan sekadar memilih pemasok tersertifikat termahal. Bagi pembeli kecil, membangun kapasitas pemasok sering kali menjadi jalan yang lebih berkelanjutan, baik dari sisi lingkungan maupun biaya, asalkan disertai pengendalian risiko yang jelas.</w:t>
      </w:r>
    </w:p>
    <w:bookmarkEnd w:id="33"/>
    <w:bookmarkStart w:id="34" w:name="kesimpulan"/>
    <w:p>
      <w:pPr>
        <w:pStyle w:val="Heading1"/>
      </w:pPr>
      <w:r>
        <w:t xml:space="preserve">10. Kesimpulan</w:t>
      </w:r>
    </w:p>
    <w:p>
      <w:pPr>
        <w:numPr>
          <w:ilvl w:val="0"/>
          <w:numId w:val="1006"/>
        </w:numPr>
        <w:pStyle w:val="Compact"/>
      </w:pPr>
      <w:r>
        <w:t xml:space="preserve">Kriteria pembelian hijau dua lapis (gerbang wajib dan kriteria berbobot dengan porsi lingkungan 40%) membuat aspek lingkungan benar-benar memengaruhi keputusan. Pemasok termurah (C) gugur.</w:t>
      </w:r>
    </w:p>
    <w:p>
      <w:pPr>
        <w:numPr>
          <w:ilvl w:val="0"/>
          <w:numId w:val="1006"/>
        </w:numPr>
        <w:pStyle w:val="Compact"/>
      </w:pPr>
      <w:r>
        <w:t xml:space="preserve">Seleksi dan audit berbasis segmentasi risiko membuat upaya audit proporsional, dengan fokus pada kategori Tier 1 seperti bahan kimia pembersih.</w:t>
      </w:r>
    </w:p>
    <w:p>
      <w:pPr>
        <w:numPr>
          <w:ilvl w:val="0"/>
          <w:numId w:val="1006"/>
        </w:numPr>
        <w:pStyle w:val="Compact"/>
      </w:pPr>
      <w:r>
        <w:t xml:space="preserve">Target lingkungan SMART (T1–T6) terhubung langsung dengan kriteria matriks dan diverifikasi melalui mekanisme berbagi data dua arah.</w:t>
      </w:r>
    </w:p>
    <w:p>
      <w:pPr>
        <w:numPr>
          <w:ilvl w:val="0"/>
          <w:numId w:val="1006"/>
        </w:numPr>
        <w:pStyle w:val="Compact"/>
      </w:pPr>
      <w:r>
        <w:t xml:space="preserve">Pengembangan pemasok senilai sekitar Rp15 juta lebih efisien dalam jangka menengah daripada membayar premi harga permanen, asalkan disertai titik keputusan dan pembagian produk berdasarkan risiko.</w:t>
      </w:r>
    </w:p>
    <w:bookmarkEnd w:id="34"/>
    <w:bookmarkStart w:id="35" w:name="daftar-rujukan"/>
    <w:p>
      <w:pPr>
        <w:pStyle w:val="Heading1"/>
      </w:pPr>
      <w:r>
        <w:t xml:space="preserve">Daftar Rujukan</w:t>
      </w:r>
    </w:p>
    <w:p>
      <w:pPr>
        <w:numPr>
          <w:ilvl w:val="0"/>
          <w:numId w:val="1007"/>
        </w:numPr>
        <w:pStyle w:val="Compact"/>
      </w:pPr>
      <w:r>
        <w:rPr>
          <w:bCs/>
          <w:b/>
        </w:rPr>
        <w:t xml:space="preserve">Ref [2]</w:t>
      </w:r>
      <w:r>
        <w:t xml:space="preserve"> </w:t>
      </w:r>
      <w:r>
        <w:t xml:space="preserve">—</w:t>
      </w:r>
      <w:r>
        <w:t xml:space="preserve"> </w:t>
      </w:r>
      <w:r>
        <w:rPr>
          <w:iCs/>
          <w:i/>
        </w:rPr>
        <w:t xml:space="preserve">(rujukan utama mata kuliah, sesuaikan dengan daftar rujukan W5)</w:t>
      </w:r>
    </w:p>
    <w:p>
      <w:pPr>
        <w:numPr>
          <w:ilvl w:val="0"/>
          <w:numId w:val="1007"/>
        </w:numPr>
        <w:pStyle w:val="Compact"/>
      </w:pPr>
      <w:r>
        <w:rPr>
          <w:bCs/>
          <w:b/>
        </w:rPr>
        <w:t xml:space="preserve">Ref [3]</w:t>
      </w:r>
      <w:r>
        <w:t xml:space="preserve"> </w:t>
      </w:r>
      <w:r>
        <w:t xml:space="preserve">—</w:t>
      </w:r>
      <w:r>
        <w:t xml:space="preserve"> </w:t>
      </w:r>
      <w:r>
        <w:rPr>
          <w:iCs/>
          <w:i/>
        </w:rPr>
        <w:t xml:space="preserve">(rujukan utama mata kuliah, sesuaikan dengan daftar rujukan W5)</w:t>
      </w:r>
    </w:p>
    <w:p>
      <w:pPr>
        <w:numPr>
          <w:ilvl w:val="0"/>
          <w:numId w:val="1007"/>
        </w:numPr>
        <w:pStyle w:val="Compact"/>
      </w:pPr>
      <w:r>
        <w:t xml:space="preserve">Bai, C., &amp; Sarkis, J. (2010). Green supplier development: Analytical evaluation using rough set theory.</w:t>
      </w:r>
      <w:r>
        <w:t xml:space="preserve"> </w:t>
      </w:r>
      <w:r>
        <w:rPr>
          <w:iCs/>
          <w:i/>
        </w:rPr>
        <w:t xml:space="preserve">Journal of Cleaner Production, 18</w:t>
      </w:r>
      <w:r>
        <w:t xml:space="preserve">(12), 1200–1210.</w:t>
      </w:r>
    </w:p>
    <w:p>
      <w:pPr>
        <w:numPr>
          <w:ilvl w:val="0"/>
          <w:numId w:val="1007"/>
        </w:numPr>
        <w:pStyle w:val="Compact"/>
      </w:pPr>
      <w:r>
        <w:t xml:space="preserve">International Organization for Standardization. (2017).</w:t>
      </w:r>
      <w:r>
        <w:t xml:space="preserve"> </w:t>
      </w:r>
      <w:r>
        <w:rPr>
          <w:iCs/>
          <w:i/>
        </w:rPr>
        <w:t xml:space="preserve">ISO 20400:2017 Sustainable procurement — Guidance</w:t>
      </w:r>
      <w:r>
        <w:t xml:space="preserve">. ISO.</w:t>
      </w:r>
    </w:p>
    <w:p>
      <w:pPr>
        <w:numPr>
          <w:ilvl w:val="0"/>
          <w:numId w:val="1007"/>
        </w:numPr>
        <w:pStyle w:val="Compact"/>
      </w:pPr>
      <w:r>
        <w:t xml:space="preserve">Krause, D. R., Handfield, R. B., &amp; Scannell, T. V. (1998). An empirical investigation of supplier development: Reactive and strategic processes.</w:t>
      </w:r>
      <w:r>
        <w:t xml:space="preserve"> </w:t>
      </w:r>
      <w:r>
        <w:rPr>
          <w:iCs/>
          <w:i/>
        </w:rPr>
        <w:t xml:space="preserve">Journal of Operations Management, 17</w:t>
      </w:r>
      <w:r>
        <w:t xml:space="preserve">(1), 39–58.</w:t>
      </w:r>
    </w:p>
    <w:p>
      <w:pPr>
        <w:numPr>
          <w:ilvl w:val="0"/>
          <w:numId w:val="1007"/>
        </w:numPr>
        <w:pStyle w:val="Compact"/>
      </w:pPr>
      <w:r>
        <w:t xml:space="preserve">Vachon, S., &amp; Klassen, R. D. (2006). Extending green practices across the supply chain: The impact of upstream and downstream integration.</w:t>
      </w:r>
      <w:r>
        <w:t xml:space="preserve"> </w:t>
      </w:r>
      <w:r>
        <w:rPr>
          <w:iCs/>
          <w:i/>
        </w:rPr>
        <w:t xml:space="preserve">International Journal of Operations &amp; Production Management, 26</w:t>
      </w:r>
      <w:r>
        <w:t xml:space="preserve">(7), 795–821.</w:t>
      </w:r>
    </w:p>
    <w:p>
      <w:pPr>
        <w:numPr>
          <w:ilvl w:val="0"/>
          <w:numId w:val="1007"/>
        </w:numPr>
        <w:pStyle w:val="Compact"/>
      </w:pPr>
      <w:r>
        <w:t xml:space="preserve">Zhu, Q., &amp; Sarkis, J. (2004). Relationships between operational practices and performance among early adopters of green supply chain management practices in Chinese manufacturing enterprises.</w:t>
      </w:r>
      <w:r>
        <w:t xml:space="preserve"> </w:t>
      </w:r>
      <w:r>
        <w:rPr>
          <w:iCs/>
          <w:i/>
        </w:rPr>
        <w:t xml:space="preserve">Journal of Operations Management, 22</w:t>
      </w:r>
      <w:r>
        <w:t xml:space="preserve">(3), 265–289.</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Evaluasi Green Procurement dan Pengembangan Pemasok</dc:title>
  <dc:creator/>
  <dc:language>id</dc:language>
  <cp:keywords/>
  <dcterms:created xsi:type="dcterms:W3CDTF">2026-10-12T11:56:45Z</dcterms:created>
  <dcterms:modified xsi:type="dcterms:W3CDTF">2026-10-12T11:56:45Z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Tugas W5 — Green Procurement and Supplier Collaboration</vt:lpwstr>
  </property>
</Properties>
</file>