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Evaluasi</w:t>
      </w:r>
      <w:r>
        <w:t xml:space="preserve"> </w:t>
      </w:r>
      <w:r>
        <w:t xml:space="preserve">Green</w:t>
      </w:r>
      <w:r>
        <w:t xml:space="preserve"> </w:t>
      </w:r>
      <w:r>
        <w:t xml:space="preserve">Procurement</w:t>
      </w:r>
      <w:r>
        <w:t xml:space="preserve"> </w:t>
      </w:r>
      <w:r>
        <w:t xml:space="preserve">dan</w:t>
      </w:r>
      <w:r>
        <w:t xml:space="preserve"> </w:t>
      </w:r>
      <w:r>
        <w:t xml:space="preserve">Pengembangan</w:t>
      </w:r>
      <w:r>
        <w:t xml:space="preserve"> </w:t>
      </w:r>
      <w:r>
        <w:t xml:space="preserve">Pemasok:</w:t>
      </w:r>
      <w:r>
        <w:t xml:space="preserve"> </w:t>
      </w:r>
      <w:r>
        <w:t xml:space="preserve">Rantai</w:t>
      </w:r>
      <w:r>
        <w:t xml:space="preserve"> </w:t>
      </w:r>
      <w:r>
        <w:t xml:space="preserve">Pasok</w:t>
      </w:r>
      <w:r>
        <w:t xml:space="preserve"> </w:t>
      </w:r>
      <w:r>
        <w:t xml:space="preserve">Apple</w:t>
      </w:r>
      <w:r>
        <w:t xml:space="preserve"> </w:t>
      </w:r>
      <w:r>
        <w:t xml:space="preserve">iPhone</w:t>
      </w:r>
    </w:p>
    <w:p>
      <w:pPr>
        <w:pStyle w:val="Subtitle"/>
      </w:pPr>
      <w:r>
        <w:t xml:space="preserve">Tugas</w:t>
      </w:r>
      <w:r>
        <w:t xml:space="preserve"> </w:t>
      </w:r>
      <w:r>
        <w:t xml:space="preserve">W5</w:t>
      </w:r>
      <w:r>
        <w:t xml:space="preserve"> </w:t>
      </w:r>
      <w:r>
        <w:t xml:space="preserve">—</w:t>
      </w:r>
      <w:r>
        <w:t xml:space="preserve"> </w:t>
      </w:r>
      <w:r>
        <w:t xml:space="preserve">Green</w:t>
      </w:r>
      <w:r>
        <w:t xml:space="preserve"> </w:t>
      </w:r>
      <w:r>
        <w:t xml:space="preserve">Procurement</w:t>
      </w:r>
      <w:r>
        <w:t xml:space="preserve"> </w:t>
      </w:r>
      <w:r>
        <w:t xml:space="preserve">and</w:t>
      </w:r>
      <w:r>
        <w:t xml:space="preserve"> </w:t>
      </w:r>
      <w:r>
        <w:t xml:space="preserve">Supplier</w:t>
      </w:r>
      <w:r>
        <w:t xml:space="preserve"> </w:t>
      </w:r>
      <w:r>
        <w:t xml:space="preserve">Collaboration</w:t>
      </w:r>
    </w:p>
    <w:bookmarkStart w:id="20" w:name="pendahuluan-dan-konteks-kasus"/>
    <w:p>
      <w:pPr>
        <w:pStyle w:val="Heading1"/>
      </w:pPr>
      <w:r>
        <w:t xml:space="preserve">1. Pendahuluan dan Konteks Kasus</w:t>
      </w:r>
    </w:p>
    <w:p>
      <w:pPr>
        <w:pStyle w:val="FirstParagraph"/>
      </w:pPr>
      <w:r>
        <w:t xml:space="preserve">Green procurement (pembelian hijau) memasukkan pertimbangan lingkungan ke setiap tahap pengadaan: spesifikasi, seleksi pemasok, kontrak, hingga evaluasi kinerja. Kerangka ini merujuk pada Ref [2] dan Ref [3] sebagai rujukan utama, dengan dukungan ISO 20400:2017 serta literatur pengembangan pemasok hijau (Vachon &amp; Klassen, 2006; Bai &amp; Sarkis, 2010).</w:t>
      </w:r>
    </w:p>
    <w:p>
      <w:pPr>
        <w:pStyle w:val="BodyText"/>
      </w:pPr>
      <w:r>
        <w:rPr>
          <w:bCs/>
          <w:b/>
        </w:rPr>
        <w:t xml:space="preserve">Mengapa iPhone.</w:t>
      </w:r>
      <w:r>
        <w:t xml:space="preserve"> </w:t>
      </w:r>
      <w:r>
        <w:t xml:space="preserve">Apple tidak memproduksi iPhone sendiri. Perakitan dan hampir seluruh komponen dikerjakan oleh pemasok di Tiongkok, India, Vietnam, Taiwan, dan negara lain. Karena itu, sebagian besar jejak karbon Apple berasal dari manufaktur di rantai pasoknya, bukan dari operasi Apple sendiri (Apple,</w:t>
      </w:r>
      <w:r>
        <w:t xml:space="preserve"> </w:t>
      </w:r>
      <w:r>
        <w:rPr>
          <w:iCs/>
          <w:i/>
        </w:rPr>
        <w:t xml:space="preserve">Environmental Progress Report</w:t>
      </w:r>
      <w:r>
        <w:t xml:space="preserve">). Hal ini menjadikan pengadaan dan kolaborasi pemasok sebagai tuas utama untuk mencapai target</w:t>
      </w:r>
      <w:r>
        <w:t xml:space="preserve"> </w:t>
      </w:r>
      <w:r>
        <w:rPr>
          <w:bCs/>
          <w:b/>
        </w:rPr>
        <w:t xml:space="preserve">Apple 2030</w:t>
      </w:r>
      <w:r>
        <w:t xml:space="preserve">, yaitu netral karbon di seluruh rantai nilai dengan pengurangan emisi sekitar 75% dibanding baseline 2015.</w:t>
      </w:r>
    </w:p>
    <w:p>
      <w:pPr>
        <w:pStyle w:val="BodyText"/>
      </w:pPr>
      <w:r>
        <w:rPr>
          <w:bCs/>
          <w:b/>
        </w:rPr>
        <w:t xml:space="preserve">Program hijau pemasok Apple yang dianalisis:</w:t>
      </w:r>
    </w:p>
    <w:p>
      <w:pPr>
        <w:numPr>
          <w:ilvl w:val="0"/>
          <w:numId w:val="1001"/>
        </w:numPr>
        <w:pStyle w:val="Compact"/>
      </w:pPr>
      <w:r>
        <w:rPr>
          <w:bCs/>
          <w:b/>
        </w:rPr>
        <w:t xml:space="preserve">Supplier Code of Conduct</w:t>
      </w:r>
      <w:r>
        <w:t xml:space="preserve"> </w:t>
      </w:r>
      <w:r>
        <w:t xml:space="preserve">dan</w:t>
      </w:r>
      <w:r>
        <w:t xml:space="preserve"> </w:t>
      </w:r>
      <w:r>
        <w:rPr>
          <w:bCs/>
          <w:b/>
        </w:rPr>
        <w:t xml:space="preserve">Supplier Responsibility Standards</w:t>
      </w:r>
      <w:r>
        <w:t xml:space="preserve">: syarat dasar bagi semua pemasok, termasuk aspek lingkungan, ketenagakerjaan, dan bahan kimia.</w:t>
      </w:r>
    </w:p>
    <w:p>
      <w:pPr>
        <w:numPr>
          <w:ilvl w:val="0"/>
          <w:numId w:val="1001"/>
        </w:numPr>
        <w:pStyle w:val="Compact"/>
      </w:pPr>
      <w:r>
        <w:rPr>
          <w:bCs/>
          <w:b/>
        </w:rPr>
        <w:t xml:space="preserve">Supplier Clean Energy Program</w:t>
      </w:r>
      <w:r>
        <w:t xml:space="preserve"> </w:t>
      </w:r>
      <w:r>
        <w:t xml:space="preserve">(sejak 2015): pemasok berkomitmen memakai 100% listrik terbarukan untuk produksi Apple.</w:t>
      </w:r>
    </w:p>
    <w:p>
      <w:pPr>
        <w:numPr>
          <w:ilvl w:val="0"/>
          <w:numId w:val="1001"/>
        </w:numPr>
        <w:pStyle w:val="Compact"/>
      </w:pPr>
      <w:r>
        <w:rPr>
          <w:bCs/>
          <w:b/>
        </w:rPr>
        <w:t xml:space="preserve">Zero Waste Program</w:t>
      </w:r>
      <w:r>
        <w:t xml:space="preserve"> </w:t>
      </w:r>
      <w:r>
        <w:t xml:space="preserve">dan</w:t>
      </w:r>
      <w:r>
        <w:t xml:space="preserve"> </w:t>
      </w:r>
      <w:r>
        <w:rPr>
          <w:bCs/>
          <w:b/>
        </w:rPr>
        <w:t xml:space="preserve">Supplier Clean Water Program</w:t>
      </w:r>
      <w:r>
        <w:t xml:space="preserve">: pengurangan limbah ke TPA dan efisiensi air di fasilitas pemasok.</w:t>
      </w:r>
    </w:p>
    <w:p>
      <w:pPr>
        <w:numPr>
          <w:ilvl w:val="0"/>
          <w:numId w:val="1001"/>
        </w:numPr>
        <w:pStyle w:val="Compact"/>
      </w:pPr>
      <w:r>
        <w:rPr>
          <w:bCs/>
          <w:b/>
        </w:rPr>
        <w:t xml:space="preserve">Material daur ulang dan mineral bertanggung jawab</w:t>
      </w:r>
      <w:r>
        <w:t xml:space="preserve">, misalnya target kobalt daur ulang untuk baterai rancangan Apple, emas dan timah daur ulang pada papan sirkuit, serta audit smelter/refiner untuk timah, tantalum, tungsten, emas (3TG), dan kobalt.</w:t>
      </w:r>
    </w:p>
    <w:p>
      <w:pPr>
        <w:numPr>
          <w:ilvl w:val="0"/>
          <w:numId w:val="1001"/>
        </w:numPr>
        <w:pStyle w:val="Compact"/>
      </w:pPr>
      <w:r>
        <w:rPr>
          <w:bCs/>
          <w:b/>
        </w:rPr>
        <w:t xml:space="preserve">Regulated Substances Specification</w:t>
      </w:r>
      <w:r>
        <w:t xml:space="preserve">: daftar zat yang dibatasi atau dilarang dalam produk dan proses.</w:t>
      </w:r>
    </w:p>
    <w:p>
      <w:pPr>
        <w:pStyle w:val="BlockText"/>
      </w:pPr>
      <w:r>
        <w:t xml:space="preserve">Catatan: nama program di atas bersumber dari laporan publik Apple.</w:t>
      </w:r>
      <w:r>
        <w:t xml:space="preserve"> </w:t>
      </w:r>
      <w:r>
        <w:rPr>
          <w:bCs/>
          <w:b/>
        </w:rPr>
        <w:t xml:space="preserve">Pemasok X, Y, dan Z dalam matriks adalah arketipe anonim</w:t>
      </w:r>
      <w:r>
        <w:t xml:space="preserve">, bukan perusahaan nyata, dan skornya ilustratif untuk menunjukkan cara kerja metode.</w:t>
      </w:r>
    </w:p>
    <w:bookmarkEnd w:id="20"/>
    <w:bookmarkStart w:id="23" w:name="kriteria-pembelian-hijau"/>
    <w:p>
      <w:pPr>
        <w:pStyle w:val="Heading1"/>
      </w:pPr>
      <w:r>
        <w:t xml:space="preserve">2. Kriteria Pembelian Hijau</w:t>
      </w:r>
    </w:p>
    <w:p>
      <w:pPr>
        <w:pStyle w:val="FirstParagraph"/>
      </w:pPr>
      <w:r>
        <w:t xml:space="preserve">Kriteria disusun dalam dua lapis. Lapis pertama adalah</w:t>
      </w:r>
      <w:r>
        <w:t xml:space="preserve"> </w:t>
      </w:r>
      <w:r>
        <w:rPr>
          <w:bCs/>
          <w:b/>
        </w:rPr>
        <w:t xml:space="preserve">gerbang wajib (pass/fail)</w:t>
      </w:r>
      <w:r>
        <w:t xml:space="preserve">: pemasok yang gagal di lapis ini tidak dinilai lebih lanjut. Lapis kedua adalah</w:t>
      </w:r>
      <w:r>
        <w:t xml:space="preserve"> </w:t>
      </w:r>
      <w:r>
        <w:rPr>
          <w:bCs/>
          <w:b/>
        </w:rPr>
        <w:t xml:space="preserve">kriteria berbobot</w:t>
      </w:r>
      <w:r>
        <w:t xml:space="preserve"> </w:t>
      </w:r>
      <w:r>
        <w:t xml:space="preserve">yang membedakan kinerja di antara pemasok yang lolos.</w:t>
      </w:r>
    </w:p>
    <w:bookmarkStart w:id="21" w:name="gerbang-wajib-passfail"/>
    <w:p>
      <w:pPr>
        <w:pStyle w:val="Heading2"/>
      </w:pPr>
      <w:r>
        <w:t xml:space="preserve">2.1 Gerbang wajib (pass/fail)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Kode</w:t>
            </w:r>
          </w:p>
        </w:tc>
        <w:tc>
          <w:tcPr/>
          <w:p>
            <w:pPr>
              <w:pStyle w:val="Compact"/>
              <w:jc w:val="left"/>
            </w:pPr>
            <w:r>
              <w:t xml:space="preserve">Persyaratan</w:t>
            </w:r>
          </w:p>
        </w:tc>
        <w:tc>
          <w:tcPr/>
          <w:p>
            <w:pPr>
              <w:pStyle w:val="Compact"/>
              <w:jc w:val="left"/>
            </w:pPr>
            <w:r>
              <w:t xml:space="preserve">Bukti</w:t>
            </w:r>
          </w:p>
        </w:tc>
      </w:tr>
      <w:tr>
        <w:tc>
          <w:tcPr/>
          <w:p>
            <w:pPr>
              <w:pStyle w:val="Compact"/>
              <w:jc w:val="left"/>
            </w:pPr>
            <w:r>
              <w:t xml:space="preserve">G1</w:t>
            </w:r>
          </w:p>
        </w:tc>
        <w:tc>
          <w:tcPr/>
          <w:p>
            <w:pPr>
              <w:pStyle w:val="Compact"/>
              <w:jc w:val="left"/>
            </w:pPr>
            <w:r>
              <w:t xml:space="preserve">Menandatangani dan mematuhi Supplier Code of Conduct</w:t>
            </w:r>
          </w:p>
        </w:tc>
        <w:tc>
          <w:tcPr/>
          <w:p>
            <w:pPr>
              <w:pStyle w:val="Compact"/>
              <w:jc w:val="left"/>
            </w:pPr>
            <w:r>
              <w:t xml:space="preserve">Kontrak, hasil asesmen awal</w:t>
            </w:r>
          </w:p>
        </w:tc>
      </w:tr>
      <w:tr>
        <w:tc>
          <w:tcPr/>
          <w:p>
            <w:pPr>
              <w:pStyle w:val="Compact"/>
              <w:jc w:val="left"/>
            </w:pPr>
            <w:r>
              <w:t xml:space="preserve">G2</w:t>
            </w:r>
          </w:p>
        </w:tc>
        <w:tc>
          <w:tcPr/>
          <w:p>
            <w:pPr>
              <w:pStyle w:val="Compact"/>
              <w:jc w:val="left"/>
            </w:pPr>
            <w:r>
              <w:t xml:space="preserve">Tidak ada zat terlarang menurut Regulated Substances Specification</w:t>
            </w:r>
          </w:p>
        </w:tc>
        <w:tc>
          <w:tcPr/>
          <w:p>
            <w:pPr>
              <w:pStyle w:val="Compact"/>
              <w:jc w:val="left"/>
            </w:pPr>
            <w:r>
              <w:t xml:space="preserve">Laporan uji bahan, deklarasi material</w:t>
            </w:r>
          </w:p>
        </w:tc>
      </w:tr>
      <w:tr>
        <w:tc>
          <w:tcPr/>
          <w:p>
            <w:pPr>
              <w:pStyle w:val="Compact"/>
              <w:jc w:val="left"/>
            </w:pPr>
            <w:r>
              <w:t xml:space="preserve">G3</w:t>
            </w:r>
          </w:p>
        </w:tc>
        <w:tc>
          <w:tcPr/>
          <w:p>
            <w:pPr>
              <w:pStyle w:val="Compact"/>
              <w:jc w:val="left"/>
            </w:pPr>
            <w:r>
              <w:t xml:space="preserve">Smelter/refiner untuk 3TG dan kobalt berstatus sesuai (conformant) dengan audit pihak ketiga</w:t>
            </w:r>
          </w:p>
        </w:tc>
        <w:tc>
          <w:tcPr/>
          <w:p>
            <w:pPr>
              <w:pStyle w:val="Compact"/>
              <w:jc w:val="left"/>
            </w:pPr>
            <w:r>
              <w:t xml:space="preserve">Daftar smelter, laporan audit</w:t>
            </w:r>
          </w:p>
        </w:tc>
      </w:tr>
      <w:tr>
        <w:tc>
          <w:tcPr/>
          <w:p>
            <w:pPr>
              <w:pStyle w:val="Compact"/>
              <w:jc w:val="left"/>
            </w:pPr>
            <w:r>
              <w:t xml:space="preserve">G4</w:t>
            </w:r>
          </w:p>
        </w:tc>
        <w:tc>
          <w:tcPr/>
          <w:p>
            <w:pPr>
              <w:pStyle w:val="Compact"/>
              <w:jc w:val="left"/>
            </w:pPr>
            <w:r>
              <w:t xml:space="preserve">Tidak ada pelanggaran inti (core violation) yang belum diperbaiki, misalnya pembuangan limbah berbahaya ilegal atau pemalsuan data</w:t>
            </w:r>
          </w:p>
        </w:tc>
        <w:tc>
          <w:tcPr/>
          <w:p>
            <w:pPr>
              <w:pStyle w:val="Compact"/>
              <w:jc w:val="left"/>
            </w:pPr>
            <w:r>
              <w:t xml:space="preserve">Riwayat asesmen</w:t>
            </w:r>
          </w:p>
        </w:tc>
      </w:tr>
    </w:tbl>
    <w:bookmarkEnd w:id="21"/>
    <w:bookmarkStart w:id="22" w:name="kriteria-berbobot"/>
    <w:p>
      <w:pPr>
        <w:pStyle w:val="Heading2"/>
      </w:pPr>
      <w:r>
        <w:t xml:space="preserve">2.2 Kriteria berbobot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Kriteria</w:t>
            </w:r>
          </w:p>
        </w:tc>
        <w:tc>
          <w:tcPr/>
          <w:p>
            <w:pPr>
              <w:pStyle w:val="Compact"/>
              <w:jc w:val="left"/>
            </w:pPr>
            <w:r>
              <w:t xml:space="preserve">Dimensi</w:t>
            </w:r>
          </w:p>
        </w:tc>
        <w:tc>
          <w:tcPr/>
          <w:p>
            <w:pPr>
              <w:pStyle w:val="Compact"/>
              <w:jc w:val="left"/>
            </w:pPr>
            <w:r>
              <w:t xml:space="preserve">Bobot</w:t>
            </w:r>
          </w:p>
        </w:tc>
        <w:tc>
          <w:tcPr/>
          <w:p>
            <w:pPr>
              <w:pStyle w:val="Compact"/>
              <w:jc w:val="left"/>
            </w:pPr>
            <w:r>
              <w:t xml:space="preserve">Indikator penilaian (skala 1–5)</w:t>
            </w:r>
          </w:p>
        </w:tc>
      </w:tr>
      <w:tr>
        <w:tc>
          <w:tcPr/>
          <w:p>
            <w:pPr>
              <w:pStyle w:val="Compact"/>
              <w:jc w:val="left"/>
            </w:pPr>
            <w:r>
              <w:t xml:space="preserve">K1</w:t>
            </w:r>
          </w:p>
        </w:tc>
        <w:tc>
          <w:tcPr/>
          <w:p>
            <w:pPr>
              <w:pStyle w:val="Compact"/>
              <w:jc w:val="left"/>
            </w:pPr>
            <w:r>
              <w:t xml:space="preserve">Harga &amp; total cost</w:t>
            </w:r>
          </w:p>
        </w:tc>
        <w:tc>
          <w:tcPr/>
          <w:p>
            <w:pPr>
              <w:pStyle w:val="Compact"/>
              <w:jc w:val="left"/>
            </w:pPr>
            <w:r>
              <w:t xml:space="preserve">Biaya</w:t>
            </w:r>
          </w:p>
        </w:tc>
        <w:tc>
          <w:tcPr/>
          <w:p>
            <w:pPr>
              <w:pStyle w:val="Compact"/>
              <w:jc w:val="left"/>
            </w:pPr>
            <w:r>
              <w:t xml:space="preserve">15%</w:t>
            </w:r>
          </w:p>
        </w:tc>
        <w:tc>
          <w:tcPr/>
          <w:p>
            <w:pPr>
              <w:pStyle w:val="Compact"/>
              <w:jc w:val="left"/>
            </w:pPr>
            <w:r>
              <w:t xml:space="preserve">Harga per unit/komponen dan biaya transisi</w:t>
            </w:r>
          </w:p>
        </w:tc>
      </w:tr>
      <w:tr>
        <w:tc>
          <w:tcPr/>
          <w:p>
            <w:pPr>
              <w:pStyle w:val="Compact"/>
              <w:jc w:val="left"/>
            </w:pPr>
            <w:r>
              <w:t xml:space="preserve">K2</w:t>
            </w:r>
          </w:p>
        </w:tc>
        <w:tc>
          <w:tcPr/>
          <w:p>
            <w:pPr>
              <w:pStyle w:val="Compact"/>
              <w:jc w:val="left"/>
            </w:pPr>
            <w:r>
              <w:t xml:space="preserve">Kualitas &amp; yield produksi</w:t>
            </w:r>
          </w:p>
        </w:tc>
        <w:tc>
          <w:tcPr/>
          <w:p>
            <w:pPr>
              <w:pStyle w:val="Compact"/>
              <w:jc w:val="left"/>
            </w:pPr>
            <w:r>
              <w:t xml:space="preserve">Kualitas</w:t>
            </w:r>
          </w:p>
        </w:tc>
        <w:tc>
          <w:tcPr/>
          <w:p>
            <w:pPr>
              <w:pStyle w:val="Compact"/>
              <w:jc w:val="left"/>
            </w:pPr>
            <w:r>
              <w:t xml:space="preserve">15%</w:t>
            </w:r>
          </w:p>
        </w:tc>
        <w:tc>
          <w:tcPr/>
          <w:p>
            <w:pPr>
              <w:pStyle w:val="Compact"/>
              <w:jc w:val="left"/>
            </w:pPr>
            <w:r>
              <w:t xml:space="preserve">Tingkat cacat, yield lini produksi, dan hasil audit mutu</w:t>
            </w:r>
          </w:p>
        </w:tc>
      </w:tr>
      <w:tr>
        <w:tc>
          <w:tcPr/>
          <w:p>
            <w:pPr>
              <w:pStyle w:val="Compact"/>
              <w:jc w:val="left"/>
            </w:pPr>
            <w:r>
              <w:t xml:space="preserve">K3</w:t>
            </w:r>
          </w:p>
        </w:tc>
        <w:tc>
          <w:tcPr/>
          <w:p>
            <w:pPr>
              <w:pStyle w:val="Compact"/>
              <w:jc w:val="left"/>
            </w:pPr>
            <w:r>
              <w:t xml:space="preserve">Kapasitas &amp; ketahanan pasokan</w:t>
            </w:r>
          </w:p>
        </w:tc>
        <w:tc>
          <w:tcPr/>
          <w:p>
            <w:pPr>
              <w:pStyle w:val="Compact"/>
              <w:jc w:val="left"/>
            </w:pPr>
            <w:r>
              <w:t xml:space="preserve">Risiko</w:t>
            </w:r>
          </w:p>
        </w:tc>
        <w:tc>
          <w:tcPr/>
          <w:p>
            <w:pPr>
              <w:pStyle w:val="Compact"/>
              <w:jc w:val="left"/>
            </w:pPr>
            <w:r>
              <w:t xml:space="preserve">10%</w:t>
            </w:r>
          </w:p>
        </w:tc>
        <w:tc>
          <w:tcPr/>
          <w:p>
            <w:pPr>
              <w:pStyle w:val="Compact"/>
              <w:jc w:val="left"/>
            </w:pPr>
            <w:r>
              <w:t xml:space="preserve">Kapasitas volume saat peluncuran, diversifikasi lokasi, dan risiko geopolitik</w:t>
            </w:r>
          </w:p>
        </w:tc>
      </w:tr>
      <w:tr>
        <w:tc>
          <w:tcPr/>
          <w:p>
            <w:pPr>
              <w:pStyle w:val="Compact"/>
              <w:jc w:val="left"/>
            </w:pPr>
            <w:r>
              <w:t xml:space="preserve">K4</w:t>
            </w:r>
          </w:p>
        </w:tc>
        <w:tc>
          <w:tcPr/>
          <w:p>
            <w:pPr>
              <w:pStyle w:val="Compact"/>
              <w:jc w:val="left"/>
            </w:pPr>
            <w:r>
              <w:t xml:space="preserve">Energi terbarukan</w:t>
            </w:r>
          </w:p>
        </w:tc>
        <w:tc>
          <w:tcPr/>
          <w:p>
            <w:pPr>
              <w:pStyle w:val="Compact"/>
              <w:jc w:val="left"/>
            </w:pPr>
            <w:r>
              <w:t xml:space="preserve">Lingkungan</w:t>
            </w:r>
          </w:p>
        </w:tc>
        <w:tc>
          <w:tcPr/>
          <w:p>
            <w:pPr>
              <w:pStyle w:val="Compact"/>
              <w:jc w:val="left"/>
            </w:pPr>
            <w:r>
              <w:t xml:space="preserve">15%</w:t>
            </w:r>
          </w:p>
        </w:tc>
        <w:tc>
          <w:tcPr/>
          <w:p>
            <w:pPr>
              <w:pStyle w:val="Compact"/>
              <w:jc w:val="left"/>
            </w:pPr>
            <w:r>
              <w:t xml:space="preserve">% listrik terbarukan untuk produksi Apple dan komitmen pada Supplier Clean Energy</w:t>
            </w:r>
          </w:p>
        </w:tc>
      </w:tr>
      <w:tr>
        <w:tc>
          <w:tcPr/>
          <w:p>
            <w:pPr>
              <w:pStyle w:val="Compact"/>
              <w:jc w:val="left"/>
            </w:pPr>
            <w:r>
              <w:t xml:space="preserve">K5</w:t>
            </w:r>
          </w:p>
        </w:tc>
        <w:tc>
          <w:tcPr/>
          <w:p>
            <w:pPr>
              <w:pStyle w:val="Compact"/>
              <w:jc w:val="left"/>
            </w:pPr>
            <w:r>
              <w:t xml:space="preserve">Material daur ulang &amp; kepatuhan zat</w:t>
            </w:r>
          </w:p>
        </w:tc>
        <w:tc>
          <w:tcPr/>
          <w:p>
            <w:pPr>
              <w:pStyle w:val="Compact"/>
              <w:jc w:val="left"/>
            </w:pPr>
            <w:r>
              <w:t xml:space="preserve">Lingkungan</w:t>
            </w:r>
          </w:p>
        </w:tc>
        <w:tc>
          <w:tcPr/>
          <w:p>
            <w:pPr>
              <w:pStyle w:val="Compact"/>
              <w:jc w:val="left"/>
            </w:pPr>
            <w:r>
              <w:t xml:space="preserve">15%</w:t>
            </w:r>
          </w:p>
        </w:tc>
        <w:tc>
          <w:tcPr/>
          <w:p>
            <w:pPr>
              <w:pStyle w:val="Compact"/>
              <w:jc w:val="left"/>
            </w:pPr>
            <w:r>
              <w:t xml:space="preserve">% material daur ulang (aluminium, kobalt, emas, timah, tanah jarang) dan kepatuhan zat terbatas</w:t>
            </w:r>
          </w:p>
        </w:tc>
      </w:tr>
      <w:tr>
        <w:tc>
          <w:tcPr/>
          <w:p>
            <w:pPr>
              <w:pStyle w:val="Compact"/>
              <w:jc w:val="left"/>
            </w:pPr>
            <w:r>
              <w:t xml:space="preserve">K6</w:t>
            </w:r>
          </w:p>
        </w:tc>
        <w:tc>
          <w:tcPr/>
          <w:p>
            <w:pPr>
              <w:pStyle w:val="Compact"/>
              <w:jc w:val="left"/>
            </w:pPr>
            <w:r>
              <w:t xml:space="preserve">Limbah &amp; air</w:t>
            </w:r>
          </w:p>
        </w:tc>
        <w:tc>
          <w:tcPr/>
          <w:p>
            <w:pPr>
              <w:pStyle w:val="Compact"/>
              <w:jc w:val="left"/>
            </w:pPr>
            <w:r>
              <w:t xml:space="preserve">Lingkungan</w:t>
            </w:r>
          </w:p>
        </w:tc>
        <w:tc>
          <w:tcPr/>
          <w:p>
            <w:pPr>
              <w:pStyle w:val="Compact"/>
              <w:jc w:val="left"/>
            </w:pPr>
            <w:r>
              <w:t xml:space="preserve">10%</w:t>
            </w:r>
          </w:p>
        </w:tc>
        <w:tc>
          <w:tcPr/>
          <w:p>
            <w:pPr>
              <w:pStyle w:val="Compact"/>
              <w:jc w:val="left"/>
            </w:pPr>
            <w:r>
              <w:t xml:space="preserve">Status Zero Waste (pengalihan dari TPA) dan skor efisiensi air</w:t>
            </w:r>
          </w:p>
        </w:tc>
      </w:tr>
      <w:tr>
        <w:tc>
          <w:tcPr/>
          <w:p>
            <w:pPr>
              <w:pStyle w:val="Compact"/>
              <w:jc w:val="left"/>
            </w:pPr>
            <w:r>
              <w:t xml:space="preserve">K7</w:t>
            </w:r>
          </w:p>
        </w:tc>
        <w:tc>
          <w:tcPr/>
          <w:p>
            <w:pPr>
              <w:pStyle w:val="Compact"/>
              <w:jc w:val="left"/>
            </w:pPr>
            <w:r>
              <w:t xml:space="preserve">Transparansi data</w:t>
            </w:r>
          </w:p>
        </w:tc>
        <w:tc>
          <w:tcPr/>
          <w:p>
            <w:pPr>
              <w:pStyle w:val="Compact"/>
              <w:jc w:val="left"/>
            </w:pPr>
            <w:r>
              <w:t xml:space="preserve">Kolaborasi</w:t>
            </w:r>
          </w:p>
        </w:tc>
        <w:tc>
          <w:tcPr/>
          <w:p>
            <w:pPr>
              <w:pStyle w:val="Compact"/>
              <w:jc w:val="left"/>
            </w:pPr>
            <w:r>
              <w:t xml:space="preserve">10%</w:t>
            </w:r>
          </w:p>
        </w:tc>
        <w:tc>
          <w:tcPr/>
          <w:p>
            <w:pPr>
              <w:pStyle w:val="Compact"/>
              <w:jc w:val="left"/>
            </w:pPr>
            <w:r>
              <w:t xml:space="preserve">Pelaporan energi, emisi, air, dan limbah yang tepat waktu dan diverifikasi pihak ketiga</w:t>
            </w:r>
          </w:p>
        </w:tc>
      </w:tr>
      <w:tr>
        <w:tc>
          <w:tcPr/>
          <w:p>
            <w:pPr>
              <w:pStyle w:val="Compact"/>
              <w:jc w:val="left"/>
            </w:pPr>
            <w:r>
              <w:t xml:space="preserve">K8</w:t>
            </w:r>
          </w:p>
        </w:tc>
        <w:tc>
          <w:tcPr/>
          <w:p>
            <w:pPr>
              <w:pStyle w:val="Compact"/>
              <w:jc w:val="left"/>
            </w:pPr>
            <w:r>
              <w:t xml:space="preserve">Kapasitas &amp; kemauan berkembang</w:t>
            </w:r>
          </w:p>
        </w:tc>
        <w:tc>
          <w:tcPr/>
          <w:p>
            <w:pPr>
              <w:pStyle w:val="Compact"/>
              <w:jc w:val="left"/>
            </w:pPr>
            <w:r>
              <w:t xml:space="preserve">Kapasitas</w:t>
            </w:r>
          </w:p>
        </w:tc>
        <w:tc>
          <w:tcPr/>
          <w:p>
            <w:pPr>
              <w:pStyle w:val="Compact"/>
              <w:jc w:val="left"/>
            </w:pPr>
            <w:r>
              <w:t xml:space="preserve">10%</w:t>
            </w:r>
          </w:p>
        </w:tc>
        <w:tc>
          <w:tcPr/>
          <w:p>
            <w:pPr>
              <w:pStyle w:val="Compact"/>
              <w:jc w:val="left"/>
            </w:pPr>
            <w:r>
              <w:t xml:space="preserve">Partisipasi dalam pelatihan, rencana dekarbonisasi tertulis, dan kecepatan menutup temuan</w:t>
            </w:r>
          </w:p>
        </w:tc>
      </w:tr>
      <w:tr>
        <w:tc>
          <w:tcPr/>
          <w:p>
            <w:pPr>
              <w:pStyle w:val="Compact"/>
            </w:pPr>
          </w:p>
        </w:tc>
        <w:tc>
          <w:tcPr/>
          <w:p>
            <w:pPr>
              <w:pStyle w:val="Compact"/>
              <w:jc w:val="left"/>
            </w:pPr>
            <w:r>
              <w:rPr>
                <w:bCs/>
                <w:b/>
              </w:rPr>
              <w:t xml:space="preserve">Total</w:t>
            </w:r>
          </w:p>
        </w:tc>
        <w:tc>
          <w:tcPr/>
          <w:p>
            <w:pPr>
              <w:pStyle w:val="Compact"/>
            </w:pPr>
          </w:p>
        </w:tc>
        <w:tc>
          <w:tcPr/>
          <w:p>
            <w:pPr>
              <w:pStyle w:val="Compact"/>
              <w:jc w:val="left"/>
            </w:pPr>
            <w:r>
              <w:rPr>
                <w:bCs/>
                <w:b/>
              </w:rPr>
              <w:t xml:space="preserve">100%</w:t>
            </w:r>
          </w:p>
        </w:tc>
        <w:tc>
          <w:tcPr/>
          <w:p>
            <w:pPr>
              <w:pStyle w:val="Compact"/>
            </w:pPr>
          </w:p>
        </w:tc>
      </w:tr>
    </w:tbl>
    <w:p>
      <w:pPr>
        <w:pStyle w:val="BodyText"/>
      </w:pPr>
      <w:r>
        <w:t xml:space="preserve">Bobot lingkungan langsung (K4 + K5 + K6) berjumlah</w:t>
      </w:r>
      <w:r>
        <w:t xml:space="preserve"> </w:t>
      </w:r>
      <w:r>
        <w:rPr>
          <w:bCs/>
          <w:b/>
        </w:rPr>
        <w:t xml:space="preserve">40%</w:t>
      </w:r>
      <w:r>
        <w:t xml:space="preserve">, sedangkan biaya, kualitas, dan risiko (K1 + K2 + K3) berjumlah</w:t>
      </w:r>
      <w:r>
        <w:t xml:space="preserve"> </w:t>
      </w:r>
      <w:r>
        <w:rPr>
          <w:bCs/>
          <w:b/>
        </w:rPr>
        <w:t xml:space="preserve">40%</w:t>
      </w:r>
      <w:r>
        <w:t xml:space="preserve">. Pada produk seperti iPhone, kualitas dan kapasitas saat peluncuran tidak bisa dikorbankan. Karena itu, porsi biaya relatif kecil (15%) dibanding kualitas dan risiko. K7 dan K8 diberi bobot 20% karena target 2030 hanya bisa dicapai jika pemasok mau dan mampu berubah, serta melaporkan kemajuannya secara jujur (Vachon &amp; Klassen, 2006).</w:t>
      </w:r>
    </w:p>
    <w:bookmarkEnd w:id="22"/>
    <w:bookmarkEnd w:id="23"/>
    <w:bookmarkStart w:id="24" w:name="supplier-criteria-matrix-keluaran-1"/>
    <w:p>
      <w:pPr>
        <w:pStyle w:val="Heading1"/>
      </w:pPr>
      <w:r>
        <w:t xml:space="preserve">3. Supplier Criteria Matrix (Keluaran 1)</w:t>
      </w:r>
    </w:p>
    <w:p>
      <w:pPr>
        <w:pStyle w:val="FirstParagraph"/>
      </w:pPr>
      <w:r>
        <w:t xml:space="preserve">Ketiga arketipe pemasok lolos gerbang G1–G4:</w:t>
      </w:r>
    </w:p>
    <w:p>
      <w:pPr>
        <w:numPr>
          <w:ilvl w:val="0"/>
          <w:numId w:val="1002"/>
        </w:numPr>
        <w:pStyle w:val="Compact"/>
      </w:pPr>
      <w:r>
        <w:rPr>
          <w:bCs/>
          <w:b/>
        </w:rPr>
        <w:t xml:space="preserve">Pemasok X</w:t>
      </w:r>
      <w:r>
        <w:t xml:space="preserve">: perusahaan EMS (perakit) besar yang sudah lama bermitra di Tiongkok. Pemasok ini sudah berkomitmen pada Supplier Clean Energy dan fasilitasnya bersertifikat Zero Waste.</w:t>
      </w:r>
    </w:p>
    <w:p>
      <w:pPr>
        <w:numPr>
          <w:ilvl w:val="0"/>
          <w:numId w:val="1002"/>
        </w:numPr>
        <w:pStyle w:val="Compact"/>
      </w:pPr>
      <w:r>
        <w:rPr>
          <w:bCs/>
          <w:b/>
        </w:rPr>
        <w:t xml:space="preserve">Pemasok Y</w:t>
      </w:r>
      <w:r>
        <w:t xml:space="preserve">: perakit baru di India yang menjadi bagian dari strategi diversifikasi lokasi produksi. Kapasitasnya terus tumbuh, tetapi akses listrik terbarukannya masih terbatas.</w:t>
      </w:r>
    </w:p>
    <w:p>
      <w:pPr>
        <w:numPr>
          <w:ilvl w:val="0"/>
          <w:numId w:val="1002"/>
        </w:numPr>
        <w:pStyle w:val="Compact"/>
      </w:pPr>
      <w:r>
        <w:rPr>
          <w:bCs/>
          <w:b/>
        </w:rPr>
        <w:t xml:space="preserve">Pemasok Z</w:t>
      </w:r>
      <w:r>
        <w:t xml:space="preserve">: pemasok komponen tier-2 (misalnya casing atau sub-komponen baterai) dengan harga termurah. Pemasok ini belum berkomitmen pada energi terbarukan dan data lingkungannya minim.</w:t>
      </w:r>
    </w:p>
    <w:p>
      <w:pPr>
        <w:pStyle w:val="FirstParagraph"/>
      </w:pPr>
      <w:r>
        <w:t xml:space="preserve">Skor tertimbang = Σ (bobot × skor) ÷ 5, dinyatakan dalam skala 0–100.</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Kriteria</w:t>
            </w:r>
          </w:p>
        </w:tc>
        <w:tc>
          <w:tcPr/>
          <w:p>
            <w:pPr>
              <w:pStyle w:val="Compact"/>
              <w:jc w:val="left"/>
            </w:pPr>
            <w:r>
              <w:t xml:space="preserve">Bobot</w:t>
            </w:r>
          </w:p>
        </w:tc>
        <w:tc>
          <w:tcPr/>
          <w:p>
            <w:pPr>
              <w:pStyle w:val="Compact"/>
              <w:jc w:val="left"/>
            </w:pPr>
            <w:r>
              <w:t xml:space="preserve">X skor</w:t>
            </w:r>
          </w:p>
        </w:tc>
        <w:tc>
          <w:tcPr/>
          <w:p>
            <w:pPr>
              <w:pStyle w:val="Compact"/>
              <w:jc w:val="left"/>
            </w:pPr>
            <w:r>
              <w:t xml:space="preserve">X nilai</w:t>
            </w:r>
          </w:p>
        </w:tc>
        <w:tc>
          <w:tcPr/>
          <w:p>
            <w:pPr>
              <w:pStyle w:val="Compact"/>
              <w:jc w:val="left"/>
            </w:pPr>
            <w:r>
              <w:t xml:space="preserve">Y skor</w:t>
            </w:r>
          </w:p>
        </w:tc>
        <w:tc>
          <w:tcPr/>
          <w:p>
            <w:pPr>
              <w:pStyle w:val="Compact"/>
              <w:jc w:val="left"/>
            </w:pPr>
            <w:r>
              <w:t xml:space="preserve">Y nilai</w:t>
            </w:r>
          </w:p>
        </w:tc>
        <w:tc>
          <w:tcPr/>
          <w:p>
            <w:pPr>
              <w:pStyle w:val="Compact"/>
              <w:jc w:val="left"/>
            </w:pPr>
            <w:r>
              <w:t xml:space="preserve">Z skor</w:t>
            </w:r>
          </w:p>
        </w:tc>
        <w:tc>
          <w:tcPr/>
          <w:p>
            <w:pPr>
              <w:pStyle w:val="Compact"/>
              <w:jc w:val="left"/>
            </w:pPr>
            <w:r>
              <w:t xml:space="preserve">Z nilai</w:t>
            </w:r>
          </w:p>
        </w:tc>
      </w:tr>
      <w:tr>
        <w:tc>
          <w:tcPr/>
          <w:p>
            <w:pPr>
              <w:pStyle w:val="Compact"/>
              <w:jc w:val="left"/>
            </w:pPr>
            <w:r>
              <w:t xml:space="preserve">K1 Harga &amp; total cost</w:t>
            </w:r>
          </w:p>
        </w:tc>
        <w:tc>
          <w:tcPr/>
          <w:p>
            <w:pPr>
              <w:pStyle w:val="Compact"/>
              <w:jc w:val="left"/>
            </w:pPr>
            <w:r>
              <w:t xml:space="preserve">15</w:t>
            </w:r>
          </w:p>
        </w:tc>
        <w:tc>
          <w:tcPr/>
          <w:p>
            <w:pPr>
              <w:pStyle w:val="Compact"/>
              <w:jc w:val="left"/>
            </w:pPr>
            <w:r>
              <w:t xml:space="preserve">3</w:t>
            </w:r>
          </w:p>
        </w:tc>
        <w:tc>
          <w:tcPr/>
          <w:p>
            <w:pPr>
              <w:pStyle w:val="Compact"/>
              <w:jc w:val="left"/>
            </w:pPr>
            <w:r>
              <w:t xml:space="preserve">9,0</w:t>
            </w:r>
          </w:p>
        </w:tc>
        <w:tc>
          <w:tcPr/>
          <w:p>
            <w:pPr>
              <w:pStyle w:val="Compact"/>
              <w:jc w:val="left"/>
            </w:pPr>
            <w:r>
              <w:t xml:space="preserve">4</w:t>
            </w:r>
          </w:p>
        </w:tc>
        <w:tc>
          <w:tcPr/>
          <w:p>
            <w:pPr>
              <w:pStyle w:val="Compact"/>
              <w:jc w:val="left"/>
            </w:pPr>
            <w:r>
              <w:t xml:space="preserve">12,0</w:t>
            </w:r>
          </w:p>
        </w:tc>
        <w:tc>
          <w:tcPr/>
          <w:p>
            <w:pPr>
              <w:pStyle w:val="Compact"/>
              <w:jc w:val="left"/>
            </w:pPr>
            <w:r>
              <w:t xml:space="preserve">5</w:t>
            </w:r>
          </w:p>
        </w:tc>
        <w:tc>
          <w:tcPr/>
          <w:p>
            <w:pPr>
              <w:pStyle w:val="Compact"/>
              <w:jc w:val="left"/>
            </w:pPr>
            <w:r>
              <w:t xml:space="preserve">15,0</w:t>
            </w:r>
          </w:p>
        </w:tc>
      </w:tr>
      <w:tr>
        <w:tc>
          <w:tcPr/>
          <w:p>
            <w:pPr>
              <w:pStyle w:val="Compact"/>
              <w:jc w:val="left"/>
            </w:pPr>
            <w:r>
              <w:t xml:space="preserve">K2 Kualitas &amp; yield</w:t>
            </w:r>
          </w:p>
        </w:tc>
        <w:tc>
          <w:tcPr/>
          <w:p>
            <w:pPr>
              <w:pStyle w:val="Compact"/>
              <w:jc w:val="left"/>
            </w:pPr>
            <w:r>
              <w:t xml:space="preserve">15</w:t>
            </w:r>
          </w:p>
        </w:tc>
        <w:tc>
          <w:tcPr/>
          <w:p>
            <w:pPr>
              <w:pStyle w:val="Compact"/>
              <w:jc w:val="left"/>
            </w:pPr>
            <w:r>
              <w:t xml:space="preserve">5</w:t>
            </w:r>
          </w:p>
        </w:tc>
        <w:tc>
          <w:tcPr/>
          <w:p>
            <w:pPr>
              <w:pStyle w:val="Compact"/>
              <w:jc w:val="left"/>
            </w:pPr>
            <w:r>
              <w:t xml:space="preserve">15,0</w:t>
            </w:r>
          </w:p>
        </w:tc>
        <w:tc>
          <w:tcPr/>
          <w:p>
            <w:pPr>
              <w:pStyle w:val="Compact"/>
              <w:jc w:val="left"/>
            </w:pPr>
            <w:r>
              <w:t xml:space="preserve">3</w:t>
            </w:r>
          </w:p>
        </w:tc>
        <w:tc>
          <w:tcPr/>
          <w:p>
            <w:pPr>
              <w:pStyle w:val="Compact"/>
              <w:jc w:val="left"/>
            </w:pPr>
            <w:r>
              <w:t xml:space="preserve">9,0</w:t>
            </w:r>
          </w:p>
        </w:tc>
        <w:tc>
          <w:tcPr/>
          <w:p>
            <w:pPr>
              <w:pStyle w:val="Compact"/>
              <w:jc w:val="left"/>
            </w:pPr>
            <w:r>
              <w:t xml:space="preserve">3</w:t>
            </w:r>
          </w:p>
        </w:tc>
        <w:tc>
          <w:tcPr/>
          <w:p>
            <w:pPr>
              <w:pStyle w:val="Compact"/>
              <w:jc w:val="left"/>
            </w:pPr>
            <w:r>
              <w:t xml:space="preserve">9,0</w:t>
            </w:r>
          </w:p>
        </w:tc>
      </w:tr>
      <w:tr>
        <w:tc>
          <w:tcPr/>
          <w:p>
            <w:pPr>
              <w:pStyle w:val="Compact"/>
              <w:jc w:val="left"/>
            </w:pPr>
            <w:r>
              <w:t xml:space="preserve">K3 Kapasitas &amp; ketahanan</w:t>
            </w:r>
          </w:p>
        </w:tc>
        <w:tc>
          <w:tcPr/>
          <w:p>
            <w:pPr>
              <w:pStyle w:val="Compact"/>
              <w:jc w:val="left"/>
            </w:pPr>
            <w:r>
              <w:t xml:space="preserve">10</w:t>
            </w:r>
          </w:p>
        </w:tc>
        <w:tc>
          <w:tcPr/>
          <w:p>
            <w:pPr>
              <w:pStyle w:val="Compact"/>
              <w:jc w:val="left"/>
            </w:pPr>
            <w:r>
              <w:t xml:space="preserve">4</w:t>
            </w:r>
          </w:p>
        </w:tc>
        <w:tc>
          <w:tcPr/>
          <w:p>
            <w:pPr>
              <w:pStyle w:val="Compact"/>
              <w:jc w:val="left"/>
            </w:pPr>
            <w:r>
              <w:t xml:space="preserve">8,0</w:t>
            </w:r>
          </w:p>
        </w:tc>
        <w:tc>
          <w:tcPr/>
          <w:p>
            <w:pPr>
              <w:pStyle w:val="Compact"/>
              <w:jc w:val="left"/>
            </w:pPr>
            <w:r>
              <w:t xml:space="preserve">3</w:t>
            </w:r>
          </w:p>
        </w:tc>
        <w:tc>
          <w:tcPr/>
          <w:p>
            <w:pPr>
              <w:pStyle w:val="Compact"/>
              <w:jc w:val="left"/>
            </w:pPr>
            <w:r>
              <w:t xml:space="preserve">6,0</w:t>
            </w:r>
          </w:p>
        </w:tc>
        <w:tc>
          <w:tcPr/>
          <w:p>
            <w:pPr>
              <w:pStyle w:val="Compact"/>
              <w:jc w:val="left"/>
            </w:pPr>
            <w:r>
              <w:t xml:space="preserve">3</w:t>
            </w:r>
          </w:p>
        </w:tc>
        <w:tc>
          <w:tcPr/>
          <w:p>
            <w:pPr>
              <w:pStyle w:val="Compact"/>
              <w:jc w:val="left"/>
            </w:pPr>
            <w:r>
              <w:t xml:space="preserve">6,0</w:t>
            </w:r>
          </w:p>
        </w:tc>
      </w:tr>
      <w:tr>
        <w:tc>
          <w:tcPr/>
          <w:p>
            <w:pPr>
              <w:pStyle w:val="Compact"/>
              <w:jc w:val="left"/>
            </w:pPr>
            <w:r>
              <w:t xml:space="preserve">K4 Energi terbarukan</w:t>
            </w:r>
          </w:p>
        </w:tc>
        <w:tc>
          <w:tcPr/>
          <w:p>
            <w:pPr>
              <w:pStyle w:val="Compact"/>
              <w:jc w:val="left"/>
            </w:pPr>
            <w:r>
              <w:t xml:space="preserve">15</w:t>
            </w:r>
          </w:p>
        </w:tc>
        <w:tc>
          <w:tcPr/>
          <w:p>
            <w:pPr>
              <w:pStyle w:val="Compact"/>
              <w:jc w:val="left"/>
            </w:pPr>
            <w:r>
              <w:t xml:space="preserve">4</w:t>
            </w:r>
          </w:p>
        </w:tc>
        <w:tc>
          <w:tcPr/>
          <w:p>
            <w:pPr>
              <w:pStyle w:val="Compact"/>
              <w:jc w:val="left"/>
            </w:pPr>
            <w:r>
              <w:t xml:space="preserve">12,0</w:t>
            </w:r>
          </w:p>
        </w:tc>
        <w:tc>
          <w:tcPr/>
          <w:p>
            <w:pPr>
              <w:pStyle w:val="Compact"/>
              <w:jc w:val="left"/>
            </w:pPr>
            <w:r>
              <w:t xml:space="preserve">2</w:t>
            </w:r>
          </w:p>
        </w:tc>
        <w:tc>
          <w:tcPr/>
          <w:p>
            <w:pPr>
              <w:pStyle w:val="Compact"/>
              <w:jc w:val="left"/>
            </w:pPr>
            <w:r>
              <w:t xml:space="preserve">6,0</w:t>
            </w:r>
          </w:p>
        </w:tc>
        <w:tc>
          <w:tcPr/>
          <w:p>
            <w:pPr>
              <w:pStyle w:val="Compact"/>
              <w:jc w:val="left"/>
            </w:pPr>
            <w:r>
              <w:t xml:space="preserve">1</w:t>
            </w:r>
          </w:p>
        </w:tc>
        <w:tc>
          <w:tcPr/>
          <w:p>
            <w:pPr>
              <w:pStyle w:val="Compact"/>
              <w:jc w:val="left"/>
            </w:pPr>
            <w:r>
              <w:t xml:space="preserve">3,0</w:t>
            </w:r>
          </w:p>
        </w:tc>
      </w:tr>
      <w:tr>
        <w:tc>
          <w:tcPr/>
          <w:p>
            <w:pPr>
              <w:pStyle w:val="Compact"/>
              <w:jc w:val="left"/>
            </w:pPr>
            <w:r>
              <w:t xml:space="preserve">K5 Material daur ulang &amp; zat</w:t>
            </w:r>
          </w:p>
        </w:tc>
        <w:tc>
          <w:tcPr/>
          <w:p>
            <w:pPr>
              <w:pStyle w:val="Compact"/>
              <w:jc w:val="left"/>
            </w:pPr>
            <w:r>
              <w:t xml:space="preserve">15</w:t>
            </w:r>
          </w:p>
        </w:tc>
        <w:tc>
          <w:tcPr/>
          <w:p>
            <w:pPr>
              <w:pStyle w:val="Compact"/>
              <w:jc w:val="left"/>
            </w:pPr>
            <w:r>
              <w:t xml:space="preserve">4</w:t>
            </w:r>
          </w:p>
        </w:tc>
        <w:tc>
          <w:tcPr/>
          <w:p>
            <w:pPr>
              <w:pStyle w:val="Compact"/>
              <w:jc w:val="left"/>
            </w:pPr>
            <w:r>
              <w:t xml:space="preserve">12,0</w:t>
            </w:r>
          </w:p>
        </w:tc>
        <w:tc>
          <w:tcPr/>
          <w:p>
            <w:pPr>
              <w:pStyle w:val="Compact"/>
              <w:jc w:val="left"/>
            </w:pPr>
            <w:r>
              <w:t xml:space="preserve">3</w:t>
            </w:r>
          </w:p>
        </w:tc>
        <w:tc>
          <w:tcPr/>
          <w:p>
            <w:pPr>
              <w:pStyle w:val="Compact"/>
              <w:jc w:val="left"/>
            </w:pPr>
            <w:r>
              <w:t xml:space="preserve">9,0</w:t>
            </w:r>
          </w:p>
        </w:tc>
        <w:tc>
          <w:tcPr/>
          <w:p>
            <w:pPr>
              <w:pStyle w:val="Compact"/>
              <w:jc w:val="left"/>
            </w:pPr>
            <w:r>
              <w:t xml:space="preserve">2</w:t>
            </w:r>
          </w:p>
        </w:tc>
        <w:tc>
          <w:tcPr/>
          <w:p>
            <w:pPr>
              <w:pStyle w:val="Compact"/>
              <w:jc w:val="left"/>
            </w:pPr>
            <w:r>
              <w:t xml:space="preserve">6,0</w:t>
            </w:r>
          </w:p>
        </w:tc>
      </w:tr>
      <w:tr>
        <w:tc>
          <w:tcPr/>
          <w:p>
            <w:pPr>
              <w:pStyle w:val="Compact"/>
              <w:jc w:val="left"/>
            </w:pPr>
            <w:r>
              <w:t xml:space="preserve">K6 Limbah &amp; air</w:t>
            </w:r>
          </w:p>
        </w:tc>
        <w:tc>
          <w:tcPr/>
          <w:p>
            <w:pPr>
              <w:pStyle w:val="Compact"/>
              <w:jc w:val="left"/>
            </w:pPr>
            <w:r>
              <w:t xml:space="preserve">10</w:t>
            </w:r>
          </w:p>
        </w:tc>
        <w:tc>
          <w:tcPr/>
          <w:p>
            <w:pPr>
              <w:pStyle w:val="Compact"/>
              <w:jc w:val="left"/>
            </w:pPr>
            <w:r>
              <w:t xml:space="preserve">5</w:t>
            </w:r>
          </w:p>
        </w:tc>
        <w:tc>
          <w:tcPr/>
          <w:p>
            <w:pPr>
              <w:pStyle w:val="Compact"/>
              <w:jc w:val="left"/>
            </w:pPr>
            <w:r>
              <w:t xml:space="preserve">10,0</w:t>
            </w:r>
          </w:p>
        </w:tc>
        <w:tc>
          <w:tcPr/>
          <w:p>
            <w:pPr>
              <w:pStyle w:val="Compact"/>
              <w:jc w:val="left"/>
            </w:pPr>
            <w:r>
              <w:t xml:space="preserve">2</w:t>
            </w:r>
          </w:p>
        </w:tc>
        <w:tc>
          <w:tcPr/>
          <w:p>
            <w:pPr>
              <w:pStyle w:val="Compact"/>
              <w:jc w:val="left"/>
            </w:pPr>
            <w:r>
              <w:t xml:space="preserve">4,0</w:t>
            </w:r>
          </w:p>
        </w:tc>
        <w:tc>
          <w:tcPr/>
          <w:p>
            <w:pPr>
              <w:pStyle w:val="Compact"/>
              <w:jc w:val="left"/>
            </w:pPr>
            <w:r>
              <w:t xml:space="preserve">1</w:t>
            </w:r>
          </w:p>
        </w:tc>
        <w:tc>
          <w:tcPr/>
          <w:p>
            <w:pPr>
              <w:pStyle w:val="Compact"/>
              <w:jc w:val="left"/>
            </w:pPr>
            <w:r>
              <w:t xml:space="preserve">2,0</w:t>
            </w:r>
          </w:p>
        </w:tc>
      </w:tr>
      <w:tr>
        <w:tc>
          <w:tcPr/>
          <w:p>
            <w:pPr>
              <w:pStyle w:val="Compact"/>
              <w:jc w:val="left"/>
            </w:pPr>
            <w:r>
              <w:t xml:space="preserve">K7 Transparansi data</w:t>
            </w:r>
          </w:p>
        </w:tc>
        <w:tc>
          <w:tcPr/>
          <w:p>
            <w:pPr>
              <w:pStyle w:val="Compact"/>
              <w:jc w:val="left"/>
            </w:pPr>
            <w:r>
              <w:t xml:space="preserve">10</w:t>
            </w:r>
          </w:p>
        </w:tc>
        <w:tc>
          <w:tcPr/>
          <w:p>
            <w:pPr>
              <w:pStyle w:val="Compact"/>
              <w:jc w:val="left"/>
            </w:pPr>
            <w:r>
              <w:t xml:space="preserve">5</w:t>
            </w:r>
          </w:p>
        </w:tc>
        <w:tc>
          <w:tcPr/>
          <w:p>
            <w:pPr>
              <w:pStyle w:val="Compact"/>
              <w:jc w:val="left"/>
            </w:pPr>
            <w:r>
              <w:t xml:space="preserve">10,0</w:t>
            </w:r>
          </w:p>
        </w:tc>
        <w:tc>
          <w:tcPr/>
          <w:p>
            <w:pPr>
              <w:pStyle w:val="Compact"/>
              <w:jc w:val="left"/>
            </w:pPr>
            <w:r>
              <w:t xml:space="preserve">2</w:t>
            </w:r>
          </w:p>
        </w:tc>
        <w:tc>
          <w:tcPr/>
          <w:p>
            <w:pPr>
              <w:pStyle w:val="Compact"/>
              <w:jc w:val="left"/>
            </w:pPr>
            <w:r>
              <w:t xml:space="preserve">4,0</w:t>
            </w:r>
          </w:p>
        </w:tc>
        <w:tc>
          <w:tcPr/>
          <w:p>
            <w:pPr>
              <w:pStyle w:val="Compact"/>
              <w:jc w:val="left"/>
            </w:pPr>
            <w:r>
              <w:t xml:space="preserve">1</w:t>
            </w:r>
          </w:p>
        </w:tc>
        <w:tc>
          <w:tcPr/>
          <w:p>
            <w:pPr>
              <w:pStyle w:val="Compact"/>
              <w:jc w:val="left"/>
            </w:pPr>
            <w:r>
              <w:t xml:space="preserve">2,0</w:t>
            </w:r>
          </w:p>
        </w:tc>
      </w:tr>
      <w:tr>
        <w:tc>
          <w:tcPr/>
          <w:p>
            <w:pPr>
              <w:pStyle w:val="Compact"/>
              <w:jc w:val="left"/>
            </w:pPr>
            <w:r>
              <w:t xml:space="preserve">K8 Kapasitas berkembang</w:t>
            </w:r>
          </w:p>
        </w:tc>
        <w:tc>
          <w:tcPr/>
          <w:p>
            <w:pPr>
              <w:pStyle w:val="Compact"/>
              <w:jc w:val="left"/>
            </w:pPr>
            <w:r>
              <w:t xml:space="preserve">10</w:t>
            </w:r>
          </w:p>
        </w:tc>
        <w:tc>
          <w:tcPr/>
          <w:p>
            <w:pPr>
              <w:pStyle w:val="Compact"/>
              <w:jc w:val="left"/>
            </w:pPr>
            <w:r>
              <w:t xml:space="preserve">3</w:t>
            </w:r>
          </w:p>
        </w:tc>
        <w:tc>
          <w:tcPr/>
          <w:p>
            <w:pPr>
              <w:pStyle w:val="Compact"/>
              <w:jc w:val="left"/>
            </w:pPr>
            <w:r>
              <w:t xml:space="preserve">6,0</w:t>
            </w:r>
          </w:p>
        </w:tc>
        <w:tc>
          <w:tcPr/>
          <w:p>
            <w:pPr>
              <w:pStyle w:val="Compact"/>
              <w:jc w:val="left"/>
            </w:pPr>
            <w:r>
              <w:t xml:space="preserve">5</w:t>
            </w:r>
          </w:p>
        </w:tc>
        <w:tc>
          <w:tcPr/>
          <w:p>
            <w:pPr>
              <w:pStyle w:val="Compact"/>
              <w:jc w:val="left"/>
            </w:pPr>
            <w:r>
              <w:t xml:space="preserve">10,0</w:t>
            </w:r>
          </w:p>
        </w:tc>
        <w:tc>
          <w:tcPr/>
          <w:p>
            <w:pPr>
              <w:pStyle w:val="Compact"/>
              <w:jc w:val="left"/>
            </w:pPr>
            <w:r>
              <w:t xml:space="preserve">2</w:t>
            </w:r>
          </w:p>
        </w:tc>
        <w:tc>
          <w:tcPr/>
          <w:p>
            <w:pPr>
              <w:pStyle w:val="Compact"/>
              <w:jc w:val="left"/>
            </w:pPr>
            <w:r>
              <w:t xml:space="preserve">4,0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pPr>
          </w:p>
        </w:tc>
        <w:tc>
          <w:tcPr/>
          <w:p>
            <w:pPr>
              <w:pStyle w:val="Compact"/>
              <w:jc w:val="left"/>
            </w:pPr>
            <w:r>
              <w:rPr>
                <w:bCs/>
                <w:b/>
              </w:rPr>
              <w:t xml:space="preserve">82,0</w:t>
            </w:r>
          </w:p>
        </w:tc>
        <w:tc>
          <w:tcPr/>
          <w:p>
            <w:pPr>
              <w:pStyle w:val="Compact"/>
            </w:pPr>
          </w:p>
        </w:tc>
        <w:tc>
          <w:tcPr/>
          <w:p>
            <w:pPr>
              <w:pStyle w:val="Compact"/>
              <w:jc w:val="left"/>
            </w:pPr>
            <w:r>
              <w:rPr>
                <w:bCs/>
                <w:b/>
              </w:rPr>
              <w:t xml:space="preserve">60,0</w:t>
            </w:r>
          </w:p>
        </w:tc>
        <w:tc>
          <w:tcPr/>
          <w:p>
            <w:pPr>
              <w:pStyle w:val="Compact"/>
            </w:pPr>
          </w:p>
        </w:tc>
        <w:tc>
          <w:tcPr/>
          <w:p>
            <w:pPr>
              <w:pStyle w:val="Compact"/>
              <w:jc w:val="left"/>
            </w:pPr>
            <w:r>
              <w:rPr>
                <w:bCs/>
                <w:b/>
              </w:rPr>
              <w:t xml:space="preserve">47,0</w:t>
            </w:r>
          </w:p>
        </w:tc>
      </w:tr>
    </w:tbl>
    <w:p>
      <w:pPr>
        <w:pStyle w:val="BodyText"/>
      </w:pPr>
      <w:r>
        <w:rPr>
          <w:bCs/>
          <w:b/>
        </w:rPr>
        <w:t xml:space="preserve">Aturan keputusan: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Rentang skor</w:t>
            </w:r>
          </w:p>
        </w:tc>
        <w:tc>
          <w:tcPr/>
          <w:p>
            <w:pPr>
              <w:pStyle w:val="Compact"/>
              <w:jc w:val="left"/>
            </w:pPr>
            <w:r>
              <w:t xml:space="preserve">Status</w:t>
            </w:r>
          </w:p>
        </w:tc>
        <w:tc>
          <w:tcPr/>
          <w:p>
            <w:pPr>
              <w:pStyle w:val="Compact"/>
              <w:jc w:val="left"/>
            </w:pPr>
            <w:r>
              <w:t xml:space="preserve">Konsekuensi</w:t>
            </w:r>
          </w:p>
        </w:tc>
      </w:tr>
      <w:tr>
        <w:tc>
          <w:tcPr/>
          <w:p>
            <w:pPr>
              <w:pStyle w:val="Compact"/>
              <w:jc w:val="left"/>
            </w:pPr>
            <w:r>
              <w:t xml:space="preserve">≥ 70</w:t>
            </w:r>
          </w:p>
        </w:tc>
        <w:tc>
          <w:tcPr/>
          <w:p>
            <w:pPr>
              <w:pStyle w:val="Compact"/>
              <w:jc w:val="left"/>
            </w:pPr>
            <w:r>
              <w:rPr>
                <w:iCs/>
                <w:i/>
              </w:rPr>
              <w:t xml:space="preserve">Preferred</w:t>
            </w:r>
          </w:p>
        </w:tc>
        <w:tc>
          <w:tcPr/>
          <w:p>
            <w:pPr>
              <w:pStyle w:val="Compact"/>
              <w:jc w:val="left"/>
            </w:pPr>
            <w:r>
              <w:t xml:space="preserve">Alokasi volume penuh, prioritas untuk model iPhone baru</w:t>
            </w:r>
          </w:p>
        </w:tc>
      </w:tr>
      <w:tr>
        <w:tc>
          <w:tcPr/>
          <w:p>
            <w:pPr>
              <w:pStyle w:val="Compact"/>
              <w:jc w:val="left"/>
            </w:pPr>
            <w:r>
              <w:t xml:space="preserve">55–69</w:t>
            </w:r>
          </w:p>
        </w:tc>
        <w:tc>
          <w:tcPr/>
          <w:p>
            <w:pPr>
              <w:pStyle w:val="Compact"/>
              <w:jc w:val="left"/>
            </w:pPr>
            <w:r>
              <w:rPr>
                <w:iCs/>
                <w:i/>
              </w:rPr>
              <w:t xml:space="preserve">Conditional</w:t>
            </w:r>
          </w:p>
        </w:tc>
        <w:tc>
          <w:tcPr/>
          <w:p>
            <w:pPr>
              <w:pStyle w:val="Compact"/>
              <w:jc w:val="left"/>
            </w:pPr>
            <w:r>
              <w:t xml:space="preserve">Alokasi volume terbatas dan wajib mengikuti program pengembangan (bagian 6)</w:t>
            </w:r>
          </w:p>
        </w:tc>
      </w:tr>
      <w:tr>
        <w:tc>
          <w:tcPr/>
          <w:p>
            <w:pPr>
              <w:pStyle w:val="Compact"/>
              <w:jc w:val="left"/>
            </w:pPr>
            <w:r>
              <w:t xml:space="preserve">&lt; 55</w:t>
            </w:r>
          </w:p>
        </w:tc>
        <w:tc>
          <w:tcPr/>
          <w:p>
            <w:pPr>
              <w:pStyle w:val="Compact"/>
              <w:jc w:val="left"/>
            </w:pPr>
            <w:r>
              <w:rPr>
                <w:iCs/>
                <w:i/>
              </w:rPr>
              <w:t xml:space="preserve">Not approved</w:t>
            </w:r>
          </w:p>
        </w:tc>
        <w:tc>
          <w:tcPr/>
          <w:p>
            <w:pPr>
              <w:pStyle w:val="Compact"/>
              <w:jc w:val="left"/>
            </w:pPr>
            <w:r>
              <w:t xml:space="preserve">Tidak mendapat bisnis baru. Bisnis berjalan dikurangi bertahap kecuali ada rencana perbaikan yang disetujui</w:t>
            </w:r>
          </w:p>
        </w:tc>
      </w:tr>
    </w:tbl>
    <w:p>
      <w:pPr>
        <w:pStyle w:val="BodyText"/>
      </w:pPr>
      <w:r>
        <w:rPr>
          <w:bCs/>
          <w:b/>
        </w:rPr>
        <w:t xml:space="preserve">Hasilnya:</w:t>
      </w:r>
      <w:r>
        <w:t xml:space="preserve"> </w:t>
      </w:r>
      <w:r>
        <w:t xml:space="preserve">X berstatus preferred, Y conditional, dan Z not approved. Pemasok Z memang paling murah, tetapi gugur karena tidak mendukung target energi dan data. Ini menunjukkan bahwa kriteria hijau benar-benar memengaruhi alokasi bisnis.</w:t>
      </w:r>
    </w:p>
    <w:bookmarkEnd w:id="24"/>
    <w:bookmarkStart w:id="28" w:name="proses-seleksi-dan-audit-pemasok"/>
    <w:p>
      <w:pPr>
        <w:pStyle w:val="Heading1"/>
      </w:pPr>
      <w:r>
        <w:t xml:space="preserve">4. Proses Seleksi dan Audit Pemasok</w:t>
      </w:r>
    </w:p>
    <w:bookmarkStart w:id="25" w:name="segmentasi-risiko"/>
    <w:p>
      <w:pPr>
        <w:pStyle w:val="Heading2"/>
      </w:pPr>
      <w:r>
        <w:t xml:space="preserve">4.1 Segmentasi risiko</w:t>
      </w:r>
    </w:p>
    <w:p>
      <w:pPr>
        <w:pStyle w:val="FirstParagraph"/>
      </w:pPr>
      <w:r>
        <w:t xml:space="preserve">Intensitas audit disesuaikan dengan risiko, karena rantai pasok iPhone terdiri atas ratusan pemasok langsung dan jauh lebih banyak sub-pemasok.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Dampak lingkungan rendah</w:t>
            </w:r>
          </w:p>
        </w:tc>
        <w:tc>
          <w:tcPr/>
          <w:p>
            <w:pPr>
              <w:pStyle w:val="Compact"/>
              <w:jc w:val="left"/>
            </w:pPr>
            <w:r>
              <w:t xml:space="preserve">Dampak lingkungan tinggi</w:t>
            </w:r>
          </w:p>
        </w:tc>
      </w:tr>
      <w:tr>
        <w:tc>
          <w:tcPr/>
          <w:p>
            <w:pPr>
              <w:pStyle w:val="Compact"/>
              <w:jc w:val="left"/>
            </w:pPr>
            <w:r>
              <w:rPr>
                <w:bCs/>
                <w:b/>
              </w:rPr>
              <w:t xml:space="preserve">Belanja/kekritisan tinggi</w:t>
            </w:r>
          </w:p>
        </w:tc>
        <w:tc>
          <w:tcPr/>
          <w:p>
            <w:pPr>
              <w:pStyle w:val="Compact"/>
              <w:jc w:val="left"/>
            </w:pPr>
            <w:r>
              <w:t xml:space="preserve">Tier 2: desk audit dan asesmen berkala</w:t>
            </w:r>
          </w:p>
        </w:tc>
        <w:tc>
          <w:tcPr/>
          <w:p>
            <w:pPr>
              <w:pStyle w:val="Compact"/>
              <w:jc w:val="left"/>
            </w:pPr>
            <w:r>
              <w:rPr>
                <w:bCs/>
                <w:b/>
              </w:rPr>
              <w:t xml:space="preserve">Tier 1: audit lapangan pihak ketiga setiap tahun</w:t>
            </w:r>
          </w:p>
        </w:tc>
      </w:tr>
      <w:tr>
        <w:tc>
          <w:tcPr/>
          <w:p>
            <w:pPr>
              <w:pStyle w:val="Compact"/>
              <w:jc w:val="left"/>
            </w:pPr>
            <w:r>
              <w:rPr>
                <w:bCs/>
                <w:b/>
              </w:rPr>
              <w:t xml:space="preserve">Belanja/kekritisan rendah</w:t>
            </w:r>
          </w:p>
        </w:tc>
        <w:tc>
          <w:tcPr/>
          <w:p>
            <w:pPr>
              <w:pStyle w:val="Compact"/>
              <w:jc w:val="left"/>
            </w:pPr>
            <w:r>
              <w:t xml:space="preserve">Tier 3: self-assessment</w:t>
            </w:r>
          </w:p>
        </w:tc>
        <w:tc>
          <w:tcPr/>
          <w:p>
            <w:pPr>
              <w:pStyle w:val="Compact"/>
              <w:jc w:val="left"/>
            </w:pPr>
            <w:r>
              <w:t xml:space="preserve">Tier 2: asesmen berkala</w:t>
            </w:r>
          </w:p>
        </w:tc>
      </w:tr>
    </w:tbl>
    <w:p>
      <w:pPr>
        <w:pStyle w:val="BodyText"/>
      </w:pPr>
      <w:r>
        <w:t xml:space="preserve">Contoh</w:t>
      </w:r>
      <w:r>
        <w:t xml:space="preserve"> </w:t>
      </w:r>
      <w:r>
        <w:rPr>
          <w:bCs/>
          <w:b/>
        </w:rPr>
        <w:t xml:space="preserve">Tier 1</w:t>
      </w:r>
      <w:r>
        <w:t xml:space="preserve"> </w:t>
      </w:r>
      <w:r>
        <w:t xml:space="preserve">adalah perakitan akhir, produksi casing logam (konsumsi energi tinggi), PCB (bahan kimia dan air), sel baterai, serta smelter/refiner mineral.</w:t>
      </w:r>
    </w:p>
    <w:bookmarkEnd w:id="25"/>
    <w:bookmarkStart w:id="26" w:name="tahapan-seleksi-dan-audit"/>
    <w:p>
      <w:pPr>
        <w:pStyle w:val="Heading2"/>
      </w:pPr>
      <w:r>
        <w:t xml:space="preserve">4.2 Tahapan seleksi dan audit</w:t>
      </w:r>
    </w:p>
    <w:p>
      <w:pPr>
        <w:numPr>
          <w:ilvl w:val="0"/>
          <w:numId w:val="1003"/>
        </w:numPr>
        <w:pStyle w:val="Compact"/>
      </w:pPr>
      <w:r>
        <w:rPr>
          <w:bCs/>
          <w:b/>
        </w:rPr>
        <w:t xml:space="preserve">Spesifikasi hijau.</w:t>
      </w:r>
      <w:r>
        <w:t xml:space="preserve"> </w:t>
      </w:r>
      <w:r>
        <w:t xml:space="preserve">Spesifikasi menyebut persyaratan material daur ulang (misalnya emas dan timah daur ulang pada PCB, kobalt daur ulang pada baterai), daftar zat terbatas, dan persyaratan kemasan berbasis serat.</w:t>
      </w:r>
    </w:p>
    <w:p>
      <w:pPr>
        <w:numPr>
          <w:ilvl w:val="0"/>
          <w:numId w:val="1003"/>
        </w:numPr>
        <w:pStyle w:val="Compact"/>
      </w:pPr>
      <w:r>
        <w:rPr>
          <w:bCs/>
          <w:b/>
        </w:rPr>
        <w:t xml:space="preserve">Pra-kualifikasi.</w:t>
      </w:r>
      <w:r>
        <w:t xml:space="preserve"> </w:t>
      </w:r>
      <w:r>
        <w:t xml:space="preserve">Pemasok mengisi</w:t>
      </w:r>
      <w:r>
        <w:t xml:space="preserve"> </w:t>
      </w:r>
      <w:r>
        <w:rPr>
          <w:iCs/>
          <w:i/>
        </w:rPr>
        <w:t xml:space="preserve">self-assessment</w:t>
      </w:r>
      <w:r>
        <w:t xml:space="preserve"> </w:t>
      </w:r>
      <w:r>
        <w:t xml:space="preserve">dan melampirkan bukti gerbang G1–G4, termasuk daftar smelter.</w:t>
      </w:r>
    </w:p>
    <w:p>
      <w:pPr>
        <w:numPr>
          <w:ilvl w:val="0"/>
          <w:numId w:val="1003"/>
        </w:numPr>
        <w:pStyle w:val="Compact"/>
      </w:pPr>
      <w:r>
        <w:rPr>
          <w:bCs/>
          <w:b/>
        </w:rPr>
        <w:t xml:space="preserve">Asesmen awal sebelum produksi.</w:t>
      </w:r>
      <w:r>
        <w:t xml:space="preserve"> </w:t>
      </w:r>
      <w:r>
        <w:t xml:space="preserve">Fasilitas baru diaudit sebelum masuk rantai pasok. Fokusnya izin lingkungan, pengelolaan limbah berbahaya, dan air limbah.</w:t>
      </w:r>
    </w:p>
    <w:p>
      <w:pPr>
        <w:numPr>
          <w:ilvl w:val="0"/>
          <w:numId w:val="1003"/>
        </w:numPr>
        <w:pStyle w:val="Compact"/>
      </w:pPr>
      <w:r>
        <w:rPr>
          <w:bCs/>
          <w:b/>
        </w:rPr>
        <w:t xml:space="preserve">Uji kualitas dan kualifikasi lini.</w:t>
      </w:r>
      <w:r>
        <w:t xml:space="preserve"> </w:t>
      </w:r>
      <w:r>
        <w:t xml:space="preserve">Produksi percontohan (pilot run) dijalankan untuk mengukur yield (K2) dan kapasitas (K3).</w:t>
      </w:r>
    </w:p>
    <w:p>
      <w:pPr>
        <w:numPr>
          <w:ilvl w:val="0"/>
          <w:numId w:val="1003"/>
        </w:numPr>
        <w:pStyle w:val="Compact"/>
      </w:pPr>
      <w:r>
        <w:rPr>
          <w:bCs/>
          <w:b/>
        </w:rPr>
        <w:t xml:space="preserve">Audit lapangan pihak ketiga (khusus Tier 1).</w:t>
      </w:r>
      <w:r>
        <w:t xml:space="preserve"> </w:t>
      </w:r>
      <w:r>
        <w:t xml:space="preserve">Auditor memeriksa sistem energi, catatan limbah, instalasi pengolahan air limbah, penyimpanan bahan kimia, dan keaslian data.</w:t>
      </w:r>
    </w:p>
    <w:p>
      <w:pPr>
        <w:numPr>
          <w:ilvl w:val="0"/>
          <w:numId w:val="1003"/>
        </w:numPr>
        <w:pStyle w:val="Compact"/>
      </w:pPr>
      <w:r>
        <w:rPr>
          <w:bCs/>
          <w:b/>
        </w:rPr>
        <w:t xml:space="preserve">Penilaian matriks dan keputusan alokasi.</w:t>
      </w:r>
      <w:r>
        <w:t xml:space="preserve"> </w:t>
      </w:r>
      <w:r>
        <w:t xml:space="preserve">Tim lintas fungsi (pengadaan, operasi, lingkungan) menilai pemasok, lalu skor dirata-rata.</w:t>
      </w:r>
    </w:p>
    <w:p>
      <w:pPr>
        <w:numPr>
          <w:ilvl w:val="0"/>
          <w:numId w:val="1003"/>
        </w:numPr>
        <w:pStyle w:val="Compact"/>
      </w:pPr>
      <w:r>
        <w:rPr>
          <w:bCs/>
          <w:b/>
        </w:rPr>
        <w:t xml:space="preserve">Corrective Action Plan (CAP).</w:t>
      </w:r>
      <w:r>
        <w:t xml:space="preserve"> </w:t>
      </w:r>
      <w:r>
        <w:t xml:space="preserve">Setiap temuan dicatat beserta tenggat waktu, penanggung jawab, dan bukti penutupan.</w:t>
      </w:r>
    </w:p>
    <w:p>
      <w:pPr>
        <w:numPr>
          <w:ilvl w:val="0"/>
          <w:numId w:val="1003"/>
        </w:numPr>
        <w:pStyle w:val="Compact"/>
      </w:pPr>
      <w:r>
        <w:rPr>
          <w:bCs/>
          <w:b/>
        </w:rPr>
        <w:t xml:space="preserve">Audit ulang dan pemantauan.</w:t>
      </w:r>
      <w:r>
        <w:t xml:space="preserve"> </w:t>
      </w:r>
      <w:r>
        <w:t xml:space="preserve">Audit ulang dilakukan setiap tahun untuk Tier 1. Data energi, air, dan limbah dipantau rutin melalui mekanisme berbagi data (bagian 7).</w:t>
      </w:r>
    </w:p>
    <w:bookmarkEnd w:id="26"/>
    <w:bookmarkStart w:id="27" w:name="klasifikasi-temuan-audit"/>
    <w:p>
      <w:pPr>
        <w:pStyle w:val="Heading2"/>
      </w:pPr>
      <w:r>
        <w:t xml:space="preserve">4.3 Klasifikasi temuan audit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Kategori</w:t>
            </w:r>
          </w:p>
        </w:tc>
        <w:tc>
          <w:tcPr/>
          <w:p>
            <w:pPr>
              <w:pStyle w:val="Compact"/>
              <w:jc w:val="left"/>
            </w:pPr>
            <w:r>
              <w:t xml:space="preserve">Contoh</w:t>
            </w:r>
          </w:p>
        </w:tc>
        <w:tc>
          <w:tcPr/>
          <w:p>
            <w:pPr>
              <w:pStyle w:val="Compact"/>
              <w:jc w:val="left"/>
            </w:pPr>
            <w:r>
              <w:t xml:space="preserve">Tindakan</w:t>
            </w:r>
          </w:p>
        </w:tc>
      </w:tr>
      <w:tr>
        <w:tc>
          <w:tcPr/>
          <w:p>
            <w:pPr>
              <w:pStyle w:val="Compact"/>
              <w:jc w:val="left"/>
            </w:pPr>
            <w:r>
              <w:t xml:space="preserve">Kritis / core violation</w:t>
            </w:r>
          </w:p>
        </w:tc>
        <w:tc>
          <w:tcPr/>
          <w:p>
            <w:pPr>
              <w:pStyle w:val="Compact"/>
              <w:jc w:val="left"/>
            </w:pPr>
            <w:r>
              <w:t xml:space="preserve">Pembuangan limbah berbahaya ilegal, pemalsuan data, zat terlarang dalam produk</w:t>
            </w:r>
          </w:p>
        </w:tc>
        <w:tc>
          <w:tcPr/>
          <w:p>
            <w:pPr>
              <w:pStyle w:val="Compact"/>
              <w:jc w:val="left"/>
            </w:pPr>
            <w:r>
              <w:t xml:space="preserve">Bisnis baru dihentikan, CAP segera, verifikasi ulang oleh pihak ketiga</w:t>
            </w:r>
          </w:p>
        </w:tc>
      </w:tr>
      <w:tr>
        <w:tc>
          <w:tcPr/>
          <w:p>
            <w:pPr>
              <w:pStyle w:val="Compact"/>
              <w:jc w:val="left"/>
            </w:pPr>
            <w:r>
              <w:t xml:space="preserve">Mayor</w:t>
            </w:r>
          </w:p>
        </w:tc>
        <w:tc>
          <w:tcPr/>
          <w:p>
            <w:pPr>
              <w:pStyle w:val="Compact"/>
              <w:jc w:val="left"/>
            </w:pPr>
            <w:r>
              <w:t xml:space="preserve">Air limbah melebihi baku mutu, data energi tidak dikirim</w:t>
            </w:r>
          </w:p>
        </w:tc>
        <w:tc>
          <w:tcPr/>
          <w:p>
            <w:pPr>
              <w:pStyle w:val="Compact"/>
              <w:jc w:val="left"/>
            </w:pPr>
            <w:r>
              <w:t xml:space="preserve">CAP dengan tenggat 90 hari</w:t>
            </w:r>
          </w:p>
        </w:tc>
      </w:tr>
      <w:tr>
        <w:tc>
          <w:tcPr/>
          <w:p>
            <w:pPr>
              <w:pStyle w:val="Compact"/>
              <w:jc w:val="left"/>
            </w:pPr>
            <w:r>
              <w:t xml:space="preserve">Minor</w:t>
            </w:r>
          </w:p>
        </w:tc>
        <w:tc>
          <w:tcPr/>
          <w:p>
            <w:pPr>
              <w:pStyle w:val="Compact"/>
              <w:jc w:val="left"/>
            </w:pPr>
            <w:r>
              <w:t xml:space="preserve">Pelabelan limbah kurang lengkap, dokumentasi pelatihan belum rapi</w:t>
            </w:r>
          </w:p>
        </w:tc>
        <w:tc>
          <w:tcPr/>
          <w:p>
            <w:pPr>
              <w:pStyle w:val="Compact"/>
              <w:jc w:val="left"/>
            </w:pPr>
            <w:r>
              <w:t xml:space="preserve">CAP dengan tenggat 180 hari</w:t>
            </w:r>
          </w:p>
        </w:tc>
      </w:tr>
    </w:tbl>
    <w:bookmarkEnd w:id="27"/>
    <w:bookmarkEnd w:id="28"/>
    <w:bookmarkStart w:id="29" w:name="target-lingkungan"/>
    <w:p>
      <w:pPr>
        <w:pStyle w:val="Heading1"/>
      </w:pPr>
      <w:r>
        <w:t xml:space="preserve">5. Target Lingkungan</w:t>
      </w:r>
    </w:p>
    <w:p>
      <w:pPr>
        <w:pStyle w:val="FirstParagraph"/>
      </w:pPr>
      <w:r>
        <w:t xml:space="preserve">Target diturunkan dari Apple 2030 dan dikaitkan langsung dengan kriteria matriks. Baseline per pemasok bersifat ilustratif.</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Target pemasok</w:t>
            </w:r>
          </w:p>
        </w:tc>
        <w:tc>
          <w:tcPr/>
          <w:p>
            <w:pPr>
              <w:pStyle w:val="Compact"/>
              <w:jc w:val="left"/>
            </w:pPr>
            <w:r>
              <w:t xml:space="preserve">Baseline ilustratif (Pemasok Y)</w:t>
            </w:r>
          </w:p>
        </w:tc>
        <w:tc>
          <w:tcPr/>
          <w:p>
            <w:pPr>
              <w:pStyle w:val="Compact"/>
              <w:jc w:val="left"/>
            </w:pPr>
            <w:r>
              <w:t xml:space="preserve">Indikator</w:t>
            </w:r>
          </w:p>
        </w:tc>
        <w:tc>
          <w:tcPr/>
          <w:p>
            <w:pPr>
              <w:pStyle w:val="Compact"/>
              <w:jc w:val="left"/>
            </w:pPr>
            <w:r>
              <w:t xml:space="preserve">Terkait kriteria</w:t>
            </w:r>
          </w:p>
        </w:tc>
      </w:tr>
      <w:tr>
        <w:tc>
          <w:tcPr/>
          <w:p>
            <w:pPr>
              <w:pStyle w:val="Compact"/>
              <w:jc w:val="left"/>
            </w:pPr>
            <w:r>
              <w:t xml:space="preserve">T1</w:t>
            </w:r>
          </w:p>
        </w:tc>
        <w:tc>
          <w:tcPr/>
          <w:p>
            <w:pPr>
              <w:pStyle w:val="Compact"/>
              <w:jc w:val="left"/>
            </w:pPr>
            <w:r>
              <w:t xml:space="preserve">100% listrik terbarukan untuk produksi Apple paling lambat 2030, dengan tonggak 50% di tahun ke-2</w:t>
            </w:r>
          </w:p>
        </w:tc>
        <w:tc>
          <w:tcPr/>
          <w:p>
            <w:pPr>
              <w:pStyle w:val="Compact"/>
              <w:jc w:val="left"/>
            </w:pPr>
            <w:r>
              <w:t xml:space="preserve">10%</w:t>
            </w:r>
          </w:p>
        </w:tc>
        <w:tc>
          <w:tcPr/>
          <w:p>
            <w:pPr>
              <w:pStyle w:val="Compact"/>
              <w:jc w:val="left"/>
            </w:pPr>
            <w:r>
              <w:t xml:space="preserve">% MWh terbarukan</w:t>
            </w:r>
          </w:p>
        </w:tc>
        <w:tc>
          <w:tcPr/>
          <w:p>
            <w:pPr>
              <w:pStyle w:val="Compact"/>
              <w:jc w:val="left"/>
            </w:pPr>
            <w:r>
              <w:t xml:space="preserve">K4</w:t>
            </w:r>
          </w:p>
        </w:tc>
      </w:tr>
      <w:tr>
        <w:tc>
          <w:tcPr/>
          <w:p>
            <w:pPr>
              <w:pStyle w:val="Compact"/>
              <w:jc w:val="left"/>
            </w:pPr>
            <w:r>
              <w:t xml:space="preserve">T2</w:t>
            </w:r>
          </w:p>
        </w:tc>
        <w:tc>
          <w:tcPr/>
          <w:p>
            <w:pPr>
              <w:pStyle w:val="Compact"/>
              <w:jc w:val="left"/>
            </w:pPr>
            <w:r>
              <w:t xml:space="preserve">Kandungan daur ulang sesuai spesifikasi untuk setiap komponen yang ditetapkan</w:t>
            </w:r>
          </w:p>
        </w:tc>
        <w:tc>
          <w:tcPr/>
          <w:p>
            <w:pPr>
              <w:pStyle w:val="Compact"/>
              <w:jc w:val="left"/>
            </w:pPr>
            <w:r>
              <w:t xml:space="preserve">Sebagian</w:t>
            </w:r>
          </w:p>
        </w:tc>
        <w:tc>
          <w:tcPr/>
          <w:p>
            <w:pPr>
              <w:pStyle w:val="Compact"/>
              <w:jc w:val="left"/>
            </w:pPr>
            <w:r>
              <w:t xml:space="preserve">% komponen sesuai</w:t>
            </w:r>
          </w:p>
        </w:tc>
        <w:tc>
          <w:tcPr/>
          <w:p>
            <w:pPr>
              <w:pStyle w:val="Compact"/>
              <w:jc w:val="left"/>
            </w:pPr>
            <w:r>
              <w:t xml:space="preserve">K5</w:t>
            </w:r>
          </w:p>
        </w:tc>
      </w:tr>
      <w:tr>
        <w:tc>
          <w:tcPr/>
          <w:p>
            <w:pPr>
              <w:pStyle w:val="Compact"/>
              <w:jc w:val="left"/>
            </w:pPr>
            <w:r>
              <w:t xml:space="preserve">T3</w:t>
            </w:r>
          </w:p>
        </w:tc>
        <w:tc>
          <w:tcPr/>
          <w:p>
            <w:pPr>
              <w:pStyle w:val="Compact"/>
              <w:jc w:val="left"/>
            </w:pPr>
            <w:r>
              <w:t xml:space="preserve">Sertifikasi Zero Waste (pengalihan dari TPA ≥ 90%) dalam 24 bulan</w:t>
            </w:r>
          </w:p>
        </w:tc>
        <w:tc>
          <w:tcPr/>
          <w:p>
            <w:pPr>
              <w:pStyle w:val="Compact"/>
              <w:jc w:val="left"/>
            </w:pPr>
            <w:r>
              <w:t xml:space="preserve">60%</w:t>
            </w:r>
          </w:p>
        </w:tc>
        <w:tc>
          <w:tcPr/>
          <w:p>
            <w:pPr>
              <w:pStyle w:val="Compact"/>
              <w:jc w:val="left"/>
            </w:pPr>
            <w:r>
              <w:t xml:space="preserve">% limbah dialihkan</w:t>
            </w:r>
          </w:p>
        </w:tc>
        <w:tc>
          <w:tcPr/>
          <w:p>
            <w:pPr>
              <w:pStyle w:val="Compact"/>
              <w:jc w:val="left"/>
            </w:pPr>
            <w:r>
              <w:t xml:space="preserve">K6</w:t>
            </w:r>
          </w:p>
        </w:tc>
      </w:tr>
      <w:tr>
        <w:tc>
          <w:tcPr/>
          <w:p>
            <w:pPr>
              <w:pStyle w:val="Compact"/>
              <w:jc w:val="left"/>
            </w:pPr>
            <w:r>
              <w:t xml:space="preserve">T4</w:t>
            </w:r>
          </w:p>
        </w:tc>
        <w:tc>
          <w:tcPr/>
          <w:p>
            <w:pPr>
              <w:pStyle w:val="Compact"/>
              <w:jc w:val="left"/>
            </w:pPr>
            <w:r>
              <w:t xml:space="preserve">Pemakaian air per unit turun 20% dan daur ulang air meningkat</w:t>
            </w:r>
          </w:p>
        </w:tc>
        <w:tc>
          <w:tcPr/>
          <w:p>
            <w:pPr>
              <w:pStyle w:val="Compact"/>
              <w:jc w:val="left"/>
            </w:pPr>
            <w:r>
              <w:t xml:space="preserve">Belum diukur</w:t>
            </w:r>
          </w:p>
        </w:tc>
        <w:tc>
          <w:tcPr/>
          <w:p>
            <w:pPr>
              <w:pStyle w:val="Compact"/>
              <w:jc w:val="left"/>
            </w:pPr>
            <w:r>
              <w:t xml:space="preserve">m³/unit, % air didaur ulang</w:t>
            </w:r>
          </w:p>
        </w:tc>
        <w:tc>
          <w:tcPr/>
          <w:p>
            <w:pPr>
              <w:pStyle w:val="Compact"/>
              <w:jc w:val="left"/>
            </w:pPr>
            <w:r>
              <w:t xml:space="preserve">K6</w:t>
            </w:r>
          </w:p>
        </w:tc>
      </w:tr>
      <w:tr>
        <w:tc>
          <w:tcPr/>
          <w:p>
            <w:pPr>
              <w:pStyle w:val="Compact"/>
              <w:jc w:val="left"/>
            </w:pPr>
            <w:r>
              <w:t xml:space="preserve">T5</w:t>
            </w:r>
          </w:p>
        </w:tc>
        <w:tc>
          <w:tcPr/>
          <w:p>
            <w:pPr>
              <w:pStyle w:val="Compact"/>
              <w:jc w:val="left"/>
            </w:pPr>
            <w:r>
              <w:t xml:space="preserve">100% data energi/air/limbah dilaporkan tepat waktu dan diverifikasi pihak ketiga</w:t>
            </w:r>
          </w:p>
        </w:tc>
        <w:tc>
          <w:tcPr/>
          <w:p>
            <w:pPr>
              <w:pStyle w:val="Compact"/>
              <w:jc w:val="left"/>
            </w:pPr>
            <w:r>
              <w:t xml:space="preserve">40%</w:t>
            </w:r>
          </w:p>
        </w:tc>
        <w:tc>
          <w:tcPr/>
          <w:p>
            <w:pPr>
              <w:pStyle w:val="Compact"/>
              <w:jc w:val="left"/>
            </w:pPr>
            <w:r>
              <w:t xml:space="preserve">% laporan terverifikasi</w:t>
            </w:r>
          </w:p>
        </w:tc>
        <w:tc>
          <w:tcPr/>
          <w:p>
            <w:pPr>
              <w:pStyle w:val="Compact"/>
              <w:jc w:val="left"/>
            </w:pPr>
            <w:r>
              <w:t xml:space="preserve">K7</w:t>
            </w:r>
          </w:p>
        </w:tc>
      </w:tr>
      <w:tr>
        <w:tc>
          <w:tcPr/>
          <w:p>
            <w:pPr>
              <w:pStyle w:val="Compact"/>
              <w:jc w:val="left"/>
            </w:pPr>
            <w:r>
              <w:t xml:space="preserve">T6</w:t>
            </w:r>
          </w:p>
        </w:tc>
        <w:tc>
          <w:tcPr/>
          <w:p>
            <w:pPr>
              <w:pStyle w:val="Compact"/>
              <w:jc w:val="left"/>
            </w:pPr>
            <w:r>
              <w:t xml:space="preserve">Skor matriks Pemasok Y naik dari 60 ke ≥ 70 dalam 12–18 bulan</w:t>
            </w:r>
          </w:p>
        </w:tc>
        <w:tc>
          <w:tcPr/>
          <w:p>
            <w:pPr>
              <w:pStyle w:val="Compact"/>
              <w:jc w:val="left"/>
            </w:pPr>
            <w:r>
              <w:t xml:space="preserve">60</w:t>
            </w:r>
          </w:p>
        </w:tc>
        <w:tc>
          <w:tcPr/>
          <w:p>
            <w:pPr>
              <w:pStyle w:val="Compact"/>
              <w:jc w:val="left"/>
            </w:pPr>
            <w:r>
              <w:t xml:space="preserve">Skor matriks</w:t>
            </w:r>
          </w:p>
        </w:tc>
        <w:tc>
          <w:tcPr/>
          <w:p>
            <w:pPr>
              <w:pStyle w:val="Compact"/>
              <w:jc w:val="left"/>
            </w:pPr>
            <w:r>
              <w:t xml:space="preserve">K4–K8</w:t>
            </w:r>
          </w:p>
        </w:tc>
      </w:tr>
    </w:tbl>
    <w:bookmarkEnd w:id="29"/>
    <w:bookmarkStart w:id="30" w:name="dukungan-pengembangan-pemasok"/>
    <w:p>
      <w:pPr>
        <w:pStyle w:val="Heading1"/>
      </w:pPr>
      <w:r>
        <w:t xml:space="preserve">6. Dukungan Pengembangan Pemasok</w:t>
      </w:r>
    </w:p>
    <w:p>
      <w:pPr>
        <w:pStyle w:val="FirstParagraph"/>
      </w:pPr>
      <w:r>
        <w:t xml:space="preserve">Literatur membedakan dua jenis pengembangan pemasok (Krause, Handfield &amp; Scannell, 1998; Bai &amp; Sarkis, 2010):</w:t>
      </w:r>
    </w:p>
    <w:p>
      <w:pPr>
        <w:numPr>
          <w:ilvl w:val="0"/>
          <w:numId w:val="1004"/>
        </w:numPr>
        <w:pStyle w:val="Compact"/>
      </w:pPr>
      <w:r>
        <w:rPr>
          <w:bCs/>
          <w:b/>
        </w:rPr>
        <w:t xml:space="preserve">pengembangan berbasis penilaian</w:t>
      </w:r>
      <w:r>
        <w:t xml:space="preserve"> </w:t>
      </w:r>
      <w:r>
        <w:t xml:space="preserve">(assessment-based), yaitu menetapkan standar, mengaudit, dan memberi umpan balik;</w:t>
      </w:r>
    </w:p>
    <w:p>
      <w:pPr>
        <w:numPr>
          <w:ilvl w:val="0"/>
          <w:numId w:val="1004"/>
        </w:numPr>
        <w:pStyle w:val="Compact"/>
      </w:pPr>
      <w:r>
        <w:rPr>
          <w:bCs/>
          <w:b/>
        </w:rPr>
        <w:t xml:space="preserve">pengembangan langsung</w:t>
      </w:r>
      <w:r>
        <w:t xml:space="preserve"> </w:t>
      </w:r>
      <w:r>
        <w:t xml:space="preserve">(direct involvement), yaitu menanamkan sumber daya pembeli secara langsung pada pemasok.</w:t>
      </w:r>
    </w:p>
    <w:p>
      <w:pPr>
        <w:pStyle w:val="FirstParagraph"/>
      </w:pPr>
      <w:r>
        <w:t xml:space="preserve">Apple menjalankan keduanya. Pola dukungan langsung yang dipublikasikan Apple antara lain pelatihan energi bersih bagi pemasok (Clean Energy Academy), dana investasi energi bersih bersama pemasok di Tiongkok (China Clean Energy Fund, 2018), serta pendampingan teknis untuk program air dan limbah. Rancangan berikut menerapkan pola itu pada Pemasok 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Bentuk dukungan</w:t>
            </w:r>
          </w:p>
        </w:tc>
        <w:tc>
          <w:tcPr/>
          <w:p>
            <w:pPr>
              <w:pStyle w:val="Compact"/>
              <w:jc w:val="left"/>
            </w:pPr>
            <w:r>
              <w:t xml:space="preserve">Rincian</w:t>
            </w:r>
          </w:p>
        </w:tc>
        <w:tc>
          <w:tcPr/>
          <w:p>
            <w:pPr>
              <w:pStyle w:val="Compact"/>
              <w:jc w:val="left"/>
            </w:pPr>
            <w:r>
              <w:t xml:space="preserve">Target</w:t>
            </w:r>
          </w:p>
        </w:tc>
      </w:tr>
      <w:tr>
        <w:tc>
          <w:tcPr/>
          <w:p>
            <w:pPr>
              <w:pStyle w:val="Compact"/>
              <w:jc w:val="left"/>
            </w:pPr>
            <w:r>
              <w:t xml:space="preserve">Pelatihan dekarbonisasi</w:t>
            </w:r>
          </w:p>
        </w:tc>
        <w:tc>
          <w:tcPr/>
          <w:p>
            <w:pPr>
              <w:pStyle w:val="Compact"/>
              <w:jc w:val="left"/>
            </w:pPr>
            <w:r>
              <w:t xml:space="preserve">Pemasok mengikuti program pelatihan energi bersih: audit energi, efisiensi, dan cara membeli energi terbarukan</w:t>
            </w:r>
          </w:p>
        </w:tc>
        <w:tc>
          <w:tcPr/>
          <w:p>
            <w:pPr>
              <w:pStyle w:val="Compact"/>
              <w:jc w:val="left"/>
            </w:pPr>
            <w:r>
              <w:t xml:space="preserve">Rencana dekarbonisasi tertulis dalam 6 bulan (K8)</w:t>
            </w:r>
          </w:p>
        </w:tc>
      </w:tr>
      <w:tr>
        <w:tc>
          <w:tcPr/>
          <w:p>
            <w:pPr>
              <w:pStyle w:val="Compact"/>
              <w:jc w:val="left"/>
            </w:pPr>
            <w:r>
              <w:t xml:space="preserve">Akses energi terbarukan</w:t>
            </w:r>
          </w:p>
        </w:tc>
        <w:tc>
          <w:tcPr/>
          <w:p>
            <w:pPr>
              <w:pStyle w:val="Compact"/>
              <w:jc w:val="left"/>
            </w:pPr>
            <w:r>
              <w:t xml:space="preserve">Pembelian kolektif (aggregated PPA) dengan pemasok lain di wilayah yang sama, dan atap pabrik dipakai untuk PLTS</w:t>
            </w:r>
          </w:p>
        </w:tc>
        <w:tc>
          <w:tcPr/>
          <w:p>
            <w:pPr>
              <w:pStyle w:val="Compact"/>
              <w:jc w:val="left"/>
            </w:pPr>
            <w:r>
              <w:t xml:space="preserve">K4 naik 2 → 4</w:t>
            </w:r>
          </w:p>
        </w:tc>
      </w:tr>
      <w:tr>
        <w:tc>
          <w:tcPr/>
          <w:p>
            <w:pPr>
              <w:pStyle w:val="Compact"/>
              <w:jc w:val="left"/>
            </w:pPr>
            <w:r>
              <w:t xml:space="preserve">Pendampingan teknis air &amp; limbah</w:t>
            </w:r>
          </w:p>
        </w:tc>
        <w:tc>
          <w:tcPr/>
          <w:p>
            <w:pPr>
              <w:pStyle w:val="Compact"/>
              <w:jc w:val="left"/>
            </w:pPr>
            <w:r>
              <w:t xml:space="preserve">Tim ahli membantu desain daur ulang air dan pemilahan limbah untuk mencapai Zero Waste</w:t>
            </w:r>
          </w:p>
        </w:tc>
        <w:tc>
          <w:tcPr/>
          <w:p>
            <w:pPr>
              <w:pStyle w:val="Compact"/>
              <w:jc w:val="left"/>
            </w:pPr>
            <w:r>
              <w:t xml:space="preserve">K6 naik 2 → 4</w:t>
            </w:r>
          </w:p>
        </w:tc>
      </w:tr>
      <w:tr>
        <w:tc>
          <w:tcPr/>
          <w:p>
            <w:pPr>
              <w:pStyle w:val="Compact"/>
              <w:jc w:val="left"/>
            </w:pPr>
            <w:r>
              <w:t xml:space="preserve">Sistem data</w:t>
            </w:r>
          </w:p>
        </w:tc>
        <w:tc>
          <w:tcPr/>
          <w:p>
            <w:pPr>
              <w:pStyle w:val="Compact"/>
              <w:jc w:val="left"/>
            </w:pPr>
            <w:r>
              <w:t xml:space="preserve">Template dan portal pelaporan, ditambah pelatihan verifikasi data pihak ketiga</w:t>
            </w:r>
          </w:p>
        </w:tc>
        <w:tc>
          <w:tcPr/>
          <w:p>
            <w:pPr>
              <w:pStyle w:val="Compact"/>
              <w:jc w:val="left"/>
            </w:pPr>
            <w:r>
              <w:t xml:space="preserve">K7 naik 2 → 4</w:t>
            </w:r>
          </w:p>
        </w:tc>
      </w:tr>
      <w:tr>
        <w:tc>
          <w:tcPr/>
          <w:p>
            <w:pPr>
              <w:pStyle w:val="Compact"/>
              <w:jc w:val="left"/>
            </w:pPr>
            <w:r>
              <w:t xml:space="preserve">Insentif komersial</w:t>
            </w:r>
          </w:p>
        </w:tc>
        <w:tc>
          <w:tcPr/>
          <w:p>
            <w:pPr>
              <w:pStyle w:val="Compact"/>
              <w:jc w:val="left"/>
            </w:pPr>
            <w:r>
              <w:t xml:space="preserve">Alokasi volume model baru dikaitkan dengan pencapaian tonggak, ditambah komitmen volume multi-tahun agar investasi energi pemasok bisa kembali (bankable)</w:t>
            </w:r>
          </w:p>
        </w:tc>
        <w:tc>
          <w:tcPr/>
          <w:p>
            <w:pPr>
              <w:pStyle w:val="Compact"/>
              <w:jc w:val="left"/>
            </w:pPr>
            <w:r>
              <w:t xml:space="preserve">Kemauan dan stabilitas</w:t>
            </w:r>
          </w:p>
        </w:tc>
      </w:tr>
    </w:tbl>
    <w:p>
      <w:pPr>
        <w:pStyle w:val="BodyText"/>
      </w:pPr>
      <w:r>
        <w:t xml:space="preserve">Jika target tercapai, skor ilustratif Y dalam 12–18 bulan naik dari 60 menjadi sekitar</w:t>
      </w:r>
      <w:r>
        <w:t xml:space="preserve"> </w:t>
      </w:r>
      <w:r>
        <w:rPr>
          <w:bCs/>
          <w:b/>
        </w:rPr>
        <w:t xml:space="preserve">74</w:t>
      </w:r>
      <w:r>
        <w:t xml:space="preserve">. Kenaikan ini berasal dari K4 (+6), K6 (+4), K7 (+4), dan K2 (+3), dengan penurunan K1 (−3) karena biaya transisi energi masuk ke harga.</w:t>
      </w:r>
    </w:p>
    <w:bookmarkEnd w:id="30"/>
    <w:bookmarkStart w:id="31" w:name="mekanisme-berbagi-data"/>
    <w:p>
      <w:pPr>
        <w:pStyle w:val="Heading1"/>
      </w:pPr>
      <w:r>
        <w:t xml:space="preserve">7. Mekanisme Berbagi Data</w:t>
      </w:r>
    </w:p>
    <w:p>
      <w:pPr>
        <w:pStyle w:val="FirstParagraph"/>
      </w:pPr>
      <w:r>
        <w:t xml:space="preserve">Target karbon di rantai pasok hanya bisa diklaim jika datanya bisa diverifikasi. Karena itu, berbagi data dirancang dua arah.</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w:t>
            </w:r>
          </w:p>
        </w:tc>
        <w:tc>
          <w:tcPr/>
          <w:p>
            <w:pPr>
              <w:pStyle w:val="Compact"/>
              <w:jc w:val="left"/>
            </w:pPr>
            <w:r>
              <w:t xml:space="preserve">Rancangan</w:t>
            </w:r>
          </w:p>
        </w:tc>
      </w:tr>
      <w:tr>
        <w:tc>
          <w:tcPr/>
          <w:p>
            <w:pPr>
              <w:pStyle w:val="Compact"/>
              <w:jc w:val="left"/>
            </w:pPr>
            <w:r>
              <w:rPr>
                <w:bCs/>
                <w:b/>
              </w:rPr>
              <w:t xml:space="preserve">Data dari pemasok</w:t>
            </w:r>
          </w:p>
        </w:tc>
        <w:tc>
          <w:tcPr/>
          <w:p>
            <w:pPr>
              <w:pStyle w:val="Compact"/>
              <w:jc w:val="left"/>
            </w:pPr>
            <w:r>
              <w:t xml:space="preserve">Konsumsi listrik (MWh) dan porsi terbarukan beserta bukti (PPA, REC/I-REC), pemakaian dan daur ulang air, tonase limbah per jalur, daftar smelter, deklarasi material, dan status CAP</w:t>
            </w:r>
          </w:p>
        </w:tc>
      </w:tr>
      <w:tr>
        <w:tc>
          <w:tcPr/>
          <w:p>
            <w:pPr>
              <w:pStyle w:val="Compact"/>
              <w:jc w:val="left"/>
            </w:pPr>
            <w:r>
              <w:rPr>
                <w:bCs/>
                <w:b/>
              </w:rPr>
              <w:t xml:space="preserve">Data dari Apple ke pemasok</w:t>
            </w:r>
          </w:p>
        </w:tc>
        <w:tc>
          <w:tcPr/>
          <w:p>
            <w:pPr>
              <w:pStyle w:val="Compact"/>
              <w:jc w:val="left"/>
            </w:pPr>
            <w:r>
              <w:t xml:space="preserve">Prakiraan volume, faktor alokasi emisi per produk, hasil scorecard, rencana spesifikasi material untuk model berikutnya, dan praktik terbaik dari pemasok lain (anonim)</w:t>
            </w:r>
          </w:p>
        </w:tc>
      </w:tr>
      <w:tr>
        <w:tc>
          <w:tcPr/>
          <w:p>
            <w:pPr>
              <w:pStyle w:val="Compact"/>
              <w:jc w:val="left"/>
            </w:pPr>
            <w:r>
              <w:rPr>
                <w:bCs/>
                <w:b/>
              </w:rPr>
              <w:t xml:space="preserve">Frekuensi</w:t>
            </w:r>
          </w:p>
        </w:tc>
        <w:tc>
          <w:tcPr/>
          <w:p>
            <w:pPr>
              <w:pStyle w:val="Compact"/>
              <w:jc w:val="left"/>
            </w:pPr>
            <w:r>
              <w:t xml:space="preserve">Bulanan untuk energi; kuartalan untuk air, limbah, dan scorecard; tahunan untuk audit dan daftar smelter; segera untuk insiden lingkungan</w:t>
            </w:r>
          </w:p>
        </w:tc>
      </w:tr>
      <w:tr>
        <w:tc>
          <w:tcPr/>
          <w:p>
            <w:pPr>
              <w:pStyle w:val="Compact"/>
              <w:jc w:val="left"/>
            </w:pPr>
            <w:r>
              <w:rPr>
                <w:bCs/>
                <w:b/>
              </w:rPr>
              <w:t xml:space="preserve">Media</w:t>
            </w:r>
          </w:p>
        </w:tc>
        <w:tc>
          <w:tcPr/>
          <w:p>
            <w:pPr>
              <w:pStyle w:val="Compact"/>
              <w:jc w:val="left"/>
            </w:pPr>
            <w:r>
              <w:t xml:space="preserve">Portal pemasok terpusat dengan hak akses per pemasok. Pemasok hanya melihat dan mengisi datanya sendiri</w:t>
            </w:r>
          </w:p>
        </w:tc>
      </w:tr>
      <w:tr>
        <w:tc>
          <w:tcPr/>
          <w:p>
            <w:pPr>
              <w:pStyle w:val="Compact"/>
              <w:jc w:val="left"/>
            </w:pPr>
            <w:r>
              <w:rPr>
                <w:bCs/>
                <w:b/>
              </w:rPr>
              <w:t xml:space="preserve">Validasi</w:t>
            </w:r>
          </w:p>
        </w:tc>
        <w:tc>
          <w:tcPr/>
          <w:p>
            <w:pPr>
              <w:pStyle w:val="Compact"/>
              <w:jc w:val="left"/>
            </w:pPr>
            <w:r>
              <w:t xml:space="preserve">Verifikasi pihak ketiga untuk klaim energi terbarukan, pencocokan dengan tagihan listrik dan meter, serta pemeriksaan sampel saat audit lapangan</w:t>
            </w:r>
          </w:p>
        </w:tc>
      </w:tr>
      <w:tr>
        <w:tc>
          <w:tcPr/>
          <w:p>
            <w:pPr>
              <w:pStyle w:val="Compact"/>
              <w:jc w:val="left"/>
            </w:pPr>
            <w:r>
              <w:rPr>
                <w:bCs/>
                <w:b/>
              </w:rPr>
              <w:t xml:space="preserve">Kerahasiaan</w:t>
            </w:r>
          </w:p>
        </w:tc>
        <w:tc>
          <w:tcPr/>
          <w:p>
            <w:pPr>
              <w:pStyle w:val="Compact"/>
              <w:jc w:val="left"/>
            </w:pPr>
            <w:r>
              <w:t xml:space="preserve">Data biaya dan proses pemasok dilindungi kontrak dan hanya dipakai untuk evaluasi. Pengungkapan publik hanya dalam bentuk agregat, misalnya jumlah pemasok yang berkomitmen pada energi terbarukan</w:t>
            </w:r>
          </w:p>
        </w:tc>
      </w:tr>
      <w:tr>
        <w:tc>
          <w:tcPr/>
          <w:p>
            <w:pPr>
              <w:pStyle w:val="Compact"/>
              <w:jc w:val="left"/>
            </w:pPr>
            <w:r>
              <w:rPr>
                <w:bCs/>
                <w:b/>
              </w:rPr>
              <w:t xml:space="preserve">Umpan balik</w:t>
            </w:r>
          </w:p>
        </w:tc>
        <w:tc>
          <w:tcPr/>
          <w:p>
            <w:pPr>
              <w:pStyle w:val="Compact"/>
              <w:jc w:val="left"/>
            </w:pPr>
            <w:r>
              <w:t xml:space="preserve">Scorecard kuartalan dikirim kembali ke pemasok, dilengkapi posisi relatif terhadap pemasok sejenis (benchmark anonim)</w:t>
            </w:r>
          </w:p>
        </w:tc>
      </w:tr>
    </w:tbl>
    <w:bookmarkEnd w:id="31"/>
    <w:bookmarkStart w:id="32" w:name="Xc39bffe730d84c759855b3447e2f5ca5fa2f79f"/>
    <w:p>
      <w:pPr>
        <w:pStyle w:val="Heading1"/>
      </w:pPr>
      <w:r>
        <w:t xml:space="preserve">8. Rancangan Mekanisme Kolaborasi (Keluaran 2)</w:t>
      </w:r>
    </w:p>
    <w:p>
      <w:pPr>
        <w:pStyle w:val="FirstParagraph"/>
      </w:pPr>
      <w:r>
        <w:t xml:space="preserve">Rancangan ini menyatukan bagian 4–7 menjadi satu siklus yang mengikuti siklus peluncuran iPhone tahunan:</w:t>
      </w:r>
    </w:p>
    <w:p>
      <w:pPr>
        <w:pStyle w:val="SourceCode"/>
      </w:pPr>
      <w:r>
        <w:rPr>
          <w:rStyle w:val="VerbatimChar"/>
        </w:rPr>
        <w:t xml:space="preserve">  [1] Spesifikasi hijau model baru ──► [2] Seleksi &amp; audit ──► [3] Alokasi volume + klausul hijau</w:t>
      </w:r>
      <w:r>
        <w:br/>
      </w:r>
      <w:r>
        <w:rPr>
          <w:rStyle w:val="VerbatimChar"/>
        </w:rPr>
        <w:t xml:space="preserve">          ▲                                                              │</w:t>
      </w:r>
      <w:r>
        <w:br/>
      </w:r>
      <w:r>
        <w:rPr>
          <w:rStyle w:val="VerbatimChar"/>
        </w:rPr>
        <w:t xml:space="preserve">          │                                                              ▼</w:t>
      </w:r>
      <w:r>
        <w:br/>
      </w:r>
      <w:r>
        <w:rPr>
          <w:rStyle w:val="VerbatimChar"/>
        </w:rPr>
        <w:t xml:space="preserve">  [6] Review tahunan ◄── [5] Scorecard kuartalan ◄── [4] Pengembangan &amp; berbagi data</w:t>
      </w:r>
      <w:r>
        <w:br/>
      </w:r>
      <w:r>
        <w:rPr>
          <w:rStyle w:val="VerbatimChar"/>
        </w:rPr>
        <w:t xml:space="preserve">     (naik/turun status,      (data 2 arah,           (pelatihan energi bersih,</w:t>
      </w:r>
      <w:r>
        <w:br/>
      </w:r>
      <w:r>
        <w:rPr>
          <w:rStyle w:val="VerbatimChar"/>
        </w:rPr>
        <w:t xml:space="preserve">      revisi target 2030)      terverifikasi)           PPA kolektif, CAP)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Komponen</w:t>
            </w:r>
          </w:p>
        </w:tc>
        <w:tc>
          <w:tcPr/>
          <w:p>
            <w:pPr>
              <w:pStyle w:val="Compact"/>
              <w:jc w:val="left"/>
            </w:pPr>
            <w:r>
              <w:t xml:space="preserve">Isi rancangan</w:t>
            </w:r>
          </w:p>
        </w:tc>
        <w:tc>
          <w:tcPr/>
          <w:p>
            <w:pPr>
              <w:pStyle w:val="Compact"/>
              <w:jc w:val="left"/>
            </w:pPr>
            <w:r>
              <w:t xml:space="preserve">Penanggung jawab</w:t>
            </w:r>
          </w:p>
        </w:tc>
      </w:tr>
      <w:tr>
        <w:tc>
          <w:tcPr/>
          <w:p>
            <w:pPr>
              <w:pStyle w:val="Compact"/>
              <w:jc w:val="left"/>
            </w:pPr>
            <w:r>
              <w:rPr>
                <w:bCs/>
                <w:b/>
              </w:rPr>
              <w:t xml:space="preserve">Tata kelola</w:t>
            </w:r>
          </w:p>
        </w:tc>
        <w:tc>
          <w:tcPr/>
          <w:p>
            <w:pPr>
              <w:pStyle w:val="Compact"/>
              <w:jc w:val="left"/>
            </w:pPr>
            <w:r>
              <w:t xml:space="preserve">Business review kuartalan yang menggabungkan agenda biaya, kualitas, dan lingkungan, sehingga isu hijau tidak dibahas di forum terpisah yang mudah diabaikan</w:t>
            </w:r>
          </w:p>
        </w:tc>
        <w:tc>
          <w:tcPr/>
          <w:p>
            <w:pPr>
              <w:pStyle w:val="Compact"/>
              <w:jc w:val="left"/>
            </w:pPr>
            <w:r>
              <w:t xml:space="preserve">Commodity manager + tim lingkungan</w:t>
            </w:r>
          </w:p>
        </w:tc>
      </w:tr>
      <w:tr>
        <w:tc>
          <w:tcPr/>
          <w:p>
            <w:pPr>
              <w:pStyle w:val="Compact"/>
              <w:jc w:val="left"/>
            </w:pPr>
            <w:r>
              <w:rPr>
                <w:bCs/>
                <w:b/>
              </w:rPr>
              <w:t xml:space="preserve">Klausul kontrak</w:t>
            </w:r>
          </w:p>
        </w:tc>
        <w:tc>
          <w:tcPr/>
          <w:p>
            <w:pPr>
              <w:pStyle w:val="Compact"/>
              <w:jc w:val="left"/>
            </w:pPr>
            <w:r>
              <w:t xml:space="preserve">Kewajiban kepatuhan Code of Conduct, pelaporan data, hak audit pihak ketiga, dan komitmen energi terbarukan dengan tonggak waktu</w:t>
            </w:r>
          </w:p>
        </w:tc>
        <w:tc>
          <w:tcPr/>
          <w:p>
            <w:pPr>
              <w:pStyle w:val="Compact"/>
              <w:jc w:val="left"/>
            </w:pPr>
            <w:r>
              <w:t xml:space="preserve">Pengadaan + legal</w:t>
            </w:r>
          </w:p>
        </w:tc>
      </w:tr>
      <w:tr>
        <w:tc>
          <w:tcPr/>
          <w:p>
            <w:pPr>
              <w:pStyle w:val="Compact"/>
              <w:jc w:val="left"/>
            </w:pPr>
            <w:r>
              <w:rPr>
                <w:bCs/>
                <w:b/>
              </w:rPr>
              <w:t xml:space="preserve">Insentif</w:t>
            </w:r>
          </w:p>
        </w:tc>
        <w:tc>
          <w:tcPr/>
          <w:p>
            <w:pPr>
              <w:pStyle w:val="Compact"/>
              <w:jc w:val="left"/>
            </w:pPr>
            <w:r>
              <w:t xml:space="preserve">Pemasok</w:t>
            </w:r>
            <w:r>
              <w:t xml:space="preserve"> </w:t>
            </w:r>
            <w:r>
              <w:rPr>
                <w:iCs/>
                <w:i/>
              </w:rPr>
              <w:t xml:space="preserve">preferred</w:t>
            </w:r>
            <w:r>
              <w:t xml:space="preserve"> </w:t>
            </w:r>
            <w:r>
              <w:t xml:space="preserve">mendapat prioritas alokasi model baru, komitmen volume multi-tahun, dan akses ke program pendanaan energi bersih</w:t>
            </w:r>
          </w:p>
        </w:tc>
        <w:tc>
          <w:tcPr/>
          <w:p>
            <w:pPr>
              <w:pStyle w:val="Compact"/>
              <w:jc w:val="left"/>
            </w:pPr>
            <w:r>
              <w:t xml:space="preserve">Manajemen pengadaan</w:t>
            </w:r>
          </w:p>
        </w:tc>
      </w:tr>
      <w:tr>
        <w:tc>
          <w:tcPr/>
          <w:p>
            <w:pPr>
              <w:pStyle w:val="Compact"/>
              <w:jc w:val="left"/>
            </w:pPr>
            <w:r>
              <w:rPr>
                <w:bCs/>
                <w:b/>
              </w:rPr>
              <w:t xml:space="preserve">Konsekuensi</w:t>
            </w:r>
          </w:p>
        </w:tc>
        <w:tc>
          <w:tcPr/>
          <w:p>
            <w:pPr>
              <w:pStyle w:val="Compact"/>
              <w:jc w:val="left"/>
            </w:pPr>
            <w:r>
              <w:t xml:space="preserve">Tonggak energi terlewat dua kali berturut-turut berarti alokasi model baru dikurangi. Core violation berarti bisnis baru dihentikan</w:t>
            </w:r>
          </w:p>
        </w:tc>
        <w:tc>
          <w:tcPr/>
          <w:p>
            <w:pPr>
              <w:pStyle w:val="Compact"/>
              <w:jc w:val="left"/>
            </w:pPr>
            <w:r>
              <w:t xml:space="preserve">Pengadaan</w:t>
            </w:r>
          </w:p>
        </w:tc>
      </w:tr>
      <w:tr>
        <w:tc>
          <w:tcPr/>
          <w:p>
            <w:pPr>
              <w:pStyle w:val="Compact"/>
              <w:jc w:val="left"/>
            </w:pPr>
            <w:r>
              <w:rPr>
                <w:bCs/>
                <w:b/>
              </w:rPr>
              <w:t xml:space="preserve">Eskalasi</w:t>
            </w:r>
          </w:p>
        </w:tc>
        <w:tc>
          <w:tcPr/>
          <w:p>
            <w:pPr>
              <w:pStyle w:val="Compact"/>
              <w:jc w:val="left"/>
            </w:pPr>
            <w:r>
              <w:t xml:space="preserve">Masalah dibawa dari tim lapangan ke commodity manager, lalu ke pimpinan operasi Apple dan manajemen puncak pemasok</w:t>
            </w:r>
          </w:p>
        </w:tc>
        <w:tc>
          <w:tcPr/>
          <w:p>
            <w:pPr>
              <w:pStyle w:val="Compact"/>
              <w:jc w:val="left"/>
            </w:pPr>
            <w:r>
              <w:t xml:space="preserve">Berjenjang</w:t>
            </w:r>
          </w:p>
        </w:tc>
      </w:tr>
      <w:tr>
        <w:tc>
          <w:tcPr/>
          <w:p>
            <w:pPr>
              <w:pStyle w:val="Compact"/>
              <w:jc w:val="left"/>
            </w:pPr>
            <w:r>
              <w:rPr>
                <w:bCs/>
                <w:b/>
              </w:rPr>
              <w:t xml:space="preserve">Pembelajaran bersama</w:t>
            </w:r>
          </w:p>
        </w:tc>
        <w:tc>
          <w:tcPr/>
          <w:p>
            <w:pPr>
              <w:pStyle w:val="Compact"/>
              <w:jc w:val="left"/>
            </w:pPr>
            <w:r>
              <w:t xml:space="preserve">Forum tahunan pemasok untuk berbagi praktik terbaik energi, air, dan limbah, serta pembelian energi kolektif lintas pemasok</w:t>
            </w:r>
          </w:p>
        </w:tc>
        <w:tc>
          <w:tcPr/>
          <w:p>
            <w:pPr>
              <w:pStyle w:val="Compact"/>
              <w:jc w:val="left"/>
            </w:pPr>
            <w:r>
              <w:t xml:space="preserve">Tim lingkungan</w:t>
            </w:r>
          </w:p>
        </w:tc>
      </w:tr>
    </w:tbl>
    <w:bookmarkEnd w:id="32"/>
    <w:bookmarkStart w:id="33" w:name="X506f8ea3349275447fe0a0aecf165b0c1981c0d"/>
    <w:p>
      <w:pPr>
        <w:pStyle w:val="Heading1"/>
      </w:pPr>
      <w:r>
        <w:t xml:space="preserve">9. Dilema: Kapasitas vs Biaya (dengan Risiko dan Kualitas)</w:t>
      </w:r>
    </w:p>
    <w:p>
      <w:pPr>
        <w:pStyle w:val="FirstParagraph"/>
      </w:pPr>
      <w:r>
        <w:rPr>
          <w:bCs/>
          <w:b/>
        </w:rPr>
        <w:t xml:space="preserve">Dilemanya.</w:t>
      </w:r>
      <w:r>
        <w:t xml:space="preserve"> </w:t>
      </w:r>
      <w:r>
        <w:t xml:space="preserve">Apple sedang mendiversifikasi lokasi perakitan iPhone ke luar Tiongkok, antara lain ke India, untuk mengurangi risiko geopolitik dan konsentrasi pasokan. Pemasok Y penting secara strategis (K3), tetapi skor lingkungannya rendah. Akses listrik terbarukan di lokasi baru masih terbatas, jaringan listriknya padat karbon, dan pemasok belum punya kapasitas mengelola data serta Zero Waste. Di sisi lain, Pemasok X sudah hijau, tetapi memusatkan volume di X justru memperbesar risiko konsentrasi.</w:t>
      </w:r>
    </w:p>
    <w:p>
      <w:pPr>
        <w:pStyle w:val="BodyText"/>
      </w:pPr>
      <w:r>
        <w:rPr>
          <w:bCs/>
          <w:b/>
        </w:rPr>
        <w:t xml:space="preserve">Ilustrasi besaran emisi.</w:t>
      </w:r>
      <w:r>
        <w:t xml:space="preserve"> </w:t>
      </w:r>
      <w:r>
        <w:t xml:space="preserve">Misalkan operasi perakitan Y memakai 100 GWh listrik per tahun. Dengan faktor emisi jaringan listrik India sekitar 0,7 tCO₂/MWh, emisinya sekitar</w:t>
      </w:r>
      <w:r>
        <w:t xml:space="preserve"> </w:t>
      </w:r>
      <w:r>
        <w:rPr>
          <w:bCs/>
          <w:b/>
        </w:rPr>
        <w:t xml:space="preserve">70.000 tCO₂ per tahun</w:t>
      </w:r>
      <w:r>
        <w:t xml:space="preserve"> </w:t>
      </w:r>
      <w:r>
        <w:t xml:space="preserve">bila seluruhnya memakai listrik jaringan. Jika 100% terbarukan, emisi listrik ini mendekati nol.</w:t>
      </w:r>
    </w:p>
    <w:p>
      <w:pPr>
        <w:pStyle w:val="BodyText"/>
      </w:pPr>
      <w:r>
        <w:rPr>
          <w:bCs/>
          <w:b/>
        </w:rPr>
        <w:t xml:space="preserve">Perbandingan opsi:</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Opsi</w:t>
            </w:r>
          </w:p>
        </w:tc>
        <w:tc>
          <w:tcPr/>
          <w:p>
            <w:pPr>
              <w:pStyle w:val="Compact"/>
              <w:jc w:val="left"/>
            </w:pPr>
            <w:r>
              <w:t xml:space="preserve">Biaya</w:t>
            </w:r>
          </w:p>
        </w:tc>
        <w:tc>
          <w:tcPr/>
          <w:p>
            <w:pPr>
              <w:pStyle w:val="Compact"/>
              <w:jc w:val="left"/>
            </w:pPr>
            <w:r>
              <w:t xml:space="preserve">Emisi listrik Y</w:t>
            </w:r>
          </w:p>
        </w:tc>
        <w:tc>
          <w:tcPr/>
          <w:p>
            <w:pPr>
              <w:pStyle w:val="Compact"/>
              <w:jc w:val="left"/>
            </w:pPr>
            <w:r>
              <w:t xml:space="preserve">Risiko pasokan</w:t>
            </w:r>
          </w:p>
        </w:tc>
        <w:tc>
          <w:tcPr/>
          <w:p>
            <w:pPr>
              <w:pStyle w:val="Compact"/>
              <w:jc w:val="left"/>
            </w:pPr>
            <w:r>
              <w:t xml:space="preserve">Kualitas</w:t>
            </w:r>
          </w:p>
        </w:tc>
        <w:tc>
          <w:tcPr/>
          <w:p>
            <w:pPr>
              <w:pStyle w:val="Compact"/>
              <w:jc w:val="left"/>
            </w:pPr>
            <w:r>
              <w:t xml:space="preserve">Kesesuaian dengan Apple 2030</w:t>
            </w:r>
          </w:p>
        </w:tc>
      </w:tr>
      <w:tr>
        <w:tc>
          <w:tcPr/>
          <w:p>
            <w:pPr>
              <w:pStyle w:val="Compact"/>
              <w:jc w:val="left"/>
            </w:pPr>
            <w:r>
              <w:t xml:space="preserve">O1: Tarik volume kembali ke X</w:t>
            </w:r>
          </w:p>
        </w:tc>
        <w:tc>
          <w:tcPr/>
          <w:p>
            <w:pPr>
              <w:pStyle w:val="Compact"/>
              <w:jc w:val="left"/>
            </w:pPr>
            <w:r>
              <w:t xml:space="preserve">Rendah–sedang</w:t>
            </w:r>
          </w:p>
        </w:tc>
        <w:tc>
          <w:tcPr/>
          <w:p>
            <w:pPr>
              <w:pStyle w:val="Compact"/>
              <w:jc w:val="left"/>
            </w:pPr>
            <w:r>
              <w:t xml:space="preserve">Rendah</w:t>
            </w:r>
          </w:p>
        </w:tc>
        <w:tc>
          <w:tcPr/>
          <w:p>
            <w:pPr>
              <w:pStyle w:val="Compact"/>
              <w:jc w:val="left"/>
            </w:pPr>
            <w:r>
              <w:rPr>
                <w:bCs/>
                <w:b/>
              </w:rPr>
              <w:t xml:space="preserve">Tinggi</w:t>
            </w:r>
            <w:r>
              <w:t xml:space="preserve"> </w:t>
            </w:r>
            <w:r>
              <w:t xml:space="preserve">(konsentrasi lokasi)</w:t>
            </w:r>
          </w:p>
        </w:tc>
        <w:tc>
          <w:tcPr/>
          <w:p>
            <w:pPr>
              <w:pStyle w:val="Compact"/>
              <w:jc w:val="left"/>
            </w:pPr>
            <w:r>
              <w:t xml:space="preserve">Tinggi</w:t>
            </w:r>
          </w:p>
        </w:tc>
        <w:tc>
          <w:tcPr/>
          <w:p>
            <w:pPr>
              <w:pStyle w:val="Compact"/>
              <w:jc w:val="left"/>
            </w:pPr>
            <w:r>
              <w:t xml:space="preserve">Sesuai, tetapi rapuh</w:t>
            </w:r>
          </w:p>
        </w:tc>
      </w:tr>
      <w:tr>
        <w:tc>
          <w:tcPr/>
          <w:p>
            <w:pPr>
              <w:pStyle w:val="Compact"/>
              <w:jc w:val="left"/>
            </w:pPr>
            <w:r>
              <w:t xml:space="preserve">O2: Tambah volume Y tanpa syarat hijau</w:t>
            </w:r>
          </w:p>
        </w:tc>
        <w:tc>
          <w:tcPr/>
          <w:p>
            <w:pPr>
              <w:pStyle w:val="Compact"/>
              <w:jc w:val="left"/>
            </w:pPr>
            <w:r>
              <w:rPr>
                <w:bCs/>
                <w:b/>
              </w:rPr>
              <w:t xml:space="preserve">Terendah</w:t>
            </w:r>
          </w:p>
        </w:tc>
        <w:tc>
          <w:tcPr/>
          <w:p>
            <w:pPr>
              <w:pStyle w:val="Compact"/>
              <w:jc w:val="left"/>
            </w:pPr>
            <w:r>
              <w:t xml:space="preserve">~70.000 tCO₂/tahun</w:t>
            </w:r>
          </w:p>
        </w:tc>
        <w:tc>
          <w:tcPr/>
          <w:p>
            <w:pPr>
              <w:pStyle w:val="Compact"/>
              <w:jc w:val="left"/>
            </w:pPr>
            <w:r>
              <w:t xml:space="preserve">Rendah</w:t>
            </w:r>
          </w:p>
        </w:tc>
        <w:tc>
          <w:tcPr/>
          <w:p>
            <w:pPr>
              <w:pStyle w:val="Compact"/>
              <w:jc w:val="left"/>
            </w:pPr>
            <w:r>
              <w:t xml:space="preserve">Sedang</w:t>
            </w:r>
          </w:p>
        </w:tc>
        <w:tc>
          <w:tcPr/>
          <w:p>
            <w:pPr>
              <w:pStyle w:val="Compact"/>
              <w:jc w:val="left"/>
            </w:pPr>
            <w:r>
              <w:rPr>
                <w:bCs/>
                <w:b/>
              </w:rPr>
              <w:t xml:space="preserve">Tidak sesuai</w:t>
            </w:r>
            <w:r>
              <w:t xml:space="preserve">, plus risiko reputasi</w:t>
            </w:r>
          </w:p>
        </w:tc>
      </w:tr>
      <w:tr>
        <w:tc>
          <w:tcPr/>
          <w:p>
            <w:pPr>
              <w:pStyle w:val="Compact"/>
              <w:jc w:val="left"/>
            </w:pPr>
            <w:r>
              <w:rPr>
                <w:bCs/>
                <w:b/>
              </w:rPr>
              <w:t xml:space="preserve">O3: Tambah volume Y secara bertahap, dikaitkan dengan program pengembangan</w:t>
            </w:r>
          </w:p>
        </w:tc>
        <w:tc>
          <w:tcPr/>
          <w:p>
            <w:pPr>
              <w:pStyle w:val="Compact"/>
              <w:jc w:val="left"/>
            </w:pPr>
            <w:r>
              <w:t xml:space="preserve">Sedang (biaya transisi energi dibagi bersama)</w:t>
            </w:r>
          </w:p>
        </w:tc>
        <w:tc>
          <w:tcPr/>
          <w:p>
            <w:pPr>
              <w:pStyle w:val="Compact"/>
              <w:jc w:val="left"/>
            </w:pPr>
            <w:r>
              <w:t xml:space="preserve">Turun ~50% di tahun ke-2, mendekati nol di 2030</w:t>
            </w:r>
          </w:p>
        </w:tc>
        <w:tc>
          <w:tcPr/>
          <w:p>
            <w:pPr>
              <w:pStyle w:val="Compact"/>
              <w:jc w:val="left"/>
            </w:pPr>
            <w:r>
              <w:t xml:space="preserve">Rendah</w:t>
            </w:r>
          </w:p>
        </w:tc>
        <w:tc>
          <w:tcPr/>
          <w:p>
            <w:pPr>
              <w:pStyle w:val="Compact"/>
              <w:jc w:val="left"/>
            </w:pPr>
            <w:r>
              <w:t xml:space="preserve">Naik bertahap</w:t>
            </w:r>
          </w:p>
        </w:tc>
        <w:tc>
          <w:tcPr/>
          <w:p>
            <w:pPr>
              <w:pStyle w:val="Compact"/>
              <w:jc w:val="left"/>
            </w:pPr>
            <w:r>
              <w:rPr>
                <w:bCs/>
                <w:b/>
              </w:rPr>
              <w:t xml:space="preserve">Sesuai</w:t>
            </w:r>
          </w:p>
        </w:tc>
      </w:tr>
    </w:tbl>
    <w:p>
      <w:pPr>
        <w:pStyle w:val="BodyText"/>
      </w:pPr>
      <w:r>
        <w:rPr>
          <w:bCs/>
          <w:b/>
        </w:rPr>
        <w:t xml:space="preserve">Rekomendasi: O3.</w:t>
      </w:r>
    </w:p>
    <w:p>
      <w:pPr>
        <w:numPr>
          <w:ilvl w:val="0"/>
          <w:numId w:val="1005"/>
        </w:numPr>
        <w:pStyle w:val="Compact"/>
      </w:pPr>
      <w:r>
        <w:rPr>
          <w:bCs/>
          <w:b/>
        </w:rPr>
        <w:t xml:space="preserve">Volume dinaikkan bertahap sesuai tonggak.</w:t>
      </w:r>
      <w:r>
        <w:t xml:space="preserve"> </w:t>
      </w:r>
      <w:r>
        <w:t xml:space="preserve">Misalnya porsi Y naik setiap tahun hanya jika tonggak T1 (energi), T5 (data), dan yield tercapai.</w:t>
      </w:r>
    </w:p>
    <w:p>
      <w:pPr>
        <w:numPr>
          <w:ilvl w:val="0"/>
          <w:numId w:val="1005"/>
        </w:numPr>
        <w:pStyle w:val="Compact"/>
      </w:pPr>
      <w:r>
        <w:rPr>
          <w:bCs/>
          <w:b/>
        </w:rPr>
        <w:t xml:space="preserve">Model premium tetap di pemasok matang.</w:t>
      </w:r>
      <w:r>
        <w:t xml:space="preserve"> </w:t>
      </w:r>
      <w:r>
        <w:t xml:space="preserve">Model atau komponen dengan toleransi kualitas tertinggi tetap di X sampai yield Y stabil, sehingga kualitas peluncuran tidak dipertaruhkan.</w:t>
      </w:r>
    </w:p>
    <w:p>
      <w:pPr>
        <w:numPr>
          <w:ilvl w:val="0"/>
          <w:numId w:val="1005"/>
        </w:numPr>
        <w:pStyle w:val="Compact"/>
      </w:pPr>
      <w:r>
        <w:rPr>
          <w:bCs/>
          <w:b/>
        </w:rPr>
        <w:t xml:space="preserve">Biaya transisi energi dibagi.</w:t>
      </w:r>
      <w:r>
        <w:t xml:space="preserve"> </w:t>
      </w:r>
      <w:r>
        <w:t xml:space="preserve">PPA kolektif dan komitmen volume multi-tahun membuat investasi energi terbarukan Y layak dibiayai. Biaya ini lebih kecil daripada risiko reputasi dan kegagalan target 2030 jika memilih O2.</w:t>
      </w:r>
    </w:p>
    <w:p>
      <w:pPr>
        <w:numPr>
          <w:ilvl w:val="0"/>
          <w:numId w:val="1005"/>
        </w:numPr>
        <w:pStyle w:val="Compact"/>
      </w:pPr>
      <w:r>
        <w:rPr>
          <w:bCs/>
          <w:b/>
        </w:rPr>
        <w:t xml:space="preserve">Titik keputusan bulan ke-12:</w:t>
      </w:r>
      <w:r>
        <w:t xml:space="preserve"> </w:t>
      </w:r>
      <w:r>
        <w:t xml:space="preserve">jika porsi energi terbarukan Y di bawah 30% atau ada core violation, ekspansi volume dibekukan.</w:t>
      </w:r>
    </w:p>
    <w:p>
      <w:pPr>
        <w:pStyle w:val="FirstParagraph"/>
      </w:pPr>
      <w:r>
        <w:t xml:space="preserve">Dilema ini menunjukkan bahwa pada rantai pasok global, tujuan lingkungan bisa bertabrakan dengan tujuan ketahanan pasokan. Solusinya bukan memilih salah satu, melainkan memakai alokasi volume sebagai insentif pengembangan pemasok.</w:t>
      </w:r>
    </w:p>
    <w:bookmarkEnd w:id="33"/>
    <w:bookmarkStart w:id="34" w:name="kesimpulan"/>
    <w:p>
      <w:pPr>
        <w:pStyle w:val="Heading1"/>
      </w:pPr>
      <w:r>
        <w:t xml:space="preserve">10. Kesimpulan</w:t>
      </w:r>
    </w:p>
    <w:p>
      <w:pPr>
        <w:numPr>
          <w:ilvl w:val="0"/>
          <w:numId w:val="1006"/>
        </w:numPr>
        <w:pStyle w:val="Compact"/>
      </w:pPr>
      <w:r>
        <w:t xml:space="preserve">Kriteria pembelian hijau dua lapis (gerbang Code of Conduct, zat terbatas, dan mineral, lalu kriteria berbobot dengan porsi lingkungan 40%) membuat aspek lingkungan benar-benar memengaruhi alokasi bisnis iPhone. Pemasok termurah (Z) gugur.</w:t>
      </w:r>
    </w:p>
    <w:p>
      <w:pPr>
        <w:numPr>
          <w:ilvl w:val="0"/>
          <w:numId w:val="1006"/>
        </w:numPr>
        <w:pStyle w:val="Compact"/>
      </w:pPr>
      <w:r>
        <w:t xml:space="preserve">Audit berbasis segmentasi risiko memfokuskan sumber daya pada proses berdampak tinggi: perakitan, casing logam, PCB, baterai, dan smelter.</w:t>
      </w:r>
    </w:p>
    <w:p>
      <w:pPr>
        <w:numPr>
          <w:ilvl w:val="0"/>
          <w:numId w:val="1006"/>
        </w:numPr>
        <w:pStyle w:val="Compact"/>
      </w:pPr>
      <w:r>
        <w:t xml:space="preserve">Target pemasok diturunkan dari Apple 2030 (energi terbarukan, material daur ulang, Zero Waste, air) dan diverifikasi melalui data dua arah yang diperiksa pihak ketiga.</w:t>
      </w:r>
    </w:p>
    <w:p>
      <w:pPr>
        <w:numPr>
          <w:ilvl w:val="0"/>
          <w:numId w:val="1006"/>
        </w:numPr>
        <w:pStyle w:val="Compact"/>
      </w:pPr>
      <w:r>
        <w:t xml:space="preserve">Pengembangan pemasok yang dikaitkan dengan alokasi volume menyelesaikan dilema kapasitas vs lingkungan pada strategi diversifikasi lokasi produksi.</w:t>
      </w:r>
    </w:p>
    <w:bookmarkEnd w:id="34"/>
    <w:bookmarkStart w:id="35" w:name="daftar-rujukan"/>
    <w:p>
      <w:pPr>
        <w:pStyle w:val="Heading1"/>
      </w:pPr>
      <w:r>
        <w:t xml:space="preserve">Daftar Rujukan</w:t>
      </w:r>
    </w:p>
    <w:p>
      <w:pPr>
        <w:numPr>
          <w:ilvl w:val="0"/>
          <w:numId w:val="1007"/>
        </w:numPr>
        <w:pStyle w:val="Compact"/>
      </w:pPr>
      <w:r>
        <w:rPr>
          <w:bCs/>
          <w:b/>
        </w:rPr>
        <w:t xml:space="preserve">Ref [2]</w:t>
      </w:r>
      <w:r>
        <w:t xml:space="preserve"> </w:t>
      </w:r>
      <w:r>
        <w:t xml:space="preserve">—</w:t>
      </w:r>
      <w:r>
        <w:t xml:space="preserve"> </w:t>
      </w:r>
      <w:r>
        <w:rPr>
          <w:iCs/>
          <w:i/>
        </w:rPr>
        <w:t xml:space="preserve">(rujukan utama mata kuliah, sesuaikan dengan daftar rujukan W5)</w:t>
      </w:r>
    </w:p>
    <w:p>
      <w:pPr>
        <w:numPr>
          <w:ilvl w:val="0"/>
          <w:numId w:val="1007"/>
        </w:numPr>
        <w:pStyle w:val="Compact"/>
      </w:pPr>
      <w:r>
        <w:rPr>
          <w:bCs/>
          <w:b/>
        </w:rPr>
        <w:t xml:space="preserve">Ref [3]</w:t>
      </w:r>
      <w:r>
        <w:t xml:space="preserve"> </w:t>
      </w:r>
      <w:r>
        <w:t xml:space="preserve">—</w:t>
      </w:r>
      <w:r>
        <w:t xml:space="preserve"> </w:t>
      </w:r>
      <w:r>
        <w:rPr>
          <w:iCs/>
          <w:i/>
        </w:rPr>
        <w:t xml:space="preserve">(rujukan utama mata kuliah, sesuaikan dengan daftar rujukan W5)</w:t>
      </w:r>
    </w:p>
    <w:p>
      <w:pPr>
        <w:numPr>
          <w:ilvl w:val="0"/>
          <w:numId w:val="1007"/>
        </w:numPr>
        <w:pStyle w:val="Compact"/>
      </w:pPr>
      <w:r>
        <w:t xml:space="preserve">Apple Inc. (terbitan tahunan).</w:t>
      </w:r>
      <w:r>
        <w:t xml:space="preserve"> </w:t>
      </w:r>
      <w:r>
        <w:rPr>
          <w:iCs/>
          <w:i/>
        </w:rPr>
        <w:t xml:space="preserve">Environmental Progress Report</w:t>
      </w:r>
      <w:r>
        <w:t xml:space="preserve">. Cupertino, CA: Apple Inc.</w:t>
      </w:r>
    </w:p>
    <w:p>
      <w:pPr>
        <w:numPr>
          <w:ilvl w:val="0"/>
          <w:numId w:val="1007"/>
        </w:numPr>
        <w:pStyle w:val="Compact"/>
      </w:pPr>
      <w:r>
        <w:t xml:space="preserve">Apple Inc. (terbitan tahunan).</w:t>
      </w:r>
      <w:r>
        <w:t xml:space="preserve"> </w:t>
      </w:r>
      <w:r>
        <w:rPr>
          <w:iCs/>
          <w:i/>
        </w:rPr>
        <w:t xml:space="preserve">People and Environment in Our Supply Chain</w:t>
      </w:r>
      <w:r>
        <w:t xml:space="preserve">. Cupertino, CA: Apple Inc.</w:t>
      </w:r>
    </w:p>
    <w:p>
      <w:pPr>
        <w:numPr>
          <w:ilvl w:val="0"/>
          <w:numId w:val="1007"/>
        </w:numPr>
        <w:pStyle w:val="Compact"/>
      </w:pPr>
      <w:r>
        <w:t xml:space="preserve">Apple Inc. </w:t>
      </w:r>
      <w:r>
        <w:rPr>
          <w:iCs/>
          <w:i/>
        </w:rPr>
        <w:t xml:space="preserve">Apple Supplier Code of Conduct</w:t>
      </w:r>
      <w:r>
        <w:t xml:space="preserve"> </w:t>
      </w:r>
      <w:r>
        <w:t xml:space="preserve">dan</w:t>
      </w:r>
      <w:r>
        <w:t xml:space="preserve"> </w:t>
      </w:r>
      <w:r>
        <w:rPr>
          <w:iCs/>
          <w:i/>
        </w:rPr>
        <w:t xml:space="preserve">Supplier Responsibility Standards</w:t>
      </w:r>
      <w:r>
        <w:t xml:space="preserve">. Cupertino, CA: Apple Inc.</w:t>
      </w:r>
    </w:p>
    <w:p>
      <w:pPr>
        <w:numPr>
          <w:ilvl w:val="0"/>
          <w:numId w:val="1007"/>
        </w:numPr>
        <w:pStyle w:val="Compact"/>
      </w:pPr>
      <w:r>
        <w:t xml:space="preserve">Bai, C., &amp; Sarkis, J. (2010). Green supplier development: Analytical evaluation using rough set theory.</w:t>
      </w:r>
      <w:r>
        <w:t xml:space="preserve"> </w:t>
      </w:r>
      <w:r>
        <w:rPr>
          <w:iCs/>
          <w:i/>
        </w:rPr>
        <w:t xml:space="preserve">Journal of Cleaner Production, 18</w:t>
      </w:r>
      <w:r>
        <w:t xml:space="preserve">(12), 1200–1210.</w:t>
      </w:r>
    </w:p>
    <w:p>
      <w:pPr>
        <w:numPr>
          <w:ilvl w:val="0"/>
          <w:numId w:val="1007"/>
        </w:numPr>
        <w:pStyle w:val="Compact"/>
      </w:pPr>
      <w:r>
        <w:t xml:space="preserve">International Organization for Standardization. (2017).</w:t>
      </w:r>
      <w:r>
        <w:t xml:space="preserve"> </w:t>
      </w:r>
      <w:r>
        <w:rPr>
          <w:iCs/>
          <w:i/>
        </w:rPr>
        <w:t xml:space="preserve">ISO 20400:2017 Sustainable procurement — Guidance</w:t>
      </w:r>
      <w:r>
        <w:t xml:space="preserve">. ISO.</w:t>
      </w:r>
    </w:p>
    <w:p>
      <w:pPr>
        <w:numPr>
          <w:ilvl w:val="0"/>
          <w:numId w:val="1007"/>
        </w:numPr>
        <w:pStyle w:val="Compact"/>
      </w:pPr>
      <w:r>
        <w:t xml:space="preserve">Krause, D. R., Handfield, R. B., &amp; Scannell, T. V. (1998). An empirical investigation of supplier development: Reactive and strategic processes.</w:t>
      </w:r>
      <w:r>
        <w:t xml:space="preserve"> </w:t>
      </w:r>
      <w:r>
        <w:rPr>
          <w:iCs/>
          <w:i/>
        </w:rPr>
        <w:t xml:space="preserve">Journal of Operations Management, 17</w:t>
      </w:r>
      <w:r>
        <w:t xml:space="preserve">(1), 39–58.</w:t>
      </w:r>
    </w:p>
    <w:p>
      <w:pPr>
        <w:numPr>
          <w:ilvl w:val="0"/>
          <w:numId w:val="1007"/>
        </w:numPr>
        <w:pStyle w:val="Compact"/>
      </w:pPr>
      <w:r>
        <w:t xml:space="preserve">Vachon, S., &amp; Klassen, R. D. (2006). Extending green practices across the supply chain: The impact of upstream and downstream integration.</w:t>
      </w:r>
      <w:r>
        <w:t xml:space="preserve"> </w:t>
      </w:r>
      <w:r>
        <w:rPr>
          <w:iCs/>
          <w:i/>
        </w:rPr>
        <w:t xml:space="preserve">International Journal of Operations &amp; Production Management, 26</w:t>
      </w:r>
      <w:r>
        <w:t xml:space="preserve">(7), 795–821.</w:t>
      </w:r>
    </w:p>
    <w:p>
      <w:pPr>
        <w:numPr>
          <w:ilvl w:val="0"/>
          <w:numId w:val="1007"/>
        </w:numPr>
        <w:pStyle w:val="Compact"/>
      </w:pPr>
      <w:r>
        <w:t xml:space="preserve">Zhu, Q., &amp; Sarkis, J. (2004). Relationships between operational practices and performance among early adopters of green supply chain management practices in Chinese manufacturing enterprises.</w:t>
      </w:r>
      <w:r>
        <w:t xml:space="preserve"> </w:t>
      </w:r>
      <w:r>
        <w:rPr>
          <w:iCs/>
          <w:i/>
        </w:rPr>
        <w:t xml:space="preserve">Journal of Operations Management, 22</w:t>
      </w:r>
      <w:r>
        <w:t xml:space="preserve">(3), 265–289.</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Evaluasi Green Procurement dan Pengembangan Pemasok: Rantai Pasok Apple iPhone</dc:title>
  <dc:creator/>
  <dc:language>id</dc:language>
  <cp:keywords/>
  <dcterms:created xsi:type="dcterms:W3CDTF">2026-10-12T11:59:21Z</dcterms:created>
  <dcterms:modified xsi:type="dcterms:W3CDTF">2026-10-12T11:59:21Z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Tugas W5 — Green Procurement and Supplier Collaboration</vt:lpwstr>
  </property>
</Properties>
</file>