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CV Putra Pondok Indah merupakan usaha konveksi di bidang industri tekstil yang memproduksi songkok dengan merek Pondok Indah dan berlokasi di Bungah, Kabupaten Gresik, Jawa Timur. Usaha ini didirikan pada tahun 1991 oleh H. Khusnul Ma’arif bin Abdullah, kemudian diteruskan oleh putranya, Dr. M. Jamaluddin, M.Pd., yang saat ini menjadi pemilik perusahaan. Pada awal berdirinya, usaha ini hanya menjual songkok jadi yang dibeli dari pengrajin atau pemasok lain. Usaha tersebut kemudian berkembang hingga mampu memproduksi songkok secara mandiri dan menerima pesanan khusus (custom) dengan label Pondok Indah.</w:t>
      </w:r>
    </w:p>
    <w:p>
      <w:pPr>
        <w:spacing w:line="360" w:lineRule="auto" w:after="120"/>
        <w:ind w:firstLine="709"/>
        <w:jc w:val="both"/>
      </w:pPr>
      <w:r>
        <w:rPr>
          <w:b w:val="0"/>
          <w:i w:val="0"/>
        </w:rPr>
        <w:t>Seiring perkembangannya, usaha yang semula belum berbadan usaha berubah menjadi Usaha Dagang (UD) pada tahun 2001, kemudian menjadi persekutuan komanditer (CV) pada tahun 2023. Pada tahun 2025 perusahaan memperoleh sertifikat halal. Perusahaan berkomitmen menghasilkan songkok berkualitas yang memadukan unsur tradisional dan modern. Produk dipasarkan melalui 11 reseller/toko yang tersebar di dua provinsi, yaitu 4 di Jawa Timur dan 7 di Jawa Tengah.</w:t>
      </w:r>
    </w:p>
    <w:p>
      <w:pPr>
        <w:spacing w:line="360" w:lineRule="auto" w:after="120"/>
        <w:ind w:firstLine="709"/>
        <w:jc w:val="both"/>
      </w:pPr>
      <w:r>
        <w:rPr>
          <w:b w:val="0"/>
          <w:i w:val="0"/>
        </w:rPr>
        <w:t>Perusahaan memproduksi 24 varian songkok yang terdiri atas 8 varian polos (Non-AC, AC, Full AC, dan susun) dan 16 varian bermotif bordir. Penjualan dilakukan dalam satuan kodi (1 kodi = 20 pcs) dengan harga Rp760.000–Rp1.100.000 per kodi.</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after="40"/>
        <w:jc w:val="center"/>
      </w:pPr>
      <w:r>
        <w:drawing>
          <wp:inline xmlns:a="http://schemas.openxmlformats.org/drawingml/2006/main" xmlns:pic="http://schemas.openxmlformats.org/drawingml/2006/picture">
            <wp:extent cx="5220000" cy="4027234"/>
            <wp:docPr id="1" name="Picture 1"/>
            <wp:cNvGraphicFramePr>
              <a:graphicFrameLocks noChangeAspect="1"/>
            </wp:cNvGraphicFramePr>
            <a:graphic>
              <a:graphicData uri="http://schemas.openxmlformats.org/drawingml/2006/picture">
                <pic:pic>
                  <pic:nvPicPr>
                    <pic:cNvPr id="0" name="struktur.png"/>
                    <pic:cNvPicPr/>
                  </pic:nvPicPr>
                  <pic:blipFill>
                    <a:blip r:embed="rId9"/>
                    <a:stretch>
                      <a:fillRect/>
                    </a:stretch>
                  </pic:blipFill>
                  <pic:spPr>
                    <a:xfrm>
                      <a:off x="0" y="0"/>
                      <a:ext cx="5220000" cy="4027234"/>
                    </a:xfrm>
                    <a:prstGeom prst="rect"/>
                  </pic:spPr>
                </pic:pic>
              </a:graphicData>
            </a:graphic>
          </wp:inline>
        </w:drawing>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 2025</w:t>
      </w:r>
    </w:p>
    <w:p>
      <w:pPr>
        <w:spacing w:line="360" w:lineRule="auto" w:after="120"/>
        <w:ind w:firstLine="709"/>
        <w:jc w:val="both"/>
      </w:pPr>
      <w:r>
        <w:rPr>
          <w:b w:val="0"/>
          <w:i w:val="0"/>
        </w:rPr>
        <w:t xml:space="preserve">Berdasarkan Gambar 4.1, pemilik berada pada posisi tertinggi dan membawahi bagian produksi yang dipimpin oleh seorang kepala produksi. Bagian produksi membawahi tiga bagian, yaitu bagian gudang/persediaan (2 orang), bagian penjahitan (10 orang), dan bagian packaging (4 orang), sehingga jumlah tenaga kerja tetap di luar pemilik adalah 17 orang. Di luar tenaga kerja tetap tersebut, hasil observasi menunjukkan bahwa perusahaan mempekerjakan tenaga kerja borongan dalam jumlah banyak, yaitu pekerja yang bekerja di rumah masing-masing dan dibayar setelah mencapai target hasil kerja </w:t>
      </w:r>
      <w:r>
        <w:rPr>
          <w:b w:val="0"/>
          <w:i w:val="0"/>
          <w:highlight w:val="yellow"/>
        </w:rPr>
        <w:t>[jumlah tenaga borongan pada musim puncak dan di luar musim puncak 2025]</w:t>
      </w:r>
      <w:r>
        <w:rPr>
          <w:b w:val="0"/>
          <w:i w:val="0"/>
        </w:rPr>
        <w:t>. Tenaga borongan tidak tercantum dalam struktur organisasi karena bukan pekerja tetap. Sistem kerja tenaga borongan dijelaskan pada subbab 4.1.3. Struktur organisasi yang sederhana dengan pemilik yang terlibat langsung dalam pengambilan keputusan ini merupakan karakteristik umum UMKM (Garengo, Biazzo, &amp; Bititci, 2005).</w:t>
      </w:r>
    </w:p>
    <w:p>
      <w:pPr>
        <w:spacing w:line="360" w:lineRule="auto" w:after="120"/>
        <w:jc w:val="left"/>
      </w:pPr>
      <w:r>
        <w:rPr>
          <w:b/>
          <w:i w:val="0"/>
        </w:rPr>
        <w:t>4.1.3 Proses Produksi Songkok</w:t>
      </w:r>
    </w:p>
    <w:p>
      <w:pPr>
        <w:spacing w:line="360" w:lineRule="auto" w:after="120"/>
        <w:ind w:firstLine="709"/>
        <w:jc w:val="both"/>
      </w:pPr>
      <w:r>
        <w:rPr>
          <w:b w:val="0"/>
          <w:i w:val="0"/>
        </w:rPr>
        <w:t xml:space="preserve">Proses produksi songkok di CV Putra Pondok Indah menggunakan sistem kerja per paket. Satu paket berisi bahan untuk 1 kodi (20 pcs) songkok, dan setiap pekerja mengerjakan paketnya secara utuh, mulai dari pemotongan pola kain beludru, penjahitan badan dan tutup songkok, pemasangan bos-bosan (lapisan dalam), hingga pemasangan label atau motif bordir. Pekerjaan tidak dibagi per tahapan kepada pekerja yang berbeda seperti pada lini perakitan. </w:t>
      </w:r>
      <w:r>
        <w:rPr>
          <w:b w:val="0"/>
          <w:i w:val="0"/>
          <w:highlight w:val="yellow"/>
        </w:rPr>
        <w:t>[Konfirmasi: apakah pemotongan pola juga dilakukan oleh penjahit.]</w:t>
      </w:r>
    </w:p>
    <w:p>
      <w:pPr>
        <w:spacing w:line="360" w:lineRule="auto" w:after="120"/>
        <w:ind w:firstLine="709"/>
        <w:jc w:val="both"/>
      </w:pPr>
      <w:r>
        <w:rPr>
          <w:b w:val="0"/>
          <w:i w:val="0"/>
        </w:rPr>
        <w:t xml:space="preserve">Pekerjaan tersebut dilakukan oleh dua kelompok pekerja. Kelompok pertama adalah penjahit tetap yang bekerja di perusahaan. Kelompok kedua adalah tenaga kerja borongan yang datang ke perusahaan untuk mengambil paket bahan baku, kemudian mengerjakannya di rumah masing-masing. Setiap tenaga borongan memiliki target jumlah paket yang harus diselesaikan, dan upah baru dibayarkan setelah target tersebut tercapai </w:t>
      </w:r>
      <w:r>
        <w:rPr>
          <w:b w:val="0"/>
          <w:i w:val="0"/>
          <w:highlight w:val="yellow"/>
        </w:rPr>
        <w:t>[target per orang, misalnya … kodi per minggu; besaran upah per kodi]</w:t>
      </w:r>
      <w:r>
        <w:rPr>
          <w:b w:val="0"/>
          <w:i w:val="0"/>
        </w:rPr>
        <w:t xml:space="preserve">. Sistem ini termasuk kategori kerja rumahan (home work), yaitu pekerjaan yang dilakukan seseorang di rumahnya atas pesanan pemberi kerja untuk menghasilkan produk sesuai spesifikasi pemberi kerja dengan imbalan upah, siapa pun yang menyediakan bahan bakunya (International Labour Organization </w:t>
      </w:r>
      <w:r>
        <w:rPr>
          <w:b w:val="0"/>
          <w:i w:val="0"/>
          <w:highlight w:val="yellow"/>
        </w:rPr>
        <w:t>[ILO]</w:t>
      </w:r>
      <w:r>
        <w:rPr>
          <w:b w:val="0"/>
          <w:i w:val="0"/>
        </w:rPr>
        <w:t>, 1996).</w:t>
      </w:r>
    </w:p>
    <w:p>
      <w:pPr>
        <w:spacing w:line="360" w:lineRule="auto" w:after="120"/>
        <w:ind w:firstLine="709"/>
        <w:jc w:val="both"/>
      </w:pPr>
      <w:r>
        <w:rPr>
          <w:b w:val="0"/>
          <w:i w:val="0"/>
        </w:rPr>
        <w:t xml:space="preserve">Setelah paket selesai, hasil jahitan disetorkan dan diperiksa langsung oleh pemilik untuk memastikan jahitannya rapi. Paket yang jahitannya tidak rapi dikembalikan kepada pekerja untuk dibongkar dan dijahit ulang, kemudian diperiksa kembali. Paket yang jahitannya rapi langsung dikirim ke bagian gudang untuk disimpan, kemudian dikemas per kodi oleh bagian packaging sebelum dikirim kepada reseller </w:t>
      </w:r>
      <w:r>
        <w:rPr>
          <w:b w:val="0"/>
          <w:i w:val="0"/>
          <w:highlight w:val="yellow"/>
        </w:rPr>
        <w:t>[konfirmasi urutan gudang dan packaging]</w:t>
      </w:r>
      <w:r>
        <w:rPr>
          <w:b w:val="0"/>
          <w:i w:val="0"/>
        </w:rPr>
        <w:t>. Bahan baku utama terdiri atas kain beludru (yard), bos-bosan (kodi), dan label (lusin). Diagram alir proses produksi disajikan pada Gambar 4.2.</w:t>
      </w:r>
    </w:p>
    <w:p>
      <w:pPr>
        <w:spacing w:line="360" w:lineRule="auto" w:after="120"/>
        <w:ind w:firstLine="709"/>
        <w:jc w:val="both"/>
      </w:pPr>
      <w:r>
        <w:rPr>
          <w:b w:val="0"/>
          <w:i w:val="0"/>
        </w:rPr>
        <w:t>Sistem kerja per paket oleh pekerja terampil merupakan ciri produksi kerajinan (craft production), yaitu produksi yang mengandalkan pekerja terampil yang menguasai seluruh proses pembuatan produk dengan peralatan sederhana (Womack, Jones, &amp; Roos, 1990). Konsekuensinya, kapasitas produksi bergantung pada jumlah dan keterampilan penjahit, termasuk tenaga borongan, sedangkan kualitas setiap songkok bergantung pada keahlian pekerja yang membuatnya. Karena sebagian pekerjaan dilakukan di rumah tenaga borongan, mutu songkok baru dapat dikendalikan pada saat pemeriksaan oleh pemilik, dan setiap jahitan yang tidak rapi menambah waktu dan tenaga untuk pengerjaan ulang. Pemeriksaan yang dilakukan sendiri oleh pemilik juga menunjukkan pengambilan keputusan yang berpusat pada pemilik, yang merupakan karakteristik UMKM (Garengo et al., 2005). Kondisi tersebut menjadi dasar dimasukkannya dimensi Craft Workforce Capability (H1–H4), fleksibilitas kapasitas musim puncak (A3), dan KPI kualitas (Q1–Q3) dalam arsitektur KPI.</w:t>
      </w:r>
    </w:p>
    <w:p>
      <w:pPr>
        <w:spacing w:after="40"/>
        <w:jc w:val="center"/>
      </w:pPr>
      <w:r>
        <w:drawing>
          <wp:inline xmlns:a="http://schemas.openxmlformats.org/drawingml/2006/main" xmlns:pic="http://schemas.openxmlformats.org/drawingml/2006/picture">
            <wp:extent cx="4500000" cy="3888000"/>
            <wp:docPr id="2" name="Picture 2"/>
            <wp:cNvGraphicFramePr>
              <a:graphicFrameLocks noChangeAspect="1"/>
            </wp:cNvGraphicFramePr>
            <a:graphic>
              <a:graphicData uri="http://schemas.openxmlformats.org/drawingml/2006/picture">
                <pic:pic>
                  <pic:nvPicPr>
                    <pic:cNvPr id="0" name="alur.png"/>
                    <pic:cNvPicPr/>
                  </pic:nvPicPr>
                  <pic:blipFill>
                    <a:blip r:embed="rId10"/>
                    <a:stretch>
                      <a:fillRect/>
                    </a:stretch>
                  </pic:blipFill>
                  <pic:spPr>
                    <a:xfrm>
                      <a:off x="0" y="0"/>
                      <a:ext cx="4500000" cy="3888000"/>
                    </a:xfrm>
                    <a:prstGeom prst="rect"/>
                  </pic:spPr>
                </pic:pic>
              </a:graphicData>
            </a:graphic>
          </wp:inline>
        </w:drawing>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 dan wawancara, 2025</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rPr>
              <w:t>Perusahaan mempekerjakan tenaga borongan dalam jumlah banyak di luar 17 tenaga kerja tetap, dengan sistem kerja di rumah dan upah berbasis target, sehingga kapasitas produksi, terutama pada musim puncak, bergantung pada ketersediaan dan kedisiplinan tenaga borongan.</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et al.,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rPr>
              <w:t xml:space="preserve">Produksi menggunakan sistem satu paket: setiap penjahit mengerjakan satu songkok secara utuh, kemudian hasilnya diserahkan ke bagian packaging (Gambar 4.2). </w:t>
            </w:r>
            <w:r>
              <w:rPr>
                <w:b w:val="0"/>
                <w:i w:val="0"/>
                <w:sz w:val="20"/>
                <w:highlight w:val="yellow"/>
              </w:rPr>
              <w:t>[waktu pengerjaan per songkok/per kodi]</w:t>
            </w:r>
          </w:p>
        </w:tc>
      </w:tr>
      <w:tr>
        <w:tc>
          <w:tcPr>
            <w:tcW w:type="dxa" w:w="567"/>
          </w:tcPr>
          <w:p>
            <w:pPr>
              <w:spacing w:after="0"/>
            </w:pPr>
            <w:r/>
            <w:r>
              <w:rPr>
                <w:b w:val="0"/>
                <w:i w:val="0"/>
                <w:sz w:val="20"/>
              </w:rPr>
              <w:t>2</w:t>
            </w:r>
          </w:p>
        </w:tc>
        <w:tc>
          <w:tcPr>
            <w:tcW w:type="dxa" w:w="2551"/>
          </w:tcPr>
          <w:p>
            <w:pPr>
              <w:spacing w:after="0"/>
            </w:pPr>
            <w:r/>
            <w:r>
              <w:rPr>
                <w:b w:val="0"/>
                <w:i w:val="0"/>
                <w:sz w:val="20"/>
              </w:rPr>
              <w:t>Tenaga kerja</w:t>
            </w:r>
          </w:p>
        </w:tc>
        <w:tc>
          <w:tcPr>
            <w:tcW w:type="dxa" w:w="5102"/>
          </w:tcPr>
          <w:p>
            <w:pPr>
              <w:spacing w:after="0"/>
            </w:pPr>
            <w:r/>
            <w:r>
              <w:rPr>
                <w:b w:val="0"/>
                <w:i w:val="0"/>
                <w:sz w:val="20"/>
              </w:rPr>
              <w:t xml:space="preserve">Selain 17 tenaga kerja tetap, terdapat banyak tenaga kerja borongan. Tenaga borongan mengambil bahan baku di perusahaan, mengerjakan songkok di rumah masing-masing, lalu menyetorkan hasilnya; upah dibayar setelah target tercapai. </w:t>
            </w:r>
            <w:r>
              <w:rPr>
                <w:b w:val="0"/>
                <w:i w:val="0"/>
                <w:sz w:val="20"/>
                <w:highlight w:val="yellow"/>
              </w:rPr>
              <w:t>[jumlah tenaga borongan; target per orang]</w:t>
            </w:r>
          </w:p>
        </w:tc>
      </w:tr>
      <w:tr>
        <w:tc>
          <w:tcPr>
            <w:tcW w:type="dxa" w:w="567"/>
          </w:tcPr>
          <w:p>
            <w:pPr>
              <w:spacing w:after="0"/>
            </w:pPr>
            <w:r/>
            <w:r>
              <w:rPr>
                <w:b w:val="0"/>
                <w:i w:val="0"/>
                <w:sz w:val="20"/>
              </w:rPr>
              <w:t>3</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4</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5</w:t>
            </w:r>
          </w:p>
        </w:tc>
        <w:tc>
          <w:tcPr>
            <w:tcW w:type="dxa" w:w="2551"/>
          </w:tcPr>
          <w:p>
            <w:pPr>
              <w:spacing w:after="0"/>
            </w:pPr>
            <w:r/>
            <w:r>
              <w:rPr>
                <w:b w:val="0"/>
                <w:i w:val="0"/>
                <w:sz w:val="20"/>
              </w:rPr>
              <w:t>Pengendalian kualitas</w:t>
            </w:r>
          </w:p>
        </w:tc>
        <w:tc>
          <w:tcPr>
            <w:tcW w:type="dxa" w:w="5102"/>
          </w:tcPr>
          <w:p>
            <w:pPr>
              <w:spacing w:after="0"/>
            </w:pPr>
            <w:r/>
            <w:r>
              <w:rPr>
                <w:b w:val="0"/>
                <w:i w:val="0"/>
                <w:sz w:val="20"/>
              </w:rPr>
              <w:t xml:space="preserve">Setiap paket (1 kodi) yang selesai diperiksa langsung oleh pemilik. Jahitan yang tidak rapi dibongkar dan dijahit ulang oleh pekerja; yang rapi langsung dikirim ke gudang. </w:t>
            </w:r>
            <w:r>
              <w:rPr>
                <w:b w:val="0"/>
                <w:i w:val="0"/>
                <w:sz w:val="20"/>
                <w:highlight w:val="yellow"/>
              </w:rPr>
              <w:t>[jumlah paket yang dijahit ulang per bulan, jika dicatat]</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diganti dengan kode E1–E6. Pemetaan berdasarkan fungsi aktual terlihat pada E5: dalam struktur organisasi (Gambar 4.1) E5 tercatat pada bagian packaging, tetapi dalam praktik berperan sebagai pengrajin senior/tenaga kerja ahli, sehingga E5 mewakili fungsi pengrajin senior, sedangkan E6 mewakili fungsi finishing dan packaging.</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grafik2025.png"/>
                    <pic:cNvPicPr/>
                  </pic:nvPicPr>
                  <pic:blipFill>
                    <a:blip r:embed="rId11"/>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rPr>
              <w:t xml:space="preserve">17 orang / banyak </w:t>
            </w:r>
            <w:r>
              <w:rPr>
                <w:b w:val="0"/>
                <w:i w:val="0"/>
                <w:sz w:val="20"/>
                <w:highlight w:val="yellow"/>
              </w:rPr>
              <w:t>[… orang pada musim puncak; … orang di luar musim puncak]</w:t>
            </w:r>
          </w:p>
        </w:tc>
        <w:tc>
          <w:tcPr>
            <w:tcW w:type="dxa" w:w="2268"/>
          </w:tcPr>
          <w:p>
            <w:pPr>
              <w:spacing w:after="0"/>
            </w:pPr>
            <w:r/>
            <w:r>
              <w:rPr>
                <w:b w:val="0"/>
                <w:i w:val="0"/>
                <w:sz w:val="20"/>
              </w:rPr>
              <w:t>Gambar 4.1; observasi; wawancara pemilik</w:t>
            </w:r>
          </w:p>
        </w:tc>
      </w:tr>
      <w:tr>
        <w:tc>
          <w:tcPr>
            <w:tcW w:type="dxa" w:w="3118"/>
          </w:tcPr>
          <w:p>
            <w:pPr>
              <w:spacing w:after="0"/>
            </w:pPr>
            <w:r/>
            <w:r>
              <w:rPr>
                <w:b w:val="0"/>
                <w:i w:val="0"/>
                <w:sz w:val="20"/>
              </w:rPr>
              <w:t>Target dan upah tenaga borongan</w:t>
            </w:r>
          </w:p>
        </w:tc>
        <w:tc>
          <w:tcPr>
            <w:tcW w:type="dxa" w:w="2835"/>
          </w:tcPr>
          <w:p>
            <w:pPr>
              <w:spacing w:after="0"/>
            </w:pPr>
            <w:r/>
            <w:r>
              <w:rPr>
                <w:b w:val="0"/>
                <w:i w:val="0"/>
                <w:sz w:val="20"/>
                <w:highlight w:val="yellow"/>
              </w:rPr>
              <w:t>[… kodi per orang per periode; Rp… per kodi]</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tesis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International Labour Organization. (1996). </w:t>
      </w:r>
      <w:r>
        <w:rPr>
          <w:b w:val="0"/>
          <w:i/>
        </w:rPr>
        <w:t>Home Work Convention, 1996 (No. 177)</w:t>
      </w:r>
      <w:r>
        <w:rPr>
          <w:b w:val="0"/>
          <w:i w:val="0"/>
        </w:rPr>
        <w:t>. International Labour Organization.</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p>
      <w:pPr>
        <w:spacing w:line="360" w:lineRule="auto" w:after="120"/>
        <w:ind w:left="709" w:hanging="709"/>
        <w:jc w:val="left"/>
      </w:pPr>
      <w:r>
        <w:rPr>
          <w:b w:val="0"/>
          <w:i w:val="0"/>
        </w:rPr>
        <w:t xml:space="preserve">Womack, J. P., Jones, D. T., &amp; Roos, D. (1990). </w:t>
      </w:r>
      <w:r>
        <w:rPr>
          <w:b w:val="0"/>
          <w:i/>
        </w:rPr>
        <w:t>The machine that changed the world</w:t>
      </w:r>
      <w:r>
        <w:rPr>
          <w:b w:val="0"/>
          <w:i w:val="0"/>
        </w:rPr>
        <w:t>. Rawson Associates.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