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adalah data yang diperoleh langsung dari sumbernya oleh peneliti, sedangkan data sekunder adalah data yang diperoleh secara tidak langsung, misalnya melalui dokumen (Sugiyono, 2019). Data primer diperoleh melalui survei awal, observasi, wawancara, dan kuesioner validasi Key Performance Indicator (KPI) yang diisi oleh enam pakar internal perusahaan. Data sekunder berupa data operasional perusahaan periode Januari–Desember 2025, sesuai dengan periode data yang digunakan pada Bab I,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 Tahapan tersebut mengikuti kerangka berpikir penelitian pada Bab II (Gambar 2.</w:t>
      </w:r>
      <w:r>
        <w:rPr>
          <w:b w:val="0"/>
          <w:i w:val="0"/>
          <w:highlight w:val="yellow"/>
        </w:rPr>
        <w:t>[…]</w:t>
      </w:r>
      <w:r>
        <w:rPr>
          <w:b w:val="0"/>
          <w:i w:val="0"/>
        </w:rPr>
        <w:t>), yaitu adaptasi IPMS melalui pemetaan stakeholder, arsitektur KPI enam dimensi, pembobotan AHP, KPI properties dashboard, dan evaluasi kinerja dinamis berdasarkan siklus musiman.</w:t>
      </w:r>
    </w:p>
    <w:p>
      <w:pPr>
        <w:spacing w:line="360" w:lineRule="auto" w:after="120"/>
        <w:jc w:val="left"/>
      </w:pPr>
      <w:r>
        <w:rPr>
          <w:b/>
          <w:i w:val="0"/>
        </w:rPr>
        <w:t>4.1 Gambaran Umum Perusahaan</w:t>
      </w:r>
    </w:p>
    <w:p>
      <w:pPr>
        <w:spacing w:line="360" w:lineRule="auto" w:after="120"/>
        <w:jc w:val="left"/>
      </w:pPr>
      <w:r>
        <w:rPr>
          <w:b/>
          <w:i w:val="0"/>
        </w:rPr>
        <w:t>4.1.1 Profil CV Putra Pondok Indah</w:t>
      </w:r>
    </w:p>
    <w:p>
      <w:pPr>
        <w:spacing w:line="360" w:lineRule="auto" w:after="120"/>
        <w:ind w:firstLine="709"/>
        <w:jc w:val="both"/>
      </w:pPr>
      <w:r>
        <w:rPr>
          <w:b w:val="0"/>
          <w:i w:val="0"/>
        </w:rPr>
        <w:t>CV Putra Pondok Indah merupakan usaha konveksi di bidang industri tekstil yang memproduksi songkok dengan merek Pondok Indah dan berlokasi di Bungah, Kabupaten Gresik, Jawa Timur. Usaha ini didirikan pada tahun 1991 oleh H. Khusnul Ma’arif bin Abdullah, kemudian diteruskan oleh putranya, Dr. M. Jamaluddin, M.Pd., yang saat ini menjadi pemilik perusahaan. Pada awal berdirinya, usaha ini hanya menjual songkok jadi yang dibeli dari pengrajin atau pemasok lain. Usaha tersebut kemudian berkembang hingga mampu memproduksi songkok secara mandiri dan menerima pesanan khusus (custom) dengan label Pondok Indah.</w:t>
      </w:r>
    </w:p>
    <w:p>
      <w:pPr>
        <w:spacing w:line="360" w:lineRule="auto" w:after="120"/>
        <w:ind w:firstLine="709"/>
        <w:jc w:val="both"/>
      </w:pPr>
      <w:r>
        <w:rPr>
          <w:b w:val="0"/>
          <w:i w:val="0"/>
        </w:rPr>
        <w:t>Seiring perkembangannya, usaha yang semula belum berbadan usaha berubah menjadi Usaha Dagang (UD) pada tahun 2001, kemudian menjadi persekutuan komanditer (CV) pada tahun 2023. Pada tahun 2025 perusahaan memperoleh sertifikat halal. Perusahaan berkomitmen menghasilkan songkok berkualitas yang memadukan unsur tradisional dan modern. Produk dipasarkan melalui 11 reseller/toko yang tersebar di dua provinsi, yaitu 4 di Jawa Timur dan 7 di Jawa Tengah.</w:t>
      </w:r>
    </w:p>
    <w:p>
      <w:pPr>
        <w:spacing w:line="360" w:lineRule="auto" w:after="120"/>
        <w:ind w:firstLine="709"/>
        <w:jc w:val="both"/>
      </w:pPr>
      <w:r>
        <w:rPr>
          <w:b w:val="0"/>
          <w:i w:val="0"/>
        </w:rPr>
        <w:t>Perusahaan memproduksi 24 varian songkok yang terdiri atas 8 varian polos (Non-AC, AC, Full AC, dan susun) dan 16 varian bermotif bordir. Penjualan dilakukan dalam satuan kodi (1 kodi = 20 pcs) dengan harga Rp760.000–Rp1.100.000 per kodi.</w:t>
      </w:r>
    </w:p>
    <w:p>
      <w:pPr>
        <w:spacing w:line="360" w:lineRule="auto" w:after="120"/>
        <w:jc w:val="left"/>
      </w:pPr>
      <w:r>
        <w:rPr>
          <w:b/>
          <w:i w:val="0"/>
        </w:rPr>
        <w:t>4.1.2 Struktur Organisasi</w:t>
      </w:r>
    </w:p>
    <w:p>
      <w:pPr>
        <w:spacing w:line="360" w:lineRule="auto" w:after="120"/>
        <w:ind w:firstLine="709"/>
        <w:jc w:val="both"/>
      </w:pPr>
      <w:r>
        <w:rPr>
          <w:b w:val="0"/>
          <w:i w:val="0"/>
        </w:rPr>
        <w:t>Struktur organisasi CV Putra Pondok Indah disajikan pada Gambar 4.1.</w:t>
      </w:r>
    </w:p>
    <w:p>
      <w:pPr>
        <w:spacing w:after="40"/>
        <w:jc w:val="center"/>
      </w:pPr>
      <w:r>
        <w:drawing>
          <wp:inline xmlns:a="http://schemas.openxmlformats.org/drawingml/2006/main" xmlns:pic="http://schemas.openxmlformats.org/drawingml/2006/picture">
            <wp:extent cx="5220000" cy="4027234"/>
            <wp:docPr id="1" name="Picture 1"/>
            <wp:cNvGraphicFramePr>
              <a:graphicFrameLocks noChangeAspect="1"/>
            </wp:cNvGraphicFramePr>
            <a:graphic>
              <a:graphicData uri="http://schemas.openxmlformats.org/drawingml/2006/picture">
                <pic:pic>
                  <pic:nvPicPr>
                    <pic:cNvPr id="0" name="struktur.png"/>
                    <pic:cNvPicPr/>
                  </pic:nvPicPr>
                  <pic:blipFill>
                    <a:blip r:embed="rId9"/>
                    <a:stretch>
                      <a:fillRect/>
                    </a:stretch>
                  </pic:blipFill>
                  <pic:spPr>
                    <a:xfrm>
                      <a:off x="0" y="0"/>
                      <a:ext cx="5220000" cy="4027234"/>
                    </a:xfrm>
                    <a:prstGeom prst="rect"/>
                  </pic:spPr>
                </pic:pic>
              </a:graphicData>
            </a:graphic>
          </wp:inline>
        </w:drawing>
      </w:r>
    </w:p>
    <w:p>
      <w:pPr>
        <w:spacing w:line="360" w:lineRule="auto" w:after="40"/>
        <w:jc w:val="center"/>
      </w:pPr>
      <w:r>
        <w:rPr>
          <w:b/>
          <w:i w:val="0"/>
        </w:rPr>
        <w:t>Gambar 4.1 Struktur Organisasi CV Putra Pondok Indah</w:t>
      </w:r>
    </w:p>
    <w:p>
      <w:pPr>
        <w:spacing w:line="360" w:lineRule="auto" w:after="200"/>
        <w:jc w:val="left"/>
      </w:pPr>
      <w:r>
        <w:rPr>
          <w:b w:val="0"/>
          <w:i w:val="0"/>
          <w:sz w:val="20"/>
        </w:rPr>
        <w:t>Sumber: CV Putra Pondok Indah, 2025</w:t>
      </w:r>
    </w:p>
    <w:p>
      <w:pPr>
        <w:spacing w:line="360" w:lineRule="auto" w:after="120"/>
        <w:ind w:firstLine="709"/>
        <w:jc w:val="both"/>
      </w:pPr>
      <w:r>
        <w:rPr>
          <w:b w:val="0"/>
          <w:i w:val="0"/>
        </w:rPr>
        <w:t xml:space="preserve">Berdasarkan Gambar 4.1, pemilik berada pada posisi tertinggi dan membawahi bagian produksi yang dipimpin oleh seorang kepala produksi. Bagian produksi membawahi tiga bagian, yaitu bagian gudang/persediaan (2 orang), bagian penjahitan (10 orang), dan bagian packaging (4 orang), sehingga jumlah tenaga kerja tetap di luar pemilik adalah 17 orang. Di luar tenaga kerja tetap tersebut, hasil observasi menunjukkan bahwa perusahaan mempekerjakan tenaga kerja borongan dalam jumlah banyak, yaitu pekerja yang dibayar berdasarkan jumlah hasil kerja </w:t>
      </w:r>
      <w:r>
        <w:rPr>
          <w:b w:val="0"/>
          <w:i w:val="0"/>
          <w:highlight w:val="yellow"/>
        </w:rPr>
        <w:t>[jumlah tenaga borongan pada musim puncak dan di luar musim puncak 2025; sistem upah, misalnya per kodi; dikerjakan di tempat perusahaan atau di rumah]</w:t>
      </w:r>
      <w:r>
        <w:rPr>
          <w:b w:val="0"/>
          <w:i w:val="0"/>
        </w:rPr>
        <w:t>. Tenaga borongan tidak tercantum dalam struktur organisasi karena bukan pekerja tetap. Struktur organisasi yang sederhana dengan pemilik yang terlibat langsung dalam pengambilan keputusan ini merupakan karakteristik umum UMKM (Garengo, Biazzo, &amp; Bititci, 2005).</w:t>
      </w:r>
    </w:p>
    <w:p>
      <w:pPr>
        <w:spacing w:line="360" w:lineRule="auto" w:after="120"/>
        <w:jc w:val="left"/>
      </w:pPr>
      <w:r>
        <w:rPr>
          <w:b/>
          <w:i w:val="0"/>
        </w:rPr>
        <w:t>4.1.3 Proses Produksi Songkok</w:t>
      </w:r>
    </w:p>
    <w:p>
      <w:pPr>
        <w:spacing w:line="360" w:lineRule="auto" w:after="120"/>
        <w:ind w:firstLine="709"/>
        <w:jc w:val="both"/>
      </w:pPr>
      <w:r>
        <w:rPr>
          <w:b w:val="0"/>
          <w:i w:val="0"/>
        </w:rPr>
        <w:t xml:space="preserve">Proses produksi songkok di CV Putra Pondok Indah menggunakan sistem satu paket, yaitu setiap penjahit mengerjakan songkok secara utuh mulai dari pemotongan pola kain beludru, penjahitan badan dan tutup songkok, pemasangan bos-bosan (lapisan dalam), hingga pemasangan label atau motif bordir. Pekerjaan tidak dibagi per tahapan kepada pekerja yang berbeda seperti pada lini perakitan. Songkok yang telah selesai diserahkan kepada bagian packaging untuk diperiksa, dirapikan (finishing), dan dikemas per kodi, kemudian disimpan di gudang sebelum dikirim kepada reseller. </w:t>
      </w:r>
      <w:r>
        <w:rPr>
          <w:b w:val="0"/>
          <w:i w:val="0"/>
          <w:highlight w:val="yellow"/>
        </w:rPr>
        <w:t>[Konfirmasi: apakah pemotongan pola juga dilakukan oleh penjahit, dan apakah pemeriksaan kualitas dilakukan di bagian packaging.]</w:t>
      </w:r>
    </w:p>
    <w:p>
      <w:pPr>
        <w:spacing w:line="360" w:lineRule="auto" w:after="120"/>
        <w:ind w:firstLine="709"/>
        <w:jc w:val="both"/>
      </w:pPr>
      <w:r>
        <w:rPr>
          <w:b w:val="0"/>
          <w:i w:val="0"/>
        </w:rPr>
        <w:t>Sistem satu paket tersebut merupakan ciri produksi kerajinan (craft production), yaitu produksi yang mengandalkan pekerja terampil yang menguasai seluruh proses pembuatan produk dengan peralatan sederhana (Womack, Jones, &amp; Roos, 1990). Konsekuensinya, kapasitas produksi sangat bergantung pada jumlah dan keterampilan penjahit, sedangkan kualitas setiap songkok bergantung pada keahlian penjahit yang membuatnya. Kondisi ini menjadi dasar dimasukkannya dimensi Craft Workforce Capability dan indikator konsistensi kualitas dalam arsitektur KPI. Bahan baku utama terdiri atas kain beludru (yard), bos-bosan (kodi), dan label (lusin). Diagram alir proses produksi disajikan pada Gambar 4.2.</w:t>
      </w:r>
    </w:p>
    <w:p>
      <w:pPr>
        <w:spacing w:after="40"/>
        <w:jc w:val="center"/>
      </w:pPr>
      <w:r>
        <w:drawing>
          <wp:inline xmlns:a="http://schemas.openxmlformats.org/drawingml/2006/main" xmlns:pic="http://schemas.openxmlformats.org/drawingml/2006/picture">
            <wp:extent cx="4500000" cy="4571053"/>
            <wp:docPr id="2" name="Picture 2"/>
            <wp:cNvGraphicFramePr>
              <a:graphicFrameLocks noChangeAspect="1"/>
            </wp:cNvGraphicFramePr>
            <a:graphic>
              <a:graphicData uri="http://schemas.openxmlformats.org/drawingml/2006/picture">
                <pic:pic>
                  <pic:nvPicPr>
                    <pic:cNvPr id="0" name="alur.png"/>
                    <pic:cNvPicPr/>
                  </pic:nvPicPr>
                  <pic:blipFill>
                    <a:blip r:embed="rId10"/>
                    <a:stretch>
                      <a:fillRect/>
                    </a:stretch>
                  </pic:blipFill>
                  <pic:spPr>
                    <a:xfrm>
                      <a:off x="0" y="0"/>
                      <a:ext cx="4500000" cy="4571053"/>
                    </a:xfrm>
                    <a:prstGeom prst="rect"/>
                  </pic:spPr>
                </pic:pic>
              </a:graphicData>
            </a:graphic>
          </wp:inline>
        </w:drawing>
      </w:r>
    </w:p>
    <w:p>
      <w:pPr>
        <w:spacing w:line="360" w:lineRule="auto" w:after="40"/>
        <w:jc w:val="center"/>
      </w:pPr>
      <w:r>
        <w:rPr>
          <w:b/>
          <w:i w:val="0"/>
        </w:rPr>
        <w:t>Gambar 4.2 Diagram Alir Proses Produksi Songkok</w:t>
      </w:r>
    </w:p>
    <w:p>
      <w:pPr>
        <w:spacing w:line="360" w:lineRule="auto" w:after="200"/>
        <w:jc w:val="left"/>
      </w:pPr>
      <w:r>
        <w:rPr>
          <w:b w:val="0"/>
          <w:i w:val="0"/>
          <w:sz w:val="20"/>
        </w:rPr>
        <w:t>Sumber: Hasil observasi dan wawancara, 2025</w:t>
      </w:r>
    </w:p>
    <w:p>
      <w:pPr>
        <w:spacing w:line="360" w:lineRule="auto" w:after="120"/>
        <w:jc w:val="left"/>
      </w:pPr>
      <w:r>
        <w:rPr>
          <w:b/>
          <w:i w:val="0"/>
        </w:rPr>
        <w:t>4.2 Data Primer</w:t>
      </w:r>
    </w:p>
    <w:p>
      <w:pPr>
        <w:spacing w:line="360" w:lineRule="auto" w:after="120"/>
        <w:ind w:firstLine="709"/>
        <w:jc w:val="both"/>
      </w:pPr>
      <w:r>
        <w:rPr>
          <w:b w:val="0"/>
          <w:i w:val="0"/>
        </w:rPr>
        <w:t>Teknik pengumpulan data yang digunakan adalah observasi, wawancara, kuesioner, dan dokumentasi. Penggunaan beberapa teknik sekaligus terhadap sumber yang sama dimaksudkan untuk saling melengkapi dan menguji kredibilitas data (Sugiyono, 2019). 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6 pakar internal (E1–E6)</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Januari–Desember 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4.2.1 Hasil Survei Awal</w:t>
      </w:r>
    </w:p>
    <w:p>
      <w:pPr>
        <w:spacing w:line="360" w:lineRule="auto" w:after="120"/>
        <w:ind w:firstLine="709"/>
        <w:jc w:val="both"/>
      </w:pPr>
      <w:r>
        <w:rPr>
          <w:b w:val="0"/>
          <w:i w:val="0"/>
        </w:rPr>
        <w:t>Survei awal dilakukan untuk mengidentifikasi permasalahan perusahaan sebelum instrumen penelitian disusun. Hasilnya dipadukan dengan data operasional tahun 2025 sehingga permasalahan tidak hanya didasarkan pada keterangan lisan.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tahun 2025 melonjak pada Februari–April (periode Ramadan–Idulfitri), dengan puncak 2.250 kodi pada April, dan turun hingga 390 kodi pada November.</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833 kodi per bulan, maksimum 1.150 kodi), sehingga pada 5 dari 12 bulan (Februari–Juni 2025)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rPr>
              <w:t>Perusahaan mempekerjakan tenaga borongan dalam jumlah banyak di luar 17 tenaga kerja tetap, sehingga kapasitas produksi, terutama pada musim puncak, bergantung pada ketersediaan tenaga borongan.</w:t>
            </w:r>
          </w:p>
        </w:tc>
      </w:tr>
    </w:tbl>
    <w:p>
      <w:pPr>
        <w:spacing w:line="360" w:lineRule="auto" w:after="200"/>
        <w:jc w:val="left"/>
      </w:pPr>
      <w:r>
        <w:rPr>
          <w:b w:val="0"/>
          <w:i w:val="0"/>
          <w:sz w:val="20"/>
        </w:rPr>
        <w:t>Sumber: Survei awal dan data operasional perusahaan 2025</w:t>
      </w:r>
    </w:p>
    <w:p>
      <w:pPr>
        <w:spacing w:line="360" w:lineRule="auto" w:after="120"/>
        <w:ind w:firstLine="709"/>
        <w:jc w:val="both"/>
      </w:pPr>
      <w:r>
        <w:rPr>
          <w:b w:val="0"/>
          <w:i w:val="0"/>
        </w:rPr>
        <w:t>Temuan pertama dan kedua menunjukkan pola musiman, yaitu pola permintaan yang meningkat pada periode tertentu dan berulang setiap tahun (Hyndman &amp; Athanasopoulos, 2021); pada data 2025 lonjakan terjadi pada periode Ramadan–Idulfitri. Ketika kapasitas produksi tidak disesuaikan dengan pola tersebut, perusahaan menghadapi kekurangan barang pada musim puncak dan kelebihan persediaan di luar musim puncak (Heizer, Render, &amp; Munson, 2020). Temuan keempat sejalan dengan karakteristik UMKM yang umumnya belum memiliki sistem pengukuran kinerja formal karena struktur organisasi yang informal dan keterbatasan sumber daya (Garengo et al., 2005).</w:t>
      </w:r>
    </w:p>
    <w:p>
      <w:pPr>
        <w:spacing w:line="360" w:lineRule="auto" w:after="120"/>
        <w:jc w:val="left"/>
      </w:pPr>
      <w:r>
        <w:rPr>
          <w:b/>
          <w:i w:val="0"/>
        </w:rPr>
        <w:t>4.2.2 Hasil Observasi</w:t>
      </w:r>
    </w:p>
    <w:p>
      <w:pPr>
        <w:spacing w:line="360" w:lineRule="auto" w:after="120"/>
        <w:ind w:firstLine="709"/>
        <w:jc w:val="both"/>
      </w:pPr>
      <w:r>
        <w:rPr>
          <w:b w:val="0"/>
          <w:i w:val="0"/>
        </w:rPr>
        <w:t>Observasi adalah teknik pengumpulan data dengan mengamati langsung objek penelitian untuk memperoleh gambaran nyata mengenai proses kerja (Sugiyono, 2019). 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rPr>
              <w:t xml:space="preserve">Produksi menggunakan sistem satu paket: setiap penjahit mengerjakan satu songkok secara utuh, kemudian hasilnya diserahkan ke bagian packaging (Gambar 4.2). </w:t>
            </w:r>
            <w:r>
              <w:rPr>
                <w:b w:val="0"/>
                <w:i w:val="0"/>
                <w:sz w:val="20"/>
                <w:highlight w:val="yellow"/>
              </w:rPr>
              <w:t>[waktu pengerjaan per songkok/per kodi]</w:t>
            </w:r>
          </w:p>
        </w:tc>
      </w:tr>
      <w:tr>
        <w:tc>
          <w:tcPr>
            <w:tcW w:type="dxa" w:w="567"/>
          </w:tcPr>
          <w:p>
            <w:pPr>
              <w:spacing w:after="0"/>
            </w:pPr>
            <w:r/>
            <w:r>
              <w:rPr>
                <w:b w:val="0"/>
                <w:i w:val="0"/>
                <w:sz w:val="20"/>
              </w:rPr>
              <w:t>2</w:t>
            </w:r>
          </w:p>
        </w:tc>
        <w:tc>
          <w:tcPr>
            <w:tcW w:type="dxa" w:w="2551"/>
          </w:tcPr>
          <w:p>
            <w:pPr>
              <w:spacing w:after="0"/>
            </w:pPr>
            <w:r/>
            <w:r>
              <w:rPr>
                <w:b w:val="0"/>
                <w:i w:val="0"/>
                <w:sz w:val="20"/>
              </w:rPr>
              <w:t>Tenaga kerja</w:t>
            </w:r>
          </w:p>
        </w:tc>
        <w:tc>
          <w:tcPr>
            <w:tcW w:type="dxa" w:w="5102"/>
          </w:tcPr>
          <w:p>
            <w:pPr>
              <w:spacing w:after="0"/>
            </w:pPr>
            <w:r/>
            <w:r>
              <w:rPr>
                <w:b w:val="0"/>
                <w:i w:val="0"/>
                <w:sz w:val="20"/>
              </w:rPr>
              <w:t xml:space="preserve">Selain 17 tenaga kerja tetap, terdapat banyak tenaga kerja borongan yang terlibat dalam produksi. </w:t>
            </w:r>
            <w:r>
              <w:rPr>
                <w:b w:val="0"/>
                <w:i w:val="0"/>
                <w:sz w:val="20"/>
                <w:highlight w:val="yellow"/>
              </w:rPr>
              <w:t>[jumlah, bagian yang dikerjakan, lokasi kerja]</w:t>
            </w:r>
          </w:p>
        </w:tc>
      </w:tr>
      <w:tr>
        <w:tc>
          <w:tcPr>
            <w:tcW w:type="dxa" w:w="567"/>
          </w:tcPr>
          <w:p>
            <w:pPr>
              <w:spacing w:after="0"/>
            </w:pPr>
            <w:r/>
            <w:r>
              <w:rPr>
                <w:b w:val="0"/>
                <w:i w:val="0"/>
                <w:sz w:val="20"/>
              </w:rPr>
              <w:t>3</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4</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5</w:t>
            </w:r>
          </w:p>
        </w:tc>
        <w:tc>
          <w:tcPr>
            <w:tcW w:type="dxa" w:w="2551"/>
          </w:tcPr>
          <w:p>
            <w:pPr>
              <w:spacing w:after="0"/>
            </w:pPr>
            <w:r/>
            <w:r>
              <w:rPr>
                <w:b w:val="0"/>
                <w:i w:val="0"/>
                <w:sz w:val="20"/>
              </w:rPr>
              <w:t>Pengendalian kualitas</w:t>
            </w:r>
          </w:p>
        </w:tc>
        <w:tc>
          <w:tcPr>
            <w:tcW w:type="dxa" w:w="5102"/>
          </w:tcPr>
          <w:p>
            <w:pPr>
              <w:spacing w:after="0"/>
            </w:pPr>
            <w:r/>
            <w:r>
              <w:rPr>
                <w:b w:val="0"/>
                <w:i w:val="0"/>
                <w:sz w:val="20"/>
                <w:highlight w:val="yellow"/>
              </w:rPr>
              <w:t>[inspeksi produk dan jenis cacat yang ditemukan]</w:t>
            </w:r>
          </w:p>
        </w:tc>
      </w:tr>
    </w:tbl>
    <w:p>
      <w:pPr>
        <w:spacing w:line="360" w:lineRule="auto" w:after="200"/>
        <w:jc w:val="left"/>
      </w:pPr>
      <w:r>
        <w:rPr>
          <w:b w:val="0"/>
          <w:i w:val="0"/>
          <w:sz w:val="20"/>
        </w:rPr>
        <w:t>Sumber: Hasil observasi</w:t>
      </w:r>
    </w:p>
    <w:p>
      <w:pPr>
        <w:spacing w:line="360" w:lineRule="auto" w:after="120"/>
        <w:jc w:val="left"/>
      </w:pPr>
      <w:r>
        <w:rPr>
          <w:b/>
          <w:i w:val="0"/>
        </w:rPr>
        <w:t>4.2.3 Hasil Wawancara</w:t>
      </w:r>
    </w:p>
    <w:p>
      <w:pPr>
        <w:spacing w:line="360" w:lineRule="auto" w:after="120"/>
        <w:ind w:firstLine="709"/>
        <w:jc w:val="both"/>
      </w:pPr>
      <w:r>
        <w:rPr>
          <w:b w:val="0"/>
          <w:i w:val="0"/>
        </w:rPr>
        <w:t>Wawancara digunakan untuk menggali informasi yang lebih mendalam dari informan. Wawancara dilakukan secara semi-terstruktur, yaitu menggunakan pedoman pertanyaan tetapi tetap memberi keleluasaan kepada informan untuk mengemukakan pendapatnya (Sugiyono, 2019). 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4.3 Kuesioner Validasi KPI</w:t>
      </w:r>
    </w:p>
    <w:p>
      <w:pPr>
        <w:spacing w:line="360" w:lineRule="auto" w:after="120"/>
        <w:jc w:val="left"/>
      </w:pPr>
      <w:r>
        <w:rPr>
          <w:b/>
          <w:i w:val="0"/>
        </w:rPr>
        <w:t>4.3.1 Identifikasi Kandidat KPI</w:t>
      </w:r>
    </w:p>
    <w:p>
      <w:pPr>
        <w:spacing w:line="360" w:lineRule="auto" w:after="120"/>
        <w:ind w:firstLine="709"/>
        <w:jc w:val="both"/>
      </w:pPr>
      <w:r>
        <w:rPr>
          <w:b w:val="0"/>
          <w:i w:val="0"/>
        </w:rPr>
        <w:t>Sistem pengukuran kinerja adalah sekumpulan ukuran yang digunakan untuk mengukur efisiensi dan efektivitas tindakan dalam organisasi (Neely, Gregory, &amp; Platts, 1995). Key Performance Indicator (KPI) merupakan ukuran yang berfokus pada aspek kinerja yang paling menentukan keberhasilan organisasi saat ini dan pada masa mendatang (Parmenter, 2015). Penelitian ini menggunakan Integrated Performance Measurement System (IPMS) sebagai dasar penyusunan KPI. IPMS dirancang agar ukuran kinerja terintegrasi pada setiap tingkat organisasi dan diturunkan dari kebutuhan stakeholder (stakeholder requirement), sehingga ukuran kinerja selaras dengan tujuan perusahaan (Bititci, Carrie, &amp; McDevitt, 1997; Suwignjo, Bititci, &amp; Carrie, 2000).</w:t>
      </w:r>
    </w:p>
    <w:p>
      <w:pPr>
        <w:spacing w:line="360" w:lineRule="auto" w:after="120"/>
        <w:ind w:firstLine="709"/>
        <w:jc w:val="both"/>
      </w:pPr>
      <w:r>
        <w:rPr>
          <w:b w:val="0"/>
          <w:i w:val="0"/>
        </w:rPr>
        <w:t>IPMS diadaptasi agar sesuai dengan karakteristik UMKM songkok berbasis craft-based manufacturing, yaitu struktur informal, pengambilan keputusan yang berpusat pada pemilik, ketergantungan pada keterampilan tangan pengrajin, dan keterbatasan data (Garengo et al., 2005). Dimensi kapabilitas dinamis dan adaptabilitas ditambahkan karena perusahaan harus menyesuaikan sumber dayanya dengan perubahan lingkungan, dalam hal ini lonjakan permintaan musiman (Teece, Pisano, &amp; Shuen, 1997).</w:t>
      </w:r>
    </w:p>
    <w:p>
      <w:pPr>
        <w:spacing w:line="360" w:lineRule="auto" w:after="120"/>
        <w:ind w:firstLine="709"/>
        <w:jc w:val="both"/>
      </w:pPr>
      <w:r>
        <w:rPr>
          <w:b w:val="0"/>
          <w:i w:val="0"/>
        </w:rPr>
        <w:t>Kandidat KPI disusun berdasarkan arsitektur KPI pada kerangka berpikir (Bab II), yaitu adaptasi IPMS ke dalam enam dimensi yang sesuai dengan karakteristik UMKM songkok berbasis craft-based manufacturing: keuangan, pasar dan konsumen, proses manufaktur internal, kualitas produk, SDM lokal, serta kapabilitas dinamis dan adaptabilitas. Penyusunannya mempertimbangkan kebutuhan dan tujuan stakeholder (stakeholder requirement dan stakeholder objective) yang diperoleh dari survei awal dan wawancara.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Sumber: Adaptasi dari Bititci et al. (1997) dan Parmenter (2015), dikembangkan peneliti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4.3.2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Validasi oleh pakar digunakan karena pakar dinilai mampu menentukan apakah suatu butir benar-benar relevan dengan konsep yang diukur (Lawshe, 1975). Penilaian menggunakan skala Likert lima poin (Likert, 1932) yang disesuaikan menjadi skala kesesuaian, sebagaimana disajikan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4.3.3 Responden Pakar</w:t>
      </w:r>
    </w:p>
    <w:p>
      <w:pPr>
        <w:spacing w:line="360" w:lineRule="auto" w:after="120"/>
        <w:ind w:firstLine="709"/>
        <w:jc w:val="both"/>
      </w:pPr>
      <w:r>
        <w:rPr>
          <w:b w:val="0"/>
          <w:i w:val="0"/>
        </w:rPr>
        <w:t xml:space="preserve">Responden dipilih dengan teknik purposive sampling, yaitu penentuan sumber data dengan pertimbangan tertentu (Sugiyono, 2019). Pertimbangan yang digunakan adalah pihak internal yang memiliki pengalaman dan pemahaman terhadap operasional serta strategi perusahaan. Sesuai dengan adaptasi IPMS pada kerangka berpikir, stakeholder dipetakan berdasarkan fungsi aktualnya dalam proses bisnis, bukan hanya jabatan formal, karena IPMS menurunkan ukuran kinerja dari kebutuhan setiap stakeholder (Bititci et al., 1997). Kuesioner diisi oleh enam pakar, masing-masing mewakili satu fungsi, yaitu pemilik, bagian produksi, bagian gudang, bagian penjahitan, pengrajin senior, serta bagian finishing dan packaging, pada </w:t>
      </w:r>
      <w:r>
        <w:rPr>
          <w:b w:val="0"/>
          <w:i w:val="0"/>
          <w:highlight w:val="yellow"/>
        </w:rPr>
        <w:t>[tanggal]</w:t>
      </w:r>
      <w:r>
        <w:rPr>
          <w:b w:val="0"/>
          <w:i w:val="0"/>
        </w:rPr>
        <w:t>. Identitas pakar disajikan pada Tabel 4.7; nama pakar diganti dengan kode E1–E6. Pemetaan berdasarkan fungsi aktual terlihat pada E5: dalam struktur organisasi (Gambar 4.1) E5 tercatat pada bagian packaging, tetapi dalam praktik berperan sebagai pengrajin senior/tenaga kerja ahli, sehingga E5 mewakili fungsi pengrajin senior, sedangkan E6 mewakili fungsi finishing dan packaging.</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E6</w:t>
            </w:r>
          </w:p>
        </w:tc>
        <w:tc>
          <w:tcPr>
            <w:tcW w:type="dxa" w:w="3402"/>
          </w:tcPr>
          <w:p>
            <w:pPr>
              <w:spacing w:after="0"/>
            </w:pPr>
            <w:r/>
            <w:r>
              <w:rPr>
                <w:b w:val="0"/>
                <w:i w:val="0"/>
                <w:sz w:val="20"/>
              </w:rPr>
              <w:t>Bagian akhir (finishing &amp; packaging)</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4.3.4 Data Hasil Kuesioner KPI</w:t>
      </w:r>
    </w:p>
    <w:p>
      <w:pPr>
        <w:spacing w:line="360" w:lineRule="auto" w:after="120"/>
        <w:ind w:firstLine="709"/>
        <w:jc w:val="both"/>
      </w:pPr>
      <w:r>
        <w:rPr>
          <w:b w:val="0"/>
          <w:i w:val="0"/>
        </w:rPr>
        <w:t>Keenam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919"/>
        <w:gridCol w:w="919"/>
        <w:gridCol w:w="919"/>
        <w:gridCol w:w="919"/>
        <w:gridCol w:w="919"/>
        <w:gridCol w:w="919"/>
        <w:gridCol w:w="919"/>
        <w:gridCol w:w="919"/>
        <w:gridCol w:w="919"/>
      </w:tblGrid>
      <w:tr>
        <w:tc>
          <w:tcPr>
            <w:tcW w:type="dxa" w:w="737"/>
          </w:tcPr>
          <w:p>
            <w:pPr>
              <w:spacing w:after="0"/>
              <w:jc w:val="center"/>
            </w:pPr>
            <w:r/>
            <w:r>
              <w:rPr>
                <w:b/>
                <w:i w:val="0"/>
                <w:sz w:val="20"/>
              </w:rPr>
              <w:t>Kode</w:t>
            </w:r>
          </w:p>
        </w:tc>
        <w:tc>
          <w:tcPr>
            <w:tcW w:type="dxa" w:w="2608"/>
          </w:tcPr>
          <w:p>
            <w:pPr>
              <w:spacing w:after="0"/>
              <w:jc w:val="center"/>
            </w:pPr>
            <w:r/>
            <w:r>
              <w:rPr>
                <w:b/>
                <w:i w:val="0"/>
                <w:sz w:val="20"/>
              </w:rPr>
              <w:t>KPI</w:t>
            </w:r>
          </w:p>
        </w:tc>
        <w:tc>
          <w:tcPr>
            <w:tcW w:type="dxa" w:w="624"/>
          </w:tcPr>
          <w:p>
            <w:pPr>
              <w:spacing w:after="0"/>
              <w:jc w:val="center"/>
            </w:pPr>
            <w:r/>
            <w:r>
              <w:rPr>
                <w:b/>
                <w:i w:val="0"/>
                <w:sz w:val="20"/>
              </w:rPr>
              <w:t>E1</w:t>
            </w:r>
          </w:p>
        </w:tc>
        <w:tc>
          <w:tcPr>
            <w:tcW w:type="dxa" w:w="624"/>
          </w:tcPr>
          <w:p>
            <w:pPr>
              <w:spacing w:after="0"/>
              <w:jc w:val="center"/>
            </w:pPr>
            <w:r/>
            <w:r>
              <w:rPr>
                <w:b/>
                <w:i w:val="0"/>
                <w:sz w:val="20"/>
              </w:rPr>
              <w:t>E2</w:t>
            </w:r>
          </w:p>
        </w:tc>
        <w:tc>
          <w:tcPr>
            <w:tcW w:type="dxa" w:w="624"/>
          </w:tcPr>
          <w:p>
            <w:pPr>
              <w:spacing w:after="0"/>
              <w:jc w:val="center"/>
            </w:pPr>
            <w:r/>
            <w:r>
              <w:rPr>
                <w:b/>
                <w:i w:val="0"/>
                <w:sz w:val="20"/>
              </w:rPr>
              <w:t>E3</w:t>
            </w:r>
          </w:p>
        </w:tc>
        <w:tc>
          <w:tcPr>
            <w:tcW w:type="dxa" w:w="624"/>
          </w:tcPr>
          <w:p>
            <w:pPr>
              <w:spacing w:after="0"/>
              <w:jc w:val="center"/>
            </w:pPr>
            <w:r/>
            <w:r>
              <w:rPr>
                <w:b/>
                <w:i w:val="0"/>
                <w:sz w:val="20"/>
              </w:rPr>
              <w:t>E4</w:t>
            </w:r>
          </w:p>
        </w:tc>
        <w:tc>
          <w:tcPr>
            <w:tcW w:type="dxa" w:w="624"/>
          </w:tcPr>
          <w:p>
            <w:pPr>
              <w:spacing w:after="0"/>
              <w:jc w:val="center"/>
            </w:pPr>
            <w:r/>
            <w:r>
              <w:rPr>
                <w:b/>
                <w:i w:val="0"/>
                <w:sz w:val="20"/>
              </w:rPr>
              <w:t>E5</w:t>
            </w:r>
          </w:p>
        </w:tc>
        <w:tc>
          <w:tcPr>
            <w:tcW w:type="dxa" w:w="624"/>
          </w:tcPr>
          <w:p>
            <w:pPr>
              <w:spacing w:after="0"/>
              <w:jc w:val="center"/>
            </w:pPr>
            <w:r/>
            <w:r>
              <w:rPr>
                <w:b/>
                <w:i w:val="0"/>
                <w:sz w:val="20"/>
              </w:rPr>
              <w:t>E6</w:t>
            </w:r>
          </w:p>
        </w:tc>
        <w:tc>
          <w:tcPr>
            <w:tcW w:type="dxa" w:w="850"/>
          </w:tcPr>
          <w:p>
            <w:pPr>
              <w:spacing w:after="0"/>
              <w:jc w:val="center"/>
            </w:pPr>
            <w:r/>
            <w:r>
              <w:rPr>
                <w:b/>
                <w:i w:val="0"/>
                <w:sz w:val="20"/>
              </w:rPr>
              <w:t>Jumlah</w:t>
            </w:r>
          </w:p>
        </w:tc>
      </w:tr>
      <w:tr>
        <w:tc>
          <w:tcPr>
            <w:tcW w:type="dxa" w:w="737"/>
          </w:tcPr>
          <w:p>
            <w:pPr>
              <w:spacing w:after="0"/>
            </w:pPr>
            <w:r/>
            <w:r>
              <w:rPr>
                <w:b w:val="0"/>
                <w:i w:val="0"/>
                <w:sz w:val="20"/>
              </w:rPr>
              <w:t>F1</w:t>
            </w:r>
          </w:p>
        </w:tc>
        <w:tc>
          <w:tcPr>
            <w:tcW w:type="dxa" w:w="2608"/>
          </w:tcPr>
          <w:p>
            <w:pPr>
              <w:spacing w:after="0"/>
            </w:pPr>
            <w:r/>
            <w:r>
              <w:rPr>
                <w:b w:val="0"/>
                <w:i w:val="0"/>
                <w:sz w:val="20"/>
              </w:rPr>
              <w:t>Pertumbuhan</w:t>
              <w:br/>
              <w:t xml:space="preserve"> Penjualan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F2</w:t>
            </w:r>
          </w:p>
        </w:tc>
        <w:tc>
          <w:tcPr>
            <w:tcW w:type="dxa" w:w="2608"/>
          </w:tcPr>
          <w:p>
            <w:pPr>
              <w:spacing w:after="0"/>
            </w:pPr>
            <w:r/>
            <w:r>
              <w:rPr>
                <w:b w:val="0"/>
                <w:i w:val="0"/>
                <w:sz w:val="20"/>
              </w:rPr>
              <w:t>Profitabilitas</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F3</w:t>
            </w:r>
          </w:p>
        </w:tc>
        <w:tc>
          <w:tcPr>
            <w:tcW w:type="dxa" w:w="2608"/>
          </w:tcPr>
          <w:p>
            <w:pPr>
              <w:spacing w:after="0"/>
            </w:pPr>
            <w:r/>
            <w:r>
              <w:rPr>
                <w:b w:val="0"/>
                <w:i w:val="0"/>
                <w:sz w:val="20"/>
              </w:rPr>
              <w:t>Efisiensi Biaya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C1</w:t>
            </w:r>
          </w:p>
        </w:tc>
        <w:tc>
          <w:tcPr>
            <w:tcW w:type="dxa" w:w="2608"/>
          </w:tcPr>
          <w:p>
            <w:pPr>
              <w:spacing w:after="0"/>
            </w:pPr>
            <w:r/>
            <w:r>
              <w:rPr>
                <w:b w:val="0"/>
                <w:i w:val="0"/>
                <w:sz w:val="20"/>
              </w:rPr>
              <w:t>Order Fulfillment Rate</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C2</w:t>
            </w:r>
          </w:p>
        </w:tc>
        <w:tc>
          <w:tcPr>
            <w:tcW w:type="dxa" w:w="2608"/>
          </w:tcPr>
          <w:p>
            <w:pPr>
              <w:spacing w:after="0"/>
            </w:pPr>
            <w:r/>
            <w:r>
              <w:rPr>
                <w:b w:val="0"/>
                <w:i w:val="0"/>
                <w:sz w:val="20"/>
              </w:rPr>
              <w:t>Customer Lead Time</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C3</w:t>
            </w:r>
          </w:p>
        </w:tc>
        <w:tc>
          <w:tcPr>
            <w:tcW w:type="dxa" w:w="2608"/>
          </w:tcPr>
          <w:p>
            <w:pPr>
              <w:spacing w:after="0"/>
            </w:pPr>
            <w:r/>
            <w:r>
              <w:rPr>
                <w:b w:val="0"/>
                <w:i w:val="0"/>
                <w:sz w:val="20"/>
              </w:rPr>
              <w:t>Tingkat Keluhan Pelanggan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25</w:t>
            </w:r>
          </w:p>
        </w:tc>
      </w:tr>
      <w:tr>
        <w:tc>
          <w:tcPr>
            <w:tcW w:type="dxa" w:w="737"/>
          </w:tcPr>
          <w:p>
            <w:pPr>
              <w:spacing w:after="0"/>
            </w:pPr>
            <w:r/>
            <w:r>
              <w:rPr>
                <w:b w:val="0"/>
                <w:i w:val="0"/>
                <w:sz w:val="20"/>
              </w:rPr>
              <w:t>P1</w:t>
            </w:r>
          </w:p>
        </w:tc>
        <w:tc>
          <w:tcPr>
            <w:tcW w:type="dxa" w:w="2608"/>
          </w:tcPr>
          <w:p>
            <w:pPr>
              <w:spacing w:after="0"/>
            </w:pPr>
            <w:r/>
            <w:r>
              <w:rPr>
                <w:b w:val="0"/>
                <w:i w:val="0"/>
                <w:sz w:val="20"/>
              </w:rPr>
              <w:t>Produktivitas Pengrajin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P2</w:t>
            </w:r>
          </w:p>
        </w:tc>
        <w:tc>
          <w:tcPr>
            <w:tcW w:type="dxa" w:w="2608"/>
          </w:tcPr>
          <w:p>
            <w:pPr>
              <w:spacing w:after="0"/>
            </w:pPr>
            <w:r/>
            <w:r>
              <w:rPr>
                <w:b w:val="0"/>
                <w:i w:val="0"/>
                <w:sz w:val="20"/>
              </w:rPr>
              <w:t>Lead Time Produksi</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P3</w:t>
            </w:r>
          </w:p>
        </w:tc>
        <w:tc>
          <w:tcPr>
            <w:tcW w:type="dxa" w:w="2608"/>
          </w:tcPr>
          <w:p>
            <w:pPr>
              <w:spacing w:after="0"/>
            </w:pPr>
            <w:r/>
            <w:r>
              <w:rPr>
                <w:b w:val="0"/>
                <w:i w:val="0"/>
                <w:sz w:val="20"/>
              </w:rPr>
              <w:t>Fleksibilitas Kapasitas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P4</w:t>
            </w:r>
          </w:p>
        </w:tc>
        <w:tc>
          <w:tcPr>
            <w:tcW w:type="dxa" w:w="2608"/>
          </w:tcPr>
          <w:p>
            <w:pPr>
              <w:spacing w:after="0"/>
            </w:pPr>
            <w:r/>
            <w:r>
              <w:rPr>
                <w:b w:val="0"/>
                <w:i w:val="0"/>
                <w:sz w:val="20"/>
              </w:rPr>
              <w:t>Efisiensi Penggunaan Bahan Baku</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Q1</w:t>
            </w:r>
          </w:p>
        </w:tc>
        <w:tc>
          <w:tcPr>
            <w:tcW w:type="dxa" w:w="2608"/>
          </w:tcPr>
          <w:p>
            <w:pPr>
              <w:spacing w:after="0"/>
            </w:pPr>
            <w:r/>
            <w:r>
              <w:rPr>
                <w:b w:val="0"/>
                <w:i w:val="0"/>
                <w:sz w:val="20"/>
              </w:rPr>
              <w:t>Defect Rate Produk</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Q2</w:t>
            </w:r>
          </w:p>
        </w:tc>
        <w:tc>
          <w:tcPr>
            <w:tcW w:type="dxa" w:w="2608"/>
          </w:tcPr>
          <w:p>
            <w:pPr>
              <w:spacing w:after="0"/>
            </w:pPr>
            <w:r/>
            <w:r>
              <w:rPr>
                <w:b w:val="0"/>
                <w:i w:val="0"/>
                <w:sz w:val="20"/>
              </w:rPr>
              <w:t>Produk Tidak Sesuai Standar</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Q3</w:t>
            </w:r>
          </w:p>
        </w:tc>
        <w:tc>
          <w:tcPr>
            <w:tcW w:type="dxa" w:w="2608"/>
          </w:tcPr>
          <w:p>
            <w:pPr>
              <w:spacing w:after="0"/>
            </w:pPr>
            <w:r/>
            <w:r>
              <w:rPr>
                <w:b w:val="0"/>
                <w:i w:val="0"/>
                <w:sz w:val="20"/>
              </w:rPr>
              <w:t>Konsistensi Kualitas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H1</w:t>
            </w:r>
          </w:p>
        </w:tc>
        <w:tc>
          <w:tcPr>
            <w:tcW w:type="dxa" w:w="2608"/>
          </w:tcPr>
          <w:p>
            <w:pPr>
              <w:spacing w:after="0"/>
            </w:pPr>
            <w:r/>
            <w:r>
              <w:rPr>
                <w:b w:val="0"/>
                <w:i w:val="0"/>
                <w:sz w:val="20"/>
              </w:rPr>
              <w:t>Ketersediaan Pengrajin Terampil</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H2</w:t>
            </w:r>
          </w:p>
        </w:tc>
        <w:tc>
          <w:tcPr>
            <w:tcW w:type="dxa" w:w="2608"/>
          </w:tcPr>
          <w:p>
            <w:pPr>
              <w:spacing w:after="0"/>
            </w:pPr>
            <w:r/>
            <w:r>
              <w:rPr>
                <w:b w:val="0"/>
                <w:i w:val="0"/>
                <w:sz w:val="20"/>
              </w:rPr>
              <w:t>Rasio Pekerja Multi-Skill</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H3</w:t>
            </w:r>
          </w:p>
        </w:tc>
        <w:tc>
          <w:tcPr>
            <w:tcW w:type="dxa" w:w="2608"/>
          </w:tcPr>
          <w:p>
            <w:pPr>
              <w:spacing w:after="0"/>
            </w:pPr>
            <w:r/>
            <w:r>
              <w:rPr>
                <w:b w:val="0"/>
                <w:i w:val="0"/>
                <w:sz w:val="20"/>
              </w:rPr>
              <w:t>Produktivitas Tenaga Kerja</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H4</w:t>
            </w:r>
          </w:p>
        </w:tc>
        <w:tc>
          <w:tcPr>
            <w:tcW w:type="dxa" w:w="2608"/>
          </w:tcPr>
          <w:p>
            <w:pPr>
              <w:spacing w:after="0"/>
            </w:pPr>
            <w:r/>
            <w:r>
              <w:rPr>
                <w:b w:val="0"/>
                <w:i w:val="0"/>
                <w:sz w:val="20"/>
              </w:rPr>
              <w:t>Transfer Pengetahuan Pengrajin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A1</w:t>
            </w:r>
          </w:p>
        </w:tc>
        <w:tc>
          <w:tcPr>
            <w:tcW w:type="dxa" w:w="2608"/>
          </w:tcPr>
          <w:p>
            <w:pPr>
              <w:spacing w:after="0"/>
            </w:pPr>
            <w:r/>
            <w:r>
              <w:rPr>
                <w:b w:val="0"/>
                <w:i w:val="0"/>
                <w:sz w:val="20"/>
              </w:rPr>
              <w:t>Adaptasi Perubahan Permintaan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A2</w:t>
            </w:r>
          </w:p>
        </w:tc>
        <w:tc>
          <w:tcPr>
            <w:tcW w:type="dxa" w:w="2608"/>
          </w:tcPr>
          <w:p>
            <w:pPr>
              <w:spacing w:after="0"/>
            </w:pPr>
            <w:r/>
            <w:r>
              <w:rPr>
                <w:b w:val="0"/>
                <w:i w:val="0"/>
                <w:sz w:val="20"/>
              </w:rPr>
              <w:t>Kemampuan Inovasi dan Adaptasi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A3</w:t>
            </w:r>
          </w:p>
        </w:tc>
        <w:tc>
          <w:tcPr>
            <w:tcW w:type="dxa" w:w="2608"/>
          </w:tcPr>
          <w:p>
            <w:pPr>
              <w:spacing w:after="0"/>
            </w:pPr>
            <w:r/>
            <w:r>
              <w:rPr>
                <w:b w:val="0"/>
                <w:i w:val="0"/>
                <w:sz w:val="20"/>
              </w:rPr>
              <w:t>Fleksibilitas Kapasitas Saat Musim Puncak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6</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43</w:t>
            </w:r>
          </w:p>
        </w:tc>
        <w:tc>
          <w:tcPr>
            <w:tcW w:type="dxa" w:w="1134"/>
          </w:tcPr>
          <w:p>
            <w:pPr>
              <w:spacing w:after="0"/>
              <w:jc w:val="center"/>
            </w:pPr>
            <w:r/>
            <w:r>
              <w:rPr>
                <w:b w:val="0"/>
                <w:i w:val="0"/>
                <w:sz w:val="20"/>
              </w:rPr>
              <w:t>77</w:t>
            </w:r>
          </w:p>
        </w:tc>
        <w:tc>
          <w:tcPr>
            <w:tcW w:type="dxa" w:w="1361"/>
          </w:tcPr>
          <w:p>
            <w:pPr>
              <w:spacing w:after="0"/>
              <w:jc w:val="center"/>
            </w:pPr>
            <w:r/>
            <w:r>
              <w:rPr>
                <w:b w:val="0"/>
                <w:i w:val="0"/>
                <w:sz w:val="20"/>
              </w:rPr>
              <w:t>120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120 penilaian (20 KPI × 6 pakar), sebanyak 77 penilaian bernilai 5 (Sangat Sesuai) dan 43 penilaian bernilai 4 (Sesuai); tidak ada KPI yang dinilai 1–3. Pengolahan data ini untuk menetapkan KPI final diuraikan pada Bab V. KPI final selanjutnya disusun dalam struktur hierarki untuk dibobot dengan Analytical Hierarchy Process (AHP), yaitu metode pengambilan keputusan melalui perbandingan berpasangan antarkriteria (Saaty, 1980, 2008).</w:t>
      </w:r>
    </w:p>
    <w:p>
      <w:pPr>
        <w:spacing w:line="360" w:lineRule="auto" w:after="120"/>
        <w:jc w:val="left"/>
      </w:pPr>
      <w:r>
        <w:rPr>
          <w:b/>
          <w:i w:val="0"/>
        </w:rPr>
        <w:t>4.4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Januari–Desember 2025 (12 bulan). Periode ini dipilih agar sesuai dengan data yang digunakan pada latar belakang penelitian (Bab I) dan mencakup satu siklus musiman penuh, yaitu sebelum, selama, dan setelah Ramadan–Idulfitri. Data operasional ini merupakan data runtun waktu (time series), yaitu data yang dicatat secara berurutan pada interval waktu yang tetap (Hyndman &amp; Athanasopoulos, 2021). Data dihimpun ke dalam enam dimensi,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474"/>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701"/>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474"/>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701"/>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12</w:t>
            </w:r>
          </w:p>
        </w:tc>
        <w:tc>
          <w:tcPr>
            <w:tcW w:type="dxa" w:w="1701"/>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Produksi dan permintaan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7.512</w:t>
            </w:r>
          </w:p>
        </w:tc>
        <w:tc>
          <w:tcPr>
            <w:tcW w:type="dxa" w:w="1701"/>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36</w:t>
            </w:r>
          </w:p>
        </w:tc>
        <w:tc>
          <w:tcPr>
            <w:tcW w:type="dxa" w:w="1701"/>
          </w:tcPr>
          <w:p>
            <w:pPr>
              <w:spacing w:after="0"/>
            </w:pPr>
            <w:r/>
            <w:r>
              <w:rPr>
                <w:b w:val="0"/>
                <w:i w:val="0"/>
                <w:sz w:val="20"/>
              </w:rPr>
              <w:t>Yard, kodi, lusin</w:t>
            </w:r>
          </w:p>
        </w:tc>
      </w:tr>
    </w:tbl>
    <w:p>
      <w:pPr>
        <w:spacing w:line="360" w:lineRule="auto" w:after="200"/>
        <w:jc w:val="left"/>
      </w:pPr>
      <w:r>
        <w:rPr>
          <w:b w:val="0"/>
          <w:i w:val="0"/>
          <w:sz w:val="20"/>
        </w:rPr>
        <w:t>Sumber: CV Putra Pondok Indah, 2025</w:t>
      </w:r>
    </w:p>
    <w:p>
      <w:pPr>
        <w:spacing w:line="360" w:lineRule="auto" w:after="120"/>
        <w:jc w:val="left"/>
      </w:pPr>
      <w:r>
        <w:rPr>
          <w:b/>
          <w:i w:val="0"/>
        </w:rPr>
        <w:t>4.4.1 Data Master Produk</w:t>
      </w:r>
    </w:p>
    <w:p>
      <w:pPr>
        <w:spacing w:line="360" w:lineRule="auto" w:after="120"/>
        <w:ind w:firstLine="709"/>
        <w:jc w:val="both"/>
      </w:pPr>
      <w:r>
        <w:rPr>
          <w:b w:val="0"/>
          <w:i w:val="0"/>
        </w:rPr>
        <w:t>Data master produk berisi kode, nama, jenis, motif, warna, dan harga setiap varian songkok yang berlaku pada tahun 2025,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 2025</w:t>
      </w:r>
    </w:p>
    <w:p>
      <w:pPr>
        <w:spacing w:line="360" w:lineRule="auto" w:after="120"/>
        <w:jc w:val="left"/>
      </w:pPr>
      <w:r>
        <w:rPr>
          <w:b/>
          <w:i w:val="0"/>
        </w:rPr>
        <w:t>4.4.2 Data Produksi, Permintaan, dan Penjualan Bulanan</w:t>
      </w:r>
    </w:p>
    <w:p>
      <w:pPr>
        <w:spacing w:line="360" w:lineRule="auto" w:after="120"/>
        <w:ind w:firstLine="709"/>
        <w:jc w:val="both"/>
      </w:pPr>
      <w:r>
        <w:rPr>
          <w:b w:val="0"/>
          <w:i w:val="0"/>
        </w:rPr>
        <w:t>Data produksi, permintaan, dan nilai penjualan seluruh produk setiap bulan pada tahun 2025 disajikan pada Tabel 4.12.</w:t>
      </w:r>
    </w:p>
    <w:p>
      <w:pPr>
        <w:spacing w:line="360" w:lineRule="auto" w:after="40"/>
        <w:jc w:val="center"/>
      </w:pPr>
      <w:r>
        <w:rPr>
          <w:b/>
          <w:i w:val="0"/>
        </w:rPr>
        <w:t>Tabel 4.12 Data Produksi, Permintaan, dan Nilai Penjualan Bulanan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Bulan</w:t>
            </w:r>
          </w:p>
        </w:tc>
        <w:tc>
          <w:tcPr>
            <w:tcW w:type="dxa" w:w="1474"/>
          </w:tcPr>
          <w:p>
            <w:pPr>
              <w:spacing w:after="0"/>
              <w:jc w:val="center"/>
            </w:pPr>
            <w:r/>
            <w:r>
              <w:rPr>
                <w:b/>
                <w:i w:val="0"/>
                <w:sz w:val="20"/>
              </w:rPr>
              <w:t>Produksi (kodi)</w:t>
            </w:r>
          </w:p>
        </w:tc>
        <w:tc>
          <w:tcPr>
            <w:tcW w:type="dxa" w:w="1587"/>
          </w:tcPr>
          <w:p>
            <w:pPr>
              <w:spacing w:after="0"/>
              <w:jc w:val="center"/>
            </w:pPr>
            <w:r/>
            <w:r>
              <w:rPr>
                <w:b/>
                <w:i w:val="0"/>
                <w:sz w:val="20"/>
              </w:rPr>
              <w:t>Permintaan (kodi)</w:t>
            </w:r>
          </w:p>
        </w:tc>
        <w:tc>
          <w:tcPr>
            <w:tcW w:type="dxa" w:w="1928"/>
          </w:tcPr>
          <w:p>
            <w:pPr>
              <w:spacing w:after="0"/>
              <w:jc w:val="center"/>
            </w:pPr>
            <w:r/>
            <w:r>
              <w:rPr>
                <w:b/>
                <w:i w:val="0"/>
                <w:sz w:val="20"/>
              </w:rPr>
              <w:t>Selisih produksi – permintaan (kodi)</w:t>
            </w:r>
          </w:p>
        </w:tc>
        <w:tc>
          <w:tcPr>
            <w:tcW w:type="dxa" w:w="1928"/>
          </w:tcPr>
          <w:p>
            <w:pPr>
              <w:spacing w:after="0"/>
              <w:jc w:val="center"/>
            </w:pPr>
            <w:r/>
            <w:r>
              <w:rPr>
                <w:b/>
                <w:i w:val="0"/>
                <w:sz w:val="20"/>
              </w:rPr>
              <w:t>Nilai penjualan (Rp)</w:t>
            </w:r>
          </w:p>
        </w:tc>
      </w:tr>
      <w:tr>
        <w:tc>
          <w:tcPr>
            <w:tcW w:type="dxa" w:w="1474"/>
          </w:tcPr>
          <w:p>
            <w:pPr>
              <w:spacing w:after="0"/>
            </w:pPr>
            <w:r/>
            <w:r>
              <w:rPr>
                <w:b w:val="0"/>
                <w:i w:val="0"/>
                <w:sz w:val="20"/>
              </w:rPr>
              <w:t>Januari</w:t>
            </w:r>
          </w:p>
        </w:tc>
        <w:tc>
          <w:tcPr>
            <w:tcW w:type="dxa" w:w="1474"/>
          </w:tcPr>
          <w:p>
            <w:pPr>
              <w:spacing w:after="0"/>
              <w:jc w:val="center"/>
            </w:pPr>
            <w:r/>
            <w:r>
              <w:rPr>
                <w:b w:val="0"/>
                <w:i w:val="0"/>
                <w:sz w:val="20"/>
              </w:rPr>
              <w:t>800</w:t>
            </w:r>
          </w:p>
        </w:tc>
        <w:tc>
          <w:tcPr>
            <w:tcW w:type="dxa" w:w="1587"/>
          </w:tcPr>
          <w:p>
            <w:pPr>
              <w:spacing w:after="0"/>
              <w:jc w:val="center"/>
            </w:pPr>
            <w:r/>
            <w:r>
              <w:rPr>
                <w:b w:val="0"/>
                <w:i w:val="0"/>
                <w:sz w:val="20"/>
              </w:rPr>
              <w:t>720</w:t>
            </w:r>
          </w:p>
        </w:tc>
        <w:tc>
          <w:tcPr>
            <w:tcW w:type="dxa" w:w="1928"/>
          </w:tcPr>
          <w:p>
            <w:pPr>
              <w:spacing w:after="0"/>
              <w:jc w:val="center"/>
            </w:pPr>
            <w:r/>
            <w:r>
              <w:rPr>
                <w:b w:val="0"/>
                <w:i w:val="0"/>
                <w:sz w:val="20"/>
              </w:rPr>
              <w:t>80</w:t>
            </w:r>
          </w:p>
        </w:tc>
        <w:tc>
          <w:tcPr>
            <w:tcW w:type="dxa" w:w="1928"/>
          </w:tcPr>
          <w:p>
            <w:pPr>
              <w:spacing w:after="0"/>
              <w:jc w:val="center"/>
            </w:pPr>
            <w:r/>
            <w:r>
              <w:rPr>
                <w:b w:val="0"/>
                <w:i w:val="0"/>
                <w:sz w:val="20"/>
              </w:rPr>
              <w:t>653.544.000</w:t>
            </w:r>
          </w:p>
        </w:tc>
      </w:tr>
      <w:tr>
        <w:tc>
          <w:tcPr>
            <w:tcW w:type="dxa" w:w="1474"/>
          </w:tcPr>
          <w:p>
            <w:pPr>
              <w:spacing w:after="0"/>
            </w:pPr>
            <w:r/>
            <w:r>
              <w:rPr>
                <w:b w:val="0"/>
                <w:i w:val="0"/>
                <w:sz w:val="20"/>
              </w:rPr>
              <w:t>Februari</w:t>
            </w:r>
          </w:p>
        </w:tc>
        <w:tc>
          <w:tcPr>
            <w:tcW w:type="dxa" w:w="1474"/>
          </w:tcPr>
          <w:p>
            <w:pPr>
              <w:spacing w:after="0"/>
              <w:jc w:val="center"/>
            </w:pPr>
            <w:r/>
            <w:r>
              <w:rPr>
                <w:b w:val="0"/>
                <w:i w:val="0"/>
                <w:sz w:val="20"/>
              </w:rPr>
              <w:t>850</w:t>
            </w:r>
          </w:p>
        </w:tc>
        <w:tc>
          <w:tcPr>
            <w:tcW w:type="dxa" w:w="1587"/>
          </w:tcPr>
          <w:p>
            <w:pPr>
              <w:spacing w:after="0"/>
              <w:jc w:val="center"/>
            </w:pPr>
            <w:r/>
            <w:r>
              <w:rPr>
                <w:b w:val="0"/>
                <w:i w:val="0"/>
                <w:sz w:val="20"/>
              </w:rPr>
              <w:t>910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826.007.000</w:t>
            </w:r>
          </w:p>
        </w:tc>
      </w:tr>
      <w:tr>
        <w:tc>
          <w:tcPr>
            <w:tcW w:type="dxa" w:w="1474"/>
          </w:tcPr>
          <w:p>
            <w:pPr>
              <w:spacing w:after="0"/>
            </w:pPr>
            <w:r/>
            <w:r>
              <w:rPr>
                <w:b w:val="0"/>
                <w:i w:val="0"/>
                <w:sz w:val="20"/>
              </w:rPr>
              <w:t>Maret</w:t>
            </w:r>
          </w:p>
        </w:tc>
        <w:tc>
          <w:tcPr>
            <w:tcW w:type="dxa" w:w="1474"/>
          </w:tcPr>
          <w:p>
            <w:pPr>
              <w:spacing w:after="0"/>
              <w:jc w:val="center"/>
            </w:pPr>
            <w:r/>
            <w:r>
              <w:rPr>
                <w:b w:val="0"/>
                <w:i w:val="0"/>
                <w:sz w:val="20"/>
              </w:rPr>
              <w:t>1.100</w:t>
            </w:r>
          </w:p>
        </w:tc>
        <w:tc>
          <w:tcPr>
            <w:tcW w:type="dxa" w:w="1587"/>
          </w:tcPr>
          <w:p>
            <w:pPr>
              <w:spacing w:after="0"/>
              <w:jc w:val="center"/>
            </w:pPr>
            <w:r/>
            <w:r>
              <w:rPr>
                <w:b w:val="0"/>
                <w:i w:val="0"/>
                <w:sz w:val="20"/>
              </w:rPr>
              <w:t>1.750</w:t>
            </w:r>
          </w:p>
        </w:tc>
        <w:tc>
          <w:tcPr>
            <w:tcW w:type="dxa" w:w="1928"/>
          </w:tcPr>
          <w:p>
            <w:pPr>
              <w:spacing w:after="0"/>
              <w:jc w:val="center"/>
            </w:pPr>
            <w:r/>
            <w:r>
              <w:rPr>
                <w:b w:val="0"/>
                <w:i w:val="0"/>
                <w:sz w:val="20"/>
              </w:rPr>
              <w:t>-650</w:t>
            </w:r>
          </w:p>
        </w:tc>
        <w:tc>
          <w:tcPr>
            <w:tcW w:type="dxa" w:w="1928"/>
          </w:tcPr>
          <w:p>
            <w:pPr>
              <w:spacing w:after="0"/>
              <w:jc w:val="center"/>
            </w:pPr>
            <w:r/>
            <w:r>
              <w:rPr>
                <w:b w:val="0"/>
                <w:i w:val="0"/>
                <w:sz w:val="20"/>
              </w:rPr>
              <w:t>1.588.475.000</w:t>
            </w:r>
          </w:p>
        </w:tc>
      </w:tr>
      <w:tr>
        <w:tc>
          <w:tcPr>
            <w:tcW w:type="dxa" w:w="1474"/>
          </w:tcPr>
          <w:p>
            <w:pPr>
              <w:spacing w:after="0"/>
            </w:pPr>
            <w:r/>
            <w:r>
              <w:rPr>
                <w:b w:val="0"/>
                <w:i w:val="0"/>
                <w:sz w:val="20"/>
              </w:rPr>
              <w:t>April</w:t>
            </w:r>
          </w:p>
        </w:tc>
        <w:tc>
          <w:tcPr>
            <w:tcW w:type="dxa" w:w="1474"/>
          </w:tcPr>
          <w:p>
            <w:pPr>
              <w:spacing w:after="0"/>
              <w:jc w:val="center"/>
            </w:pPr>
            <w:r/>
            <w:r>
              <w:rPr>
                <w:b w:val="0"/>
                <w:i w:val="0"/>
                <w:sz w:val="20"/>
              </w:rPr>
              <w:t>1.150</w:t>
            </w:r>
          </w:p>
        </w:tc>
        <w:tc>
          <w:tcPr>
            <w:tcW w:type="dxa" w:w="1587"/>
          </w:tcPr>
          <w:p>
            <w:pPr>
              <w:spacing w:after="0"/>
              <w:jc w:val="center"/>
            </w:pPr>
            <w:r/>
            <w:r>
              <w:rPr>
                <w:b w:val="0"/>
                <w:i w:val="0"/>
                <w:sz w:val="20"/>
              </w:rPr>
              <w:t>2.250</w:t>
            </w:r>
          </w:p>
        </w:tc>
        <w:tc>
          <w:tcPr>
            <w:tcW w:type="dxa" w:w="1928"/>
          </w:tcPr>
          <w:p>
            <w:pPr>
              <w:spacing w:after="0"/>
              <w:jc w:val="center"/>
            </w:pPr>
            <w:r/>
            <w:r>
              <w:rPr>
                <w:b w:val="0"/>
                <w:i w:val="0"/>
                <w:sz w:val="20"/>
              </w:rPr>
              <w:t>-1.100</w:t>
            </w:r>
          </w:p>
        </w:tc>
        <w:tc>
          <w:tcPr>
            <w:tcW w:type="dxa" w:w="1928"/>
          </w:tcPr>
          <w:p>
            <w:pPr>
              <w:spacing w:after="0"/>
              <w:jc w:val="center"/>
            </w:pPr>
            <w:r/>
            <w:r>
              <w:rPr>
                <w:b w:val="0"/>
                <w:i w:val="0"/>
                <w:sz w:val="20"/>
              </w:rPr>
              <w:t>2.042.325.000</w:t>
            </w:r>
          </w:p>
        </w:tc>
      </w:tr>
      <w:tr>
        <w:tc>
          <w:tcPr>
            <w:tcW w:type="dxa" w:w="1474"/>
          </w:tcPr>
          <w:p>
            <w:pPr>
              <w:spacing w:after="0"/>
            </w:pPr>
            <w:r/>
            <w:r>
              <w:rPr>
                <w:b w:val="0"/>
                <w:i w:val="0"/>
                <w:sz w:val="20"/>
              </w:rPr>
              <w:t>Mei</w:t>
            </w:r>
          </w:p>
        </w:tc>
        <w:tc>
          <w:tcPr>
            <w:tcW w:type="dxa" w:w="1474"/>
          </w:tcPr>
          <w:p>
            <w:pPr>
              <w:spacing w:after="0"/>
              <w:jc w:val="center"/>
            </w:pPr>
            <w:r/>
            <w:r>
              <w:rPr>
                <w:b w:val="0"/>
                <w:i w:val="0"/>
                <w:sz w:val="20"/>
              </w:rPr>
              <w:t>610</w:t>
            </w:r>
          </w:p>
        </w:tc>
        <w:tc>
          <w:tcPr>
            <w:tcW w:type="dxa" w:w="1587"/>
          </w:tcPr>
          <w:p>
            <w:pPr>
              <w:spacing w:after="0"/>
              <w:jc w:val="center"/>
            </w:pPr>
            <w:r/>
            <w:r>
              <w:rPr>
                <w:b w:val="0"/>
                <w:i w:val="0"/>
                <w:sz w:val="20"/>
              </w:rPr>
              <w:t>650</w:t>
            </w:r>
          </w:p>
        </w:tc>
        <w:tc>
          <w:tcPr>
            <w:tcW w:type="dxa" w:w="1928"/>
          </w:tcPr>
          <w:p>
            <w:pPr>
              <w:spacing w:after="0"/>
              <w:jc w:val="center"/>
            </w:pPr>
            <w:r/>
            <w:r>
              <w:rPr>
                <w:b w:val="0"/>
                <w:i w:val="0"/>
                <w:sz w:val="20"/>
              </w:rPr>
              <w:t>-40</w:t>
            </w:r>
          </w:p>
        </w:tc>
        <w:tc>
          <w:tcPr>
            <w:tcW w:type="dxa" w:w="1928"/>
          </w:tcPr>
          <w:p>
            <w:pPr>
              <w:spacing w:after="0"/>
              <w:jc w:val="center"/>
            </w:pPr>
            <w:r/>
            <w:r>
              <w:rPr>
                <w:b w:val="0"/>
                <w:i w:val="0"/>
                <w:sz w:val="20"/>
              </w:rPr>
              <w:t>590.005.000</w:t>
            </w:r>
          </w:p>
        </w:tc>
      </w:tr>
      <w:tr>
        <w:tc>
          <w:tcPr>
            <w:tcW w:type="dxa" w:w="1474"/>
          </w:tcPr>
          <w:p>
            <w:pPr>
              <w:spacing w:after="0"/>
            </w:pPr>
            <w:r/>
            <w:r>
              <w:rPr>
                <w:b w:val="0"/>
                <w:i w:val="0"/>
                <w:sz w:val="20"/>
              </w:rPr>
              <w:t>Juni</w:t>
            </w:r>
          </w:p>
        </w:tc>
        <w:tc>
          <w:tcPr>
            <w:tcW w:type="dxa" w:w="1474"/>
          </w:tcPr>
          <w:p>
            <w:pPr>
              <w:spacing w:after="0"/>
              <w:jc w:val="center"/>
            </w:pPr>
            <w:r/>
            <w:r>
              <w:rPr>
                <w:b w:val="0"/>
                <w:i w:val="0"/>
                <w:sz w:val="20"/>
              </w:rPr>
              <w:t>790</w:t>
            </w:r>
          </w:p>
        </w:tc>
        <w:tc>
          <w:tcPr>
            <w:tcW w:type="dxa" w:w="1587"/>
          </w:tcPr>
          <w:p>
            <w:pPr>
              <w:spacing w:after="0"/>
              <w:jc w:val="center"/>
            </w:pPr>
            <w:r/>
            <w:r>
              <w:rPr>
                <w:b w:val="0"/>
                <w:i w:val="0"/>
                <w:sz w:val="20"/>
              </w:rPr>
              <w:t>840</w:t>
            </w:r>
          </w:p>
        </w:tc>
        <w:tc>
          <w:tcPr>
            <w:tcW w:type="dxa" w:w="1928"/>
          </w:tcPr>
          <w:p>
            <w:pPr>
              <w:spacing w:after="0"/>
              <w:jc w:val="center"/>
            </w:pPr>
            <w:r/>
            <w:r>
              <w:rPr>
                <w:b w:val="0"/>
                <w:i w:val="0"/>
                <w:sz w:val="20"/>
              </w:rPr>
              <w:t>-50</w:t>
            </w:r>
          </w:p>
        </w:tc>
        <w:tc>
          <w:tcPr>
            <w:tcW w:type="dxa" w:w="1928"/>
          </w:tcPr>
          <w:p>
            <w:pPr>
              <w:spacing w:after="0"/>
              <w:jc w:val="center"/>
            </w:pPr>
            <w:r/>
            <w:r>
              <w:rPr>
                <w:b w:val="0"/>
                <w:i w:val="0"/>
                <w:sz w:val="20"/>
              </w:rPr>
              <w:t>762.468.000</w:t>
            </w:r>
          </w:p>
        </w:tc>
      </w:tr>
      <w:tr>
        <w:tc>
          <w:tcPr>
            <w:tcW w:type="dxa" w:w="1474"/>
          </w:tcPr>
          <w:p>
            <w:pPr>
              <w:spacing w:after="0"/>
            </w:pPr>
            <w:r/>
            <w:r>
              <w:rPr>
                <w:b w:val="0"/>
                <w:i w:val="0"/>
                <w:sz w:val="20"/>
              </w:rPr>
              <w:t>Juli</w:t>
            </w:r>
          </w:p>
        </w:tc>
        <w:tc>
          <w:tcPr>
            <w:tcW w:type="dxa" w:w="1474"/>
          </w:tcPr>
          <w:p>
            <w:pPr>
              <w:spacing w:after="0"/>
              <w:jc w:val="center"/>
            </w:pPr>
            <w:r/>
            <w:r>
              <w:rPr>
                <w:b w:val="0"/>
                <w:i w:val="0"/>
                <w:sz w:val="20"/>
              </w:rPr>
              <w:t>770</w:t>
            </w:r>
          </w:p>
        </w:tc>
        <w:tc>
          <w:tcPr>
            <w:tcW w:type="dxa" w:w="1587"/>
          </w:tcPr>
          <w:p>
            <w:pPr>
              <w:spacing w:after="0"/>
              <w:jc w:val="center"/>
            </w:pPr>
            <w:r/>
            <w:r>
              <w:rPr>
                <w:b w:val="0"/>
                <w:i w:val="0"/>
                <w:sz w:val="20"/>
              </w:rPr>
              <w:t>710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644.467.000</w:t>
            </w:r>
          </w:p>
        </w:tc>
      </w:tr>
      <w:tr>
        <w:tc>
          <w:tcPr>
            <w:tcW w:type="dxa" w:w="1474"/>
          </w:tcPr>
          <w:p>
            <w:pPr>
              <w:spacing w:after="0"/>
            </w:pPr>
            <w:r/>
            <w:r>
              <w:rPr>
                <w:b w:val="0"/>
                <w:i w:val="0"/>
                <w:sz w:val="20"/>
              </w:rPr>
              <w:t>Agustus</w:t>
            </w:r>
          </w:p>
        </w:tc>
        <w:tc>
          <w:tcPr>
            <w:tcW w:type="dxa" w:w="1474"/>
          </w:tcPr>
          <w:p>
            <w:pPr>
              <w:spacing w:after="0"/>
              <w:jc w:val="center"/>
            </w:pPr>
            <w:r/>
            <w:r>
              <w:rPr>
                <w:b w:val="0"/>
                <w:i w:val="0"/>
                <w:sz w:val="20"/>
              </w:rPr>
              <w:t>785</w:t>
            </w:r>
          </w:p>
        </w:tc>
        <w:tc>
          <w:tcPr>
            <w:tcW w:type="dxa" w:w="1587"/>
          </w:tcPr>
          <w:p>
            <w:pPr>
              <w:spacing w:after="0"/>
              <w:jc w:val="center"/>
            </w:pPr>
            <w:r/>
            <w:r>
              <w:rPr>
                <w:b w:val="0"/>
                <w:i w:val="0"/>
                <w:sz w:val="20"/>
              </w:rPr>
              <w:t>630</w:t>
            </w:r>
          </w:p>
        </w:tc>
        <w:tc>
          <w:tcPr>
            <w:tcW w:type="dxa" w:w="1928"/>
          </w:tcPr>
          <w:p>
            <w:pPr>
              <w:spacing w:after="0"/>
              <w:jc w:val="center"/>
            </w:pPr>
            <w:r/>
            <w:r>
              <w:rPr>
                <w:b w:val="0"/>
                <w:i w:val="0"/>
                <w:sz w:val="20"/>
              </w:rPr>
              <w:t>155</w:t>
            </w:r>
          </w:p>
        </w:tc>
        <w:tc>
          <w:tcPr>
            <w:tcW w:type="dxa" w:w="1928"/>
          </w:tcPr>
          <w:p>
            <w:pPr>
              <w:spacing w:after="0"/>
              <w:jc w:val="center"/>
            </w:pPr>
            <w:r/>
            <w:r>
              <w:rPr>
                <w:b w:val="0"/>
                <w:i w:val="0"/>
                <w:sz w:val="20"/>
              </w:rPr>
              <w:t>571.851.000</w:t>
            </w:r>
          </w:p>
        </w:tc>
      </w:tr>
      <w:tr>
        <w:tc>
          <w:tcPr>
            <w:tcW w:type="dxa" w:w="1474"/>
          </w:tcPr>
          <w:p>
            <w:pPr>
              <w:spacing w:after="0"/>
            </w:pPr>
            <w:r/>
            <w:r>
              <w:rPr>
                <w:b w:val="0"/>
                <w:i w:val="0"/>
                <w:sz w:val="20"/>
              </w:rPr>
              <w:t>September</w:t>
            </w:r>
          </w:p>
        </w:tc>
        <w:tc>
          <w:tcPr>
            <w:tcW w:type="dxa" w:w="1474"/>
          </w:tcPr>
          <w:p>
            <w:pPr>
              <w:spacing w:after="0"/>
              <w:jc w:val="center"/>
            </w:pPr>
            <w:r/>
            <w:r>
              <w:rPr>
                <w:b w:val="0"/>
                <w:i w:val="0"/>
                <w:sz w:val="20"/>
              </w:rPr>
              <w:t>760</w:t>
            </w:r>
          </w:p>
        </w:tc>
        <w:tc>
          <w:tcPr>
            <w:tcW w:type="dxa" w:w="1587"/>
          </w:tcPr>
          <w:p>
            <w:pPr>
              <w:spacing w:after="0"/>
              <w:jc w:val="center"/>
            </w:pPr>
            <w:r/>
            <w:r>
              <w:rPr>
                <w:b w:val="0"/>
                <w:i w:val="0"/>
                <w:sz w:val="20"/>
              </w:rPr>
              <w:t>520</w:t>
            </w:r>
          </w:p>
        </w:tc>
        <w:tc>
          <w:tcPr>
            <w:tcW w:type="dxa" w:w="1928"/>
          </w:tcPr>
          <w:p>
            <w:pPr>
              <w:spacing w:after="0"/>
              <w:jc w:val="center"/>
            </w:pPr>
            <w:r/>
            <w:r>
              <w:rPr>
                <w:b w:val="0"/>
                <w:i w:val="0"/>
                <w:sz w:val="20"/>
              </w:rPr>
              <w:t>240</w:t>
            </w:r>
          </w:p>
        </w:tc>
        <w:tc>
          <w:tcPr>
            <w:tcW w:type="dxa" w:w="1928"/>
          </w:tcPr>
          <w:p>
            <w:pPr>
              <w:spacing w:after="0"/>
              <w:jc w:val="center"/>
            </w:pPr>
            <w:r/>
            <w:r>
              <w:rPr>
                <w:b w:val="0"/>
                <w:i w:val="0"/>
                <w:sz w:val="20"/>
              </w:rPr>
              <w:t>472.004.000</w:t>
            </w:r>
          </w:p>
        </w:tc>
      </w:tr>
      <w:tr>
        <w:tc>
          <w:tcPr>
            <w:tcW w:type="dxa" w:w="1474"/>
          </w:tcPr>
          <w:p>
            <w:pPr>
              <w:spacing w:after="0"/>
            </w:pPr>
            <w:r/>
            <w:r>
              <w:rPr>
                <w:b w:val="0"/>
                <w:i w:val="0"/>
                <w:sz w:val="20"/>
              </w:rPr>
              <w:t>Oktober</w:t>
            </w:r>
          </w:p>
        </w:tc>
        <w:tc>
          <w:tcPr>
            <w:tcW w:type="dxa" w:w="1474"/>
          </w:tcPr>
          <w:p>
            <w:pPr>
              <w:spacing w:after="0"/>
              <w:jc w:val="center"/>
            </w:pPr>
            <w:r/>
            <w:r>
              <w:rPr>
                <w:b w:val="0"/>
                <w:i w:val="0"/>
                <w:sz w:val="20"/>
              </w:rPr>
              <w:t>810</w:t>
            </w:r>
          </w:p>
        </w:tc>
        <w:tc>
          <w:tcPr>
            <w:tcW w:type="dxa" w:w="1587"/>
          </w:tcPr>
          <w:p>
            <w:pPr>
              <w:spacing w:after="0"/>
              <w:jc w:val="center"/>
            </w:pPr>
            <w:r/>
            <w:r>
              <w:rPr>
                <w:b w:val="0"/>
                <w:i w:val="0"/>
                <w:sz w:val="20"/>
              </w:rPr>
              <w:t>480</w:t>
            </w:r>
          </w:p>
        </w:tc>
        <w:tc>
          <w:tcPr>
            <w:tcW w:type="dxa" w:w="1928"/>
          </w:tcPr>
          <w:p>
            <w:pPr>
              <w:spacing w:after="0"/>
              <w:jc w:val="center"/>
            </w:pPr>
            <w:r/>
            <w:r>
              <w:rPr>
                <w:b w:val="0"/>
                <w:i w:val="0"/>
                <w:sz w:val="20"/>
              </w:rPr>
              <w:t>330</w:t>
            </w:r>
          </w:p>
        </w:tc>
        <w:tc>
          <w:tcPr>
            <w:tcW w:type="dxa" w:w="1928"/>
          </w:tcPr>
          <w:p>
            <w:pPr>
              <w:spacing w:after="0"/>
              <w:jc w:val="center"/>
            </w:pPr>
            <w:r/>
            <w:r>
              <w:rPr>
                <w:b w:val="0"/>
                <w:i w:val="0"/>
                <w:sz w:val="20"/>
              </w:rPr>
              <w:t>435.696.000</w:t>
            </w:r>
          </w:p>
        </w:tc>
      </w:tr>
      <w:tr>
        <w:tc>
          <w:tcPr>
            <w:tcW w:type="dxa" w:w="1474"/>
          </w:tcPr>
          <w:p>
            <w:pPr>
              <w:spacing w:after="0"/>
            </w:pPr>
            <w:r/>
            <w:r>
              <w:rPr>
                <w:b w:val="0"/>
                <w:i w:val="0"/>
                <w:sz w:val="20"/>
              </w:rPr>
              <w:t>November</w:t>
            </w:r>
          </w:p>
        </w:tc>
        <w:tc>
          <w:tcPr>
            <w:tcW w:type="dxa" w:w="1474"/>
          </w:tcPr>
          <w:p>
            <w:pPr>
              <w:spacing w:after="0"/>
              <w:jc w:val="center"/>
            </w:pPr>
            <w:r/>
            <w:r>
              <w:rPr>
                <w:b w:val="0"/>
                <w:i w:val="0"/>
                <w:sz w:val="20"/>
              </w:rPr>
              <w:t>755</w:t>
            </w:r>
          </w:p>
        </w:tc>
        <w:tc>
          <w:tcPr>
            <w:tcW w:type="dxa" w:w="1587"/>
          </w:tcPr>
          <w:p>
            <w:pPr>
              <w:spacing w:after="0"/>
              <w:jc w:val="center"/>
            </w:pPr>
            <w:r/>
            <w:r>
              <w:rPr>
                <w:b w:val="0"/>
                <w:i w:val="0"/>
                <w:sz w:val="20"/>
              </w:rPr>
              <w:t>390</w:t>
            </w:r>
          </w:p>
        </w:tc>
        <w:tc>
          <w:tcPr>
            <w:tcW w:type="dxa" w:w="1928"/>
          </w:tcPr>
          <w:p>
            <w:pPr>
              <w:spacing w:after="0"/>
              <w:jc w:val="center"/>
            </w:pPr>
            <w:r/>
            <w:r>
              <w:rPr>
                <w:b w:val="0"/>
                <w:i w:val="0"/>
                <w:sz w:val="20"/>
              </w:rPr>
              <w:t>365</w:t>
            </w:r>
          </w:p>
        </w:tc>
        <w:tc>
          <w:tcPr>
            <w:tcW w:type="dxa" w:w="1928"/>
          </w:tcPr>
          <w:p>
            <w:pPr>
              <w:spacing w:after="0"/>
              <w:jc w:val="center"/>
            </w:pPr>
            <w:r/>
            <w:r>
              <w:rPr>
                <w:b w:val="0"/>
                <w:i w:val="0"/>
                <w:sz w:val="20"/>
              </w:rPr>
              <w:t>354.003.000</w:t>
            </w:r>
          </w:p>
        </w:tc>
      </w:tr>
      <w:tr>
        <w:tc>
          <w:tcPr>
            <w:tcW w:type="dxa" w:w="1474"/>
          </w:tcPr>
          <w:p>
            <w:pPr>
              <w:spacing w:after="0"/>
            </w:pPr>
            <w:r/>
            <w:r>
              <w:rPr>
                <w:b w:val="0"/>
                <w:i w:val="0"/>
                <w:sz w:val="20"/>
              </w:rPr>
              <w:t>Desember</w:t>
            </w:r>
          </w:p>
        </w:tc>
        <w:tc>
          <w:tcPr>
            <w:tcW w:type="dxa" w:w="1474"/>
          </w:tcPr>
          <w:p>
            <w:pPr>
              <w:spacing w:after="0"/>
              <w:jc w:val="center"/>
            </w:pPr>
            <w:r/>
            <w:r>
              <w:rPr>
                <w:b w:val="0"/>
                <w:i w:val="0"/>
                <w:sz w:val="20"/>
              </w:rPr>
              <w:t>820</w:t>
            </w:r>
          </w:p>
        </w:tc>
        <w:tc>
          <w:tcPr>
            <w:tcW w:type="dxa" w:w="1587"/>
          </w:tcPr>
          <w:p>
            <w:pPr>
              <w:spacing w:after="0"/>
              <w:jc w:val="center"/>
            </w:pPr>
            <w:r/>
            <w:r>
              <w:rPr>
                <w:b w:val="0"/>
                <w:i w:val="0"/>
                <w:sz w:val="20"/>
              </w:rPr>
              <w:t>450</w:t>
            </w:r>
          </w:p>
        </w:tc>
        <w:tc>
          <w:tcPr>
            <w:tcW w:type="dxa" w:w="1928"/>
          </w:tcPr>
          <w:p>
            <w:pPr>
              <w:spacing w:after="0"/>
              <w:jc w:val="center"/>
            </w:pPr>
            <w:r/>
            <w:r>
              <w:rPr>
                <w:b w:val="0"/>
                <w:i w:val="0"/>
                <w:sz w:val="20"/>
              </w:rPr>
              <w:t>370</w:t>
            </w:r>
          </w:p>
        </w:tc>
        <w:tc>
          <w:tcPr>
            <w:tcW w:type="dxa" w:w="1928"/>
          </w:tcPr>
          <w:p>
            <w:pPr>
              <w:spacing w:after="0"/>
              <w:jc w:val="center"/>
            </w:pPr>
            <w:r/>
            <w:r>
              <w:rPr>
                <w:b w:val="0"/>
                <w:i w:val="0"/>
                <w:sz w:val="20"/>
              </w:rPr>
              <w:t>408.465.000</w:t>
            </w:r>
          </w:p>
        </w:tc>
      </w:tr>
      <w:tr>
        <w:tc>
          <w:tcPr>
            <w:tcW w:type="dxa" w:w="1474"/>
          </w:tcPr>
          <w:p>
            <w:pPr>
              <w:spacing w:after="0"/>
            </w:pPr>
            <w:r/>
            <w:r>
              <w:rPr>
                <w:b w:val="0"/>
                <w:i w:val="0"/>
                <w:sz w:val="20"/>
              </w:rPr>
              <w:t>Total</w:t>
            </w:r>
          </w:p>
        </w:tc>
        <w:tc>
          <w:tcPr>
            <w:tcW w:type="dxa" w:w="1474"/>
          </w:tcPr>
          <w:p>
            <w:pPr>
              <w:spacing w:after="0"/>
              <w:jc w:val="center"/>
            </w:pPr>
            <w:r/>
            <w:r>
              <w:rPr>
                <w:b w:val="0"/>
                <w:i w:val="0"/>
                <w:sz w:val="20"/>
              </w:rPr>
              <w:t>10.000</w:t>
            </w:r>
          </w:p>
        </w:tc>
        <w:tc>
          <w:tcPr>
            <w:tcW w:type="dxa" w:w="1587"/>
          </w:tcPr>
          <w:p>
            <w:pPr>
              <w:spacing w:after="0"/>
              <w:jc w:val="center"/>
            </w:pPr>
            <w:r/>
            <w:r>
              <w:rPr>
                <w:b w:val="0"/>
                <w:i w:val="0"/>
                <w:sz w:val="20"/>
              </w:rPr>
              <w:t>10.300</w:t>
            </w:r>
          </w:p>
        </w:tc>
        <w:tc>
          <w:tcPr>
            <w:tcW w:type="dxa" w:w="1928"/>
          </w:tcPr>
          <w:p>
            <w:pPr>
              <w:spacing w:after="0"/>
              <w:jc w:val="center"/>
            </w:pPr>
            <w:r/>
            <w:r>
              <w:rPr>
                <w:b w:val="0"/>
                <w:i w:val="0"/>
                <w:sz w:val="20"/>
              </w:rPr>
              <w:t>-300</w:t>
            </w:r>
          </w:p>
        </w:tc>
        <w:tc>
          <w:tcPr>
            <w:tcW w:type="dxa" w:w="1928"/>
          </w:tcPr>
          <w:p>
            <w:pPr>
              <w:spacing w:after="0"/>
              <w:jc w:val="center"/>
            </w:pPr>
            <w:r/>
            <w:r>
              <w:rPr>
                <w:b w:val="0"/>
                <w:i w:val="0"/>
                <w:sz w:val="20"/>
              </w:rPr>
              <w:t>9.349.310.000</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Sepanjang tahun 2025, total produksi mencapai 10.000 kodi, sedangkan total permintaan 10.300 kodi. Permintaan tertinggi terjadi pada April (2.250 kodi), sedangkan produksi pada bulan tersebut hanya 1.150 kodi. Sebaliknya, pada Juli–Desember produksi selalu melebihi permintaan. Sebagai pembanding untuk menghitung pertumbuhan penjualan Januari 2025, nilai penjualan Desember 2024 adalah Rp381.234.000 dan permintaannya 420 kodi. Perbandingan produksi dan permintaan bulanan ditunjukkan pada Gambar 4.3; pola ini menjadi dasar pengelompokan bulan ke dalam fase pra-puncak, puncak, dan pasca-puncak pada Bab V.</w:t>
      </w:r>
    </w:p>
    <w:p>
      <w:pPr>
        <w:spacing w:after="40"/>
        <w:jc w:val="center"/>
      </w:pPr>
      <w:r>
        <w:drawing>
          <wp:inline xmlns:a="http://schemas.openxmlformats.org/drawingml/2006/main" xmlns:pic="http://schemas.openxmlformats.org/drawingml/2006/picture">
            <wp:extent cx="5400000" cy="2700000"/>
            <wp:docPr id="3" name="Picture 3"/>
            <wp:cNvGraphicFramePr>
              <a:graphicFrameLocks noChangeAspect="1"/>
            </wp:cNvGraphicFramePr>
            <a:graphic>
              <a:graphicData uri="http://schemas.openxmlformats.org/drawingml/2006/picture">
                <pic:pic>
                  <pic:nvPicPr>
                    <pic:cNvPr id="0" name="grafik2025.png"/>
                    <pic:cNvPicPr/>
                  </pic:nvPicPr>
                  <pic:blipFill>
                    <a:blip r:embed="rId11"/>
                    <a:stretch>
                      <a:fillRect/>
                    </a:stretch>
                  </pic:blipFill>
                  <pic:spPr>
                    <a:xfrm>
                      <a:off x="0" y="0"/>
                      <a:ext cx="5400000" cy="2700000"/>
                    </a:xfrm>
                    <a:prstGeom prst="rect"/>
                  </pic:spPr>
                </pic:pic>
              </a:graphicData>
            </a:graphic>
          </wp:inline>
        </w:drawing>
      </w:r>
    </w:p>
    <w:p>
      <w:pPr>
        <w:spacing w:line="360" w:lineRule="auto" w:after="40"/>
        <w:jc w:val="center"/>
      </w:pPr>
      <w:r>
        <w:rPr>
          <w:b/>
          <w:i w:val="0"/>
        </w:rPr>
        <w:t>Gambar 4.3 Grafik Produksi dan Permintaan Bulanan Tahun 2025</w:t>
      </w:r>
    </w:p>
    <w:p>
      <w:pPr>
        <w:spacing w:line="360" w:lineRule="auto" w:after="200"/>
        <w:jc w:val="left"/>
      </w:pPr>
      <w:r>
        <w:rPr>
          <w:b w:val="0"/>
          <w:i w:val="0"/>
          <w:sz w:val="20"/>
        </w:rPr>
        <w:t>Sumber: Tabel 4.12</w:t>
      </w:r>
    </w:p>
    <w:p>
      <w:pPr>
        <w:spacing w:line="360" w:lineRule="auto" w:after="120"/>
        <w:jc w:val="both"/>
      </w:pPr>
      <w:r>
        <w:rPr>
          <w:b w:val="0"/>
          <w:i w:val="0"/>
          <w:highlight w:val="yellow"/>
        </w:rPr>
        <w:t>[Catatan: Idulfitri 2025 jatuh pada 31 Maret 2025, tetapi permintaan tertinggi tercatat pada April (setelah Lebaran) dan lebih tinggi daripada Maret. Pastikan dengan catatan perusahaan bahwa angka ini benar, misalnya karena pengiriman pesanan Lebaran tercatat pada April; jika ya, jelaskan pada paragraf di atas.]</w:t>
      </w:r>
    </w:p>
    <w:p>
      <w:pPr>
        <w:spacing w:line="360" w:lineRule="auto" w:after="120"/>
        <w:jc w:val="left"/>
      </w:pPr>
      <w:r>
        <w:rPr>
          <w:b/>
          <w:i w:val="0"/>
        </w:rPr>
        <w:t>4.4.3 Data Produksi dan Permintaan per Produk</w:t>
      </w:r>
    </w:p>
    <w:p>
      <w:pPr>
        <w:spacing w:line="360" w:lineRule="auto" w:after="120"/>
        <w:ind w:firstLine="709"/>
        <w:jc w:val="both"/>
      </w:pPr>
      <w:r>
        <w:rPr>
          <w:b w:val="0"/>
          <w:i w:val="0"/>
        </w:rPr>
        <w:t xml:space="preserve">Data produksi dan permintaan dicatat setiap bulan untuk 24 varian produk. Rekap tahun 2025 per produk disajikan pada Tabel 4.13, sedangkan data bulanan lengkap per produk dicantumkan pada </w:t>
      </w:r>
      <w:r>
        <w:rPr>
          <w:b w:val="0"/>
          <w:i w:val="0"/>
          <w:highlight w:val="yellow"/>
        </w:rPr>
        <w:t>[Lampiran 2]</w:t>
      </w:r>
      <w:r>
        <w:rPr>
          <w:b w:val="0"/>
          <w:i w:val="0"/>
        </w:rPr>
        <w:t>.</w:t>
      </w:r>
    </w:p>
    <w:p>
      <w:pPr>
        <w:spacing w:line="360" w:lineRule="auto" w:after="40"/>
        <w:jc w:val="center"/>
      </w:pPr>
      <w:r>
        <w:rPr>
          <w:b/>
          <w:i w:val="0"/>
        </w:rPr>
        <w:t>Tabel 4.13 Rekap Produksi dan Permintaan per Produk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964"/>
          </w:tcPr>
          <w:p>
            <w:pPr>
              <w:spacing w:after="0"/>
              <w:jc w:val="center"/>
            </w:pPr>
            <w:r/>
            <w:r>
              <w:rPr>
                <w:b/>
                <w:i w:val="0"/>
                <w:sz w:val="20"/>
              </w:rPr>
              <w:t>Kode</w:t>
            </w:r>
          </w:p>
        </w:tc>
        <w:tc>
          <w:tcPr>
            <w:tcW w:type="dxa" w:w="3061"/>
          </w:tcPr>
          <w:p>
            <w:pPr>
              <w:spacing w:after="0"/>
              <w:jc w:val="center"/>
            </w:pPr>
            <w:r/>
            <w:r>
              <w:rPr>
                <w:b/>
                <w:i w:val="0"/>
                <w:sz w:val="20"/>
              </w:rPr>
              <w:t>Nama produk</w:t>
            </w:r>
          </w:p>
        </w:tc>
        <w:tc>
          <w:tcPr>
            <w:tcW w:type="dxa" w:w="1361"/>
          </w:tcPr>
          <w:p>
            <w:pPr>
              <w:spacing w:after="0"/>
              <w:jc w:val="center"/>
            </w:pPr>
            <w:r/>
            <w:r>
              <w:rPr>
                <w:b/>
                <w:i w:val="0"/>
                <w:sz w:val="20"/>
              </w:rPr>
              <w:t>Produksi (kodi)</w:t>
            </w:r>
          </w:p>
        </w:tc>
        <w:tc>
          <w:tcPr>
            <w:tcW w:type="dxa" w:w="1474"/>
          </w:tcPr>
          <w:p>
            <w:pPr>
              <w:spacing w:after="0"/>
              <w:jc w:val="center"/>
            </w:pPr>
            <w:r/>
            <w:r>
              <w:rPr>
                <w:b/>
                <w:i w:val="0"/>
                <w:sz w:val="20"/>
              </w:rPr>
              <w:t>Permintaan (kodi)</w:t>
            </w:r>
          </w:p>
        </w:tc>
        <w:tc>
          <w:tcPr>
            <w:tcW w:type="dxa" w:w="1814"/>
          </w:tcPr>
          <w:p>
            <w:pPr>
              <w:spacing w:after="0"/>
              <w:jc w:val="center"/>
            </w:pPr>
            <w:r/>
            <w:r>
              <w:rPr>
                <w:b/>
                <w:i w:val="0"/>
                <w:sz w:val="20"/>
              </w:rPr>
              <w:t>Nilai penjualan (Rp)</w:t>
            </w:r>
          </w:p>
        </w:tc>
      </w:tr>
      <w:tr>
        <w:tc>
          <w:tcPr>
            <w:tcW w:type="dxa" w:w="964"/>
          </w:tcPr>
          <w:p>
            <w:pPr>
              <w:spacing w:after="0"/>
            </w:pPr>
            <w:r/>
            <w:r>
              <w:rPr>
                <w:b w:val="0"/>
                <w:i w:val="0"/>
                <w:sz w:val="20"/>
              </w:rPr>
              <w:t>PPI-01</w:t>
            </w:r>
          </w:p>
        </w:tc>
        <w:tc>
          <w:tcPr>
            <w:tcW w:type="dxa" w:w="3061"/>
          </w:tcPr>
          <w:p>
            <w:pPr>
              <w:spacing w:after="0"/>
            </w:pPr>
            <w:r/>
            <w:r>
              <w:rPr>
                <w:b w:val="0"/>
                <w:i w:val="0"/>
                <w:sz w:val="20"/>
              </w:rPr>
              <w:t>Songkok Standar / Non AC</w:t>
            </w:r>
          </w:p>
        </w:tc>
        <w:tc>
          <w:tcPr>
            <w:tcW w:type="dxa" w:w="1361"/>
          </w:tcPr>
          <w:p>
            <w:pPr>
              <w:spacing w:after="0"/>
              <w:jc w:val="center"/>
            </w:pPr>
            <w:r/>
            <w:r>
              <w:rPr>
                <w:b w:val="0"/>
                <w:i w:val="0"/>
                <w:sz w:val="20"/>
              </w:rPr>
              <w:t>1.849,9</w:t>
            </w:r>
          </w:p>
        </w:tc>
        <w:tc>
          <w:tcPr>
            <w:tcW w:type="dxa" w:w="1474"/>
          </w:tcPr>
          <w:p>
            <w:pPr>
              <w:spacing w:after="0"/>
              <w:jc w:val="center"/>
            </w:pPr>
            <w:r/>
            <w:r>
              <w:rPr>
                <w:b w:val="0"/>
                <w:i w:val="0"/>
                <w:sz w:val="20"/>
              </w:rPr>
              <w:t>1.916,7</w:t>
            </w:r>
          </w:p>
        </w:tc>
        <w:tc>
          <w:tcPr>
            <w:tcW w:type="dxa" w:w="1814"/>
          </w:tcPr>
          <w:p>
            <w:pPr>
              <w:spacing w:after="0"/>
              <w:jc w:val="center"/>
            </w:pPr>
            <w:r/>
            <w:r>
              <w:rPr>
                <w:b w:val="0"/>
                <w:i w:val="0"/>
                <w:sz w:val="20"/>
              </w:rPr>
              <w:t>1.456.692.000</w:t>
            </w:r>
          </w:p>
        </w:tc>
      </w:tr>
      <w:tr>
        <w:tc>
          <w:tcPr>
            <w:tcW w:type="dxa" w:w="964"/>
          </w:tcPr>
          <w:p>
            <w:pPr>
              <w:spacing w:after="0"/>
            </w:pPr>
            <w:r/>
            <w:r>
              <w:rPr>
                <w:b w:val="0"/>
                <w:i w:val="0"/>
                <w:sz w:val="20"/>
              </w:rPr>
              <w:t>PPI-02</w:t>
            </w:r>
          </w:p>
        </w:tc>
        <w:tc>
          <w:tcPr>
            <w:tcW w:type="dxa" w:w="3061"/>
          </w:tcPr>
          <w:p>
            <w:pPr>
              <w:spacing w:after="0"/>
            </w:pPr>
            <w:r/>
            <w:r>
              <w:rPr>
                <w:b w:val="0"/>
                <w:i w:val="0"/>
                <w:sz w:val="20"/>
              </w:rPr>
              <w:t>Songkok AC</w:t>
            </w:r>
          </w:p>
        </w:tc>
        <w:tc>
          <w:tcPr>
            <w:tcW w:type="dxa" w:w="1361"/>
          </w:tcPr>
          <w:p>
            <w:pPr>
              <w:spacing w:after="0"/>
              <w:jc w:val="center"/>
            </w:pPr>
            <w:r/>
            <w:r>
              <w:rPr>
                <w:b w:val="0"/>
                <w:i w:val="0"/>
                <w:sz w:val="20"/>
              </w:rPr>
              <w:t>1.627,0</w:t>
            </w:r>
          </w:p>
        </w:tc>
        <w:tc>
          <w:tcPr>
            <w:tcW w:type="dxa" w:w="1474"/>
          </w:tcPr>
          <w:p>
            <w:pPr>
              <w:spacing w:after="0"/>
              <w:jc w:val="center"/>
            </w:pPr>
            <w:r/>
            <w:r>
              <w:rPr>
                <w:b w:val="0"/>
                <w:i w:val="0"/>
                <w:sz w:val="20"/>
              </w:rPr>
              <w:t>1.679,1</w:t>
            </w:r>
          </w:p>
        </w:tc>
        <w:tc>
          <w:tcPr>
            <w:tcW w:type="dxa" w:w="1814"/>
          </w:tcPr>
          <w:p>
            <w:pPr>
              <w:spacing w:after="0"/>
              <w:jc w:val="center"/>
            </w:pPr>
            <w:r/>
            <w:r>
              <w:rPr>
                <w:b w:val="0"/>
                <w:i w:val="0"/>
                <w:sz w:val="20"/>
              </w:rPr>
              <w:t>1.410.444.000</w:t>
            </w:r>
          </w:p>
        </w:tc>
      </w:tr>
      <w:tr>
        <w:tc>
          <w:tcPr>
            <w:tcW w:type="dxa" w:w="964"/>
          </w:tcPr>
          <w:p>
            <w:pPr>
              <w:spacing w:after="0"/>
            </w:pPr>
            <w:r/>
            <w:r>
              <w:rPr>
                <w:b w:val="0"/>
                <w:i w:val="0"/>
                <w:sz w:val="20"/>
              </w:rPr>
              <w:t>PPI-03</w:t>
            </w:r>
          </w:p>
        </w:tc>
        <w:tc>
          <w:tcPr>
            <w:tcW w:type="dxa" w:w="3061"/>
          </w:tcPr>
          <w:p>
            <w:pPr>
              <w:spacing w:after="0"/>
            </w:pPr>
            <w:r/>
            <w:r>
              <w:rPr>
                <w:b w:val="0"/>
                <w:i w:val="0"/>
                <w:sz w:val="20"/>
              </w:rPr>
              <w:t>Songkok AC Exclusive</w:t>
            </w:r>
          </w:p>
        </w:tc>
        <w:tc>
          <w:tcPr>
            <w:tcW w:type="dxa" w:w="1361"/>
          </w:tcPr>
          <w:p>
            <w:pPr>
              <w:spacing w:after="0"/>
              <w:jc w:val="center"/>
            </w:pPr>
            <w:r/>
            <w:r>
              <w:rPr>
                <w:b w:val="0"/>
                <w:i w:val="0"/>
                <w:sz w:val="20"/>
              </w:rPr>
              <w:t>929,7</w:t>
            </w:r>
          </w:p>
        </w:tc>
        <w:tc>
          <w:tcPr>
            <w:tcW w:type="dxa" w:w="1474"/>
          </w:tcPr>
          <w:p>
            <w:pPr>
              <w:spacing w:after="0"/>
              <w:jc w:val="center"/>
            </w:pPr>
            <w:r/>
            <w:r>
              <w:rPr>
                <w:b w:val="0"/>
                <w:i w:val="0"/>
                <w:sz w:val="20"/>
              </w:rPr>
              <w:t>951,7</w:t>
            </w:r>
          </w:p>
        </w:tc>
        <w:tc>
          <w:tcPr>
            <w:tcW w:type="dxa" w:w="1814"/>
          </w:tcPr>
          <w:p>
            <w:pPr>
              <w:spacing w:after="0"/>
              <w:jc w:val="center"/>
            </w:pPr>
            <w:r/>
            <w:r>
              <w:rPr>
                <w:b w:val="0"/>
                <w:i w:val="0"/>
                <w:sz w:val="20"/>
              </w:rPr>
              <w:t>951.700.000</w:t>
            </w:r>
          </w:p>
        </w:tc>
      </w:tr>
      <w:tr>
        <w:tc>
          <w:tcPr>
            <w:tcW w:type="dxa" w:w="964"/>
          </w:tcPr>
          <w:p>
            <w:pPr>
              <w:spacing w:after="0"/>
            </w:pPr>
            <w:r/>
            <w:r>
              <w:rPr>
                <w:b w:val="0"/>
                <w:i w:val="0"/>
                <w:sz w:val="20"/>
              </w:rPr>
              <w:t>PPI-04</w:t>
            </w:r>
          </w:p>
        </w:tc>
        <w:tc>
          <w:tcPr>
            <w:tcW w:type="dxa" w:w="3061"/>
          </w:tcPr>
          <w:p>
            <w:pPr>
              <w:spacing w:after="0"/>
            </w:pPr>
            <w:r/>
            <w:r>
              <w:rPr>
                <w:b w:val="0"/>
                <w:i w:val="0"/>
                <w:sz w:val="20"/>
              </w:rPr>
              <w:t>Songkok AC Tengah</w:t>
            </w:r>
          </w:p>
        </w:tc>
        <w:tc>
          <w:tcPr>
            <w:tcW w:type="dxa" w:w="1361"/>
          </w:tcPr>
          <w:p>
            <w:pPr>
              <w:spacing w:after="0"/>
              <w:jc w:val="center"/>
            </w:pPr>
            <w:r/>
            <w:r>
              <w:rPr>
                <w:b w:val="0"/>
                <w:i w:val="0"/>
                <w:sz w:val="20"/>
              </w:rPr>
              <w:t>737,7</w:t>
            </w:r>
          </w:p>
        </w:tc>
        <w:tc>
          <w:tcPr>
            <w:tcW w:type="dxa" w:w="1474"/>
          </w:tcPr>
          <w:p>
            <w:pPr>
              <w:spacing w:after="0"/>
              <w:jc w:val="center"/>
            </w:pPr>
            <w:r/>
            <w:r>
              <w:rPr>
                <w:b w:val="0"/>
                <w:i w:val="0"/>
                <w:sz w:val="20"/>
              </w:rPr>
              <w:t>755,3</w:t>
            </w:r>
          </w:p>
        </w:tc>
        <w:tc>
          <w:tcPr>
            <w:tcW w:type="dxa" w:w="1814"/>
          </w:tcPr>
          <w:p>
            <w:pPr>
              <w:spacing w:after="0"/>
              <w:jc w:val="center"/>
            </w:pPr>
            <w:r/>
            <w:r>
              <w:rPr>
                <w:b w:val="0"/>
                <w:i w:val="0"/>
                <w:sz w:val="20"/>
              </w:rPr>
              <w:t>679.770.000</w:t>
            </w:r>
          </w:p>
        </w:tc>
      </w:tr>
      <w:tr>
        <w:tc>
          <w:tcPr>
            <w:tcW w:type="dxa" w:w="964"/>
          </w:tcPr>
          <w:p>
            <w:pPr>
              <w:spacing w:after="0"/>
            </w:pPr>
            <w:r/>
            <w:r>
              <w:rPr>
                <w:b w:val="0"/>
                <w:i w:val="0"/>
                <w:sz w:val="20"/>
              </w:rPr>
              <w:t>PPI-05</w:t>
            </w:r>
          </w:p>
        </w:tc>
        <w:tc>
          <w:tcPr>
            <w:tcW w:type="dxa" w:w="3061"/>
          </w:tcPr>
          <w:p>
            <w:pPr>
              <w:spacing w:after="0"/>
            </w:pPr>
            <w:r/>
            <w:r>
              <w:rPr>
                <w:b w:val="0"/>
                <w:i w:val="0"/>
                <w:sz w:val="20"/>
              </w:rPr>
              <w:t>Songkok AC Samping</w:t>
            </w:r>
          </w:p>
        </w:tc>
        <w:tc>
          <w:tcPr>
            <w:tcW w:type="dxa" w:w="1361"/>
          </w:tcPr>
          <w:p>
            <w:pPr>
              <w:spacing w:after="0"/>
              <w:jc w:val="center"/>
            </w:pPr>
            <w:r/>
            <w:r>
              <w:rPr>
                <w:b w:val="0"/>
                <w:i w:val="0"/>
                <w:sz w:val="20"/>
              </w:rPr>
              <w:t>653,5</w:t>
            </w:r>
          </w:p>
        </w:tc>
        <w:tc>
          <w:tcPr>
            <w:tcW w:type="dxa" w:w="1474"/>
          </w:tcPr>
          <w:p>
            <w:pPr>
              <w:spacing w:after="0"/>
              <w:jc w:val="center"/>
            </w:pPr>
            <w:r/>
            <w:r>
              <w:rPr>
                <w:b w:val="0"/>
                <w:i w:val="0"/>
                <w:sz w:val="20"/>
              </w:rPr>
              <w:t>676,0</w:t>
            </w:r>
          </w:p>
        </w:tc>
        <w:tc>
          <w:tcPr>
            <w:tcW w:type="dxa" w:w="1814"/>
          </w:tcPr>
          <w:p>
            <w:pPr>
              <w:spacing w:after="0"/>
              <w:jc w:val="center"/>
            </w:pPr>
            <w:r/>
            <w:r>
              <w:rPr>
                <w:b w:val="0"/>
                <w:i w:val="0"/>
                <w:sz w:val="20"/>
              </w:rPr>
              <w:t>594.880.000</w:t>
            </w:r>
          </w:p>
        </w:tc>
      </w:tr>
      <w:tr>
        <w:tc>
          <w:tcPr>
            <w:tcW w:type="dxa" w:w="964"/>
          </w:tcPr>
          <w:p>
            <w:pPr>
              <w:spacing w:after="0"/>
            </w:pPr>
            <w:r/>
            <w:r>
              <w:rPr>
                <w:b w:val="0"/>
                <w:i w:val="0"/>
                <w:sz w:val="20"/>
              </w:rPr>
              <w:t>PPI-06</w:t>
            </w:r>
          </w:p>
        </w:tc>
        <w:tc>
          <w:tcPr>
            <w:tcW w:type="dxa" w:w="3061"/>
          </w:tcPr>
          <w:p>
            <w:pPr>
              <w:spacing w:after="0"/>
            </w:pPr>
            <w:r/>
            <w:r>
              <w:rPr>
                <w:b w:val="0"/>
                <w:i w:val="0"/>
                <w:sz w:val="20"/>
              </w:rPr>
              <w:t>Songkok Full AC</w:t>
            </w:r>
          </w:p>
        </w:tc>
        <w:tc>
          <w:tcPr>
            <w:tcW w:type="dxa" w:w="1361"/>
          </w:tcPr>
          <w:p>
            <w:pPr>
              <w:spacing w:after="0"/>
              <w:jc w:val="center"/>
            </w:pPr>
            <w:r/>
            <w:r>
              <w:rPr>
                <w:b w:val="0"/>
                <w:i w:val="0"/>
                <w:sz w:val="20"/>
              </w:rPr>
              <w:t>557,0</w:t>
            </w:r>
          </w:p>
        </w:tc>
        <w:tc>
          <w:tcPr>
            <w:tcW w:type="dxa" w:w="1474"/>
          </w:tcPr>
          <w:p>
            <w:pPr>
              <w:spacing w:after="0"/>
              <w:jc w:val="center"/>
            </w:pPr>
            <w:r/>
            <w:r>
              <w:rPr>
                <w:b w:val="0"/>
                <w:i w:val="0"/>
                <w:sz w:val="20"/>
              </w:rPr>
              <w:t>575,0</w:t>
            </w:r>
          </w:p>
        </w:tc>
        <w:tc>
          <w:tcPr>
            <w:tcW w:type="dxa" w:w="1814"/>
          </w:tcPr>
          <w:p>
            <w:pPr>
              <w:spacing w:after="0"/>
              <w:jc w:val="center"/>
            </w:pPr>
            <w:r/>
            <w:r>
              <w:rPr>
                <w:b w:val="0"/>
                <w:i w:val="0"/>
                <w:sz w:val="20"/>
              </w:rPr>
              <w:t>598.000.000</w:t>
            </w:r>
          </w:p>
        </w:tc>
      </w:tr>
      <w:tr>
        <w:tc>
          <w:tcPr>
            <w:tcW w:type="dxa" w:w="964"/>
          </w:tcPr>
          <w:p>
            <w:pPr>
              <w:spacing w:after="0"/>
            </w:pPr>
            <w:r/>
            <w:r>
              <w:rPr>
                <w:b w:val="0"/>
                <w:i w:val="0"/>
                <w:sz w:val="20"/>
              </w:rPr>
              <w:t>PPI-07</w:t>
            </w:r>
          </w:p>
        </w:tc>
        <w:tc>
          <w:tcPr>
            <w:tcW w:type="dxa" w:w="3061"/>
          </w:tcPr>
          <w:p>
            <w:pPr>
              <w:spacing w:after="0"/>
            </w:pPr>
            <w:r/>
            <w:r>
              <w:rPr>
                <w:b w:val="0"/>
                <w:i w:val="0"/>
                <w:sz w:val="20"/>
              </w:rPr>
              <w:t>Songkok Full AC Tengah</w:t>
            </w:r>
          </w:p>
        </w:tc>
        <w:tc>
          <w:tcPr>
            <w:tcW w:type="dxa" w:w="1361"/>
          </w:tcPr>
          <w:p>
            <w:pPr>
              <w:spacing w:after="0"/>
              <w:jc w:val="center"/>
            </w:pPr>
            <w:r/>
            <w:r>
              <w:rPr>
                <w:b w:val="0"/>
                <w:i w:val="0"/>
                <w:sz w:val="20"/>
              </w:rPr>
              <w:t>463,5</w:t>
            </w:r>
          </w:p>
        </w:tc>
        <w:tc>
          <w:tcPr>
            <w:tcW w:type="dxa" w:w="1474"/>
          </w:tcPr>
          <w:p>
            <w:pPr>
              <w:spacing w:after="0"/>
              <w:jc w:val="center"/>
            </w:pPr>
            <w:r/>
            <w:r>
              <w:rPr>
                <w:b w:val="0"/>
                <w:i w:val="0"/>
                <w:sz w:val="20"/>
              </w:rPr>
              <w:t>481,3</w:t>
            </w:r>
          </w:p>
        </w:tc>
        <w:tc>
          <w:tcPr>
            <w:tcW w:type="dxa" w:w="1814"/>
          </w:tcPr>
          <w:p>
            <w:pPr>
              <w:spacing w:after="0"/>
              <w:jc w:val="center"/>
            </w:pPr>
            <w:r/>
            <w:r>
              <w:rPr>
                <w:b w:val="0"/>
                <w:i w:val="0"/>
                <w:sz w:val="20"/>
              </w:rPr>
              <w:t>529.430.000</w:t>
            </w:r>
          </w:p>
        </w:tc>
      </w:tr>
      <w:tr>
        <w:tc>
          <w:tcPr>
            <w:tcW w:type="dxa" w:w="964"/>
          </w:tcPr>
          <w:p>
            <w:pPr>
              <w:spacing w:after="0"/>
            </w:pPr>
            <w:r/>
            <w:r>
              <w:rPr>
                <w:b w:val="0"/>
                <w:i w:val="0"/>
                <w:sz w:val="20"/>
              </w:rPr>
              <w:t>PPI-08</w:t>
            </w:r>
          </w:p>
        </w:tc>
        <w:tc>
          <w:tcPr>
            <w:tcW w:type="dxa" w:w="3061"/>
          </w:tcPr>
          <w:p>
            <w:pPr>
              <w:spacing w:after="0"/>
            </w:pPr>
            <w:r/>
            <w:r>
              <w:rPr>
                <w:b w:val="0"/>
                <w:i w:val="0"/>
                <w:sz w:val="20"/>
              </w:rPr>
              <w:t>Songkok Susun</w:t>
            </w:r>
          </w:p>
        </w:tc>
        <w:tc>
          <w:tcPr>
            <w:tcW w:type="dxa" w:w="1361"/>
          </w:tcPr>
          <w:p>
            <w:pPr>
              <w:spacing w:after="0"/>
              <w:jc w:val="center"/>
            </w:pPr>
            <w:r/>
            <w:r>
              <w:rPr>
                <w:b w:val="0"/>
                <w:i w:val="0"/>
                <w:sz w:val="20"/>
              </w:rPr>
              <w:t>370,8</w:t>
            </w:r>
          </w:p>
        </w:tc>
        <w:tc>
          <w:tcPr>
            <w:tcW w:type="dxa" w:w="1474"/>
          </w:tcPr>
          <w:p>
            <w:pPr>
              <w:spacing w:after="0"/>
              <w:jc w:val="center"/>
            </w:pPr>
            <w:r/>
            <w:r>
              <w:rPr>
                <w:b w:val="0"/>
                <w:i w:val="0"/>
                <w:sz w:val="20"/>
              </w:rPr>
              <w:t>380,0</w:t>
            </w:r>
          </w:p>
        </w:tc>
        <w:tc>
          <w:tcPr>
            <w:tcW w:type="dxa" w:w="1814"/>
          </w:tcPr>
          <w:p>
            <w:pPr>
              <w:spacing w:after="0"/>
              <w:jc w:val="center"/>
            </w:pPr>
            <w:r/>
            <w:r>
              <w:rPr>
                <w:b w:val="0"/>
                <w:i w:val="0"/>
                <w:sz w:val="20"/>
              </w:rPr>
              <w:t>349.600.000</w:t>
            </w:r>
          </w:p>
        </w:tc>
      </w:tr>
      <w:tr>
        <w:tc>
          <w:tcPr>
            <w:tcW w:type="dxa" w:w="964"/>
          </w:tcPr>
          <w:p>
            <w:pPr>
              <w:spacing w:after="0"/>
            </w:pPr>
            <w:r/>
            <w:r>
              <w:rPr>
                <w:b w:val="0"/>
                <w:i w:val="0"/>
                <w:sz w:val="20"/>
              </w:rPr>
              <w:t>PPI-09</w:t>
            </w:r>
          </w:p>
        </w:tc>
        <w:tc>
          <w:tcPr>
            <w:tcW w:type="dxa" w:w="3061"/>
          </w:tcPr>
          <w:p>
            <w:pPr>
              <w:spacing w:after="0"/>
            </w:pPr>
            <w:r/>
            <w:r>
              <w:rPr>
                <w:b w:val="0"/>
                <w:i w:val="0"/>
                <w:sz w:val="20"/>
              </w:rPr>
              <w:t>Songkok Motif Gunungan</w:t>
            </w:r>
          </w:p>
        </w:tc>
        <w:tc>
          <w:tcPr>
            <w:tcW w:type="dxa" w:w="1361"/>
          </w:tcPr>
          <w:p>
            <w:pPr>
              <w:spacing w:after="0"/>
              <w:jc w:val="center"/>
            </w:pPr>
            <w:r/>
            <w:r>
              <w:rPr>
                <w:b w:val="0"/>
                <w:i w:val="0"/>
                <w:sz w:val="20"/>
              </w:rPr>
              <w:t>276,4</w:t>
            </w:r>
          </w:p>
        </w:tc>
        <w:tc>
          <w:tcPr>
            <w:tcW w:type="dxa" w:w="1474"/>
          </w:tcPr>
          <w:p>
            <w:pPr>
              <w:spacing w:after="0"/>
              <w:jc w:val="center"/>
            </w:pPr>
            <w:r/>
            <w:r>
              <w:rPr>
                <w:b w:val="0"/>
                <w:i w:val="0"/>
                <w:sz w:val="20"/>
              </w:rPr>
              <w:t>282,7</w:t>
            </w:r>
          </w:p>
        </w:tc>
        <w:tc>
          <w:tcPr>
            <w:tcW w:type="dxa" w:w="1814"/>
          </w:tcPr>
          <w:p>
            <w:pPr>
              <w:spacing w:after="0"/>
              <w:jc w:val="center"/>
            </w:pPr>
            <w:r/>
            <w:r>
              <w:rPr>
                <w:b w:val="0"/>
                <w:i w:val="0"/>
                <w:sz w:val="20"/>
              </w:rPr>
              <w:t>265.738.000</w:t>
            </w:r>
          </w:p>
        </w:tc>
      </w:tr>
      <w:tr>
        <w:tc>
          <w:tcPr>
            <w:tcW w:type="dxa" w:w="964"/>
          </w:tcPr>
          <w:p>
            <w:pPr>
              <w:spacing w:after="0"/>
            </w:pPr>
            <w:r/>
            <w:r>
              <w:rPr>
                <w:b w:val="0"/>
                <w:i w:val="0"/>
                <w:sz w:val="20"/>
              </w:rPr>
              <w:t>PPI-10</w:t>
            </w:r>
          </w:p>
        </w:tc>
        <w:tc>
          <w:tcPr>
            <w:tcW w:type="dxa" w:w="3061"/>
          </w:tcPr>
          <w:p>
            <w:pPr>
              <w:spacing w:after="0"/>
            </w:pPr>
            <w:r/>
            <w:r>
              <w:rPr>
                <w:b w:val="0"/>
                <w:i w:val="0"/>
                <w:sz w:val="20"/>
              </w:rPr>
              <w:t>Songkok Motif Selayar</w:t>
            </w:r>
          </w:p>
        </w:tc>
        <w:tc>
          <w:tcPr>
            <w:tcW w:type="dxa" w:w="1361"/>
          </w:tcPr>
          <w:p>
            <w:pPr>
              <w:spacing w:after="0"/>
              <w:jc w:val="center"/>
            </w:pPr>
            <w:r/>
            <w:r>
              <w:rPr>
                <w:b w:val="0"/>
                <w:i w:val="0"/>
                <w:sz w:val="20"/>
              </w:rPr>
              <w:t>280,4</w:t>
            </w:r>
          </w:p>
        </w:tc>
        <w:tc>
          <w:tcPr>
            <w:tcW w:type="dxa" w:w="1474"/>
          </w:tcPr>
          <w:p>
            <w:pPr>
              <w:spacing w:after="0"/>
              <w:jc w:val="center"/>
            </w:pPr>
            <w:r/>
            <w:r>
              <w:rPr>
                <w:b w:val="0"/>
                <w:i w:val="0"/>
                <w:sz w:val="20"/>
              </w:rPr>
              <w:t>288,0</w:t>
            </w:r>
          </w:p>
        </w:tc>
        <w:tc>
          <w:tcPr>
            <w:tcW w:type="dxa" w:w="1814"/>
          </w:tcPr>
          <w:p>
            <w:pPr>
              <w:spacing w:after="0"/>
              <w:jc w:val="center"/>
            </w:pPr>
            <w:r/>
            <w:r>
              <w:rPr>
                <w:b w:val="0"/>
                <w:i w:val="0"/>
                <w:sz w:val="20"/>
              </w:rPr>
              <w:t>282.240.000</w:t>
            </w:r>
          </w:p>
        </w:tc>
      </w:tr>
      <w:tr>
        <w:tc>
          <w:tcPr>
            <w:tcW w:type="dxa" w:w="964"/>
          </w:tcPr>
          <w:p>
            <w:pPr>
              <w:spacing w:after="0"/>
            </w:pPr>
            <w:r/>
            <w:r>
              <w:rPr>
                <w:b w:val="0"/>
                <w:i w:val="0"/>
                <w:sz w:val="20"/>
              </w:rPr>
              <w:t>PPI-11</w:t>
            </w:r>
          </w:p>
        </w:tc>
        <w:tc>
          <w:tcPr>
            <w:tcW w:type="dxa" w:w="3061"/>
          </w:tcPr>
          <w:p>
            <w:pPr>
              <w:spacing w:after="0"/>
            </w:pPr>
            <w:r/>
            <w:r>
              <w:rPr>
                <w:b w:val="0"/>
                <w:i w:val="0"/>
                <w:sz w:val="20"/>
              </w:rPr>
              <w:t>Songkok Motif Bintang</w:t>
            </w:r>
          </w:p>
        </w:tc>
        <w:tc>
          <w:tcPr>
            <w:tcW w:type="dxa" w:w="1361"/>
          </w:tcPr>
          <w:p>
            <w:pPr>
              <w:spacing w:after="0"/>
              <w:jc w:val="center"/>
            </w:pPr>
            <w:r/>
            <w:r>
              <w:rPr>
                <w:b w:val="0"/>
                <w:i w:val="0"/>
                <w:sz w:val="20"/>
              </w:rPr>
              <w:t>275,2</w:t>
            </w:r>
          </w:p>
        </w:tc>
        <w:tc>
          <w:tcPr>
            <w:tcW w:type="dxa" w:w="1474"/>
          </w:tcPr>
          <w:p>
            <w:pPr>
              <w:spacing w:after="0"/>
              <w:jc w:val="center"/>
            </w:pPr>
            <w:r/>
            <w:r>
              <w:rPr>
                <w:b w:val="0"/>
                <w:i w:val="0"/>
                <w:sz w:val="20"/>
              </w:rPr>
              <w:t>285,1</w:t>
            </w:r>
          </w:p>
        </w:tc>
        <w:tc>
          <w:tcPr>
            <w:tcW w:type="dxa" w:w="1814"/>
          </w:tcPr>
          <w:p>
            <w:pPr>
              <w:spacing w:after="0"/>
              <w:jc w:val="center"/>
            </w:pPr>
            <w:r/>
            <w:r>
              <w:rPr>
                <w:b w:val="0"/>
                <w:i w:val="0"/>
                <w:sz w:val="20"/>
              </w:rPr>
              <w:t>273.696.000</w:t>
            </w:r>
          </w:p>
        </w:tc>
      </w:tr>
      <w:tr>
        <w:tc>
          <w:tcPr>
            <w:tcW w:type="dxa" w:w="964"/>
          </w:tcPr>
          <w:p>
            <w:pPr>
              <w:spacing w:after="0"/>
            </w:pPr>
            <w:r/>
            <w:r>
              <w:rPr>
                <w:b w:val="0"/>
                <w:i w:val="0"/>
                <w:sz w:val="20"/>
              </w:rPr>
              <w:t>PPI-12</w:t>
            </w:r>
          </w:p>
        </w:tc>
        <w:tc>
          <w:tcPr>
            <w:tcW w:type="dxa" w:w="3061"/>
          </w:tcPr>
          <w:p>
            <w:pPr>
              <w:spacing w:after="0"/>
            </w:pPr>
            <w:r/>
            <w:r>
              <w:rPr>
                <w:b w:val="0"/>
                <w:i w:val="0"/>
                <w:sz w:val="20"/>
              </w:rPr>
              <w:t>Songkok Motif Takah Silver</w:t>
            </w:r>
          </w:p>
        </w:tc>
        <w:tc>
          <w:tcPr>
            <w:tcW w:type="dxa" w:w="1361"/>
          </w:tcPr>
          <w:p>
            <w:pPr>
              <w:spacing w:after="0"/>
              <w:jc w:val="center"/>
            </w:pPr>
            <w:r/>
            <w:r>
              <w:rPr>
                <w:b w:val="0"/>
                <w:i w:val="0"/>
                <w:sz w:val="20"/>
              </w:rPr>
              <w:t>233,3</w:t>
            </w:r>
          </w:p>
        </w:tc>
        <w:tc>
          <w:tcPr>
            <w:tcW w:type="dxa" w:w="1474"/>
          </w:tcPr>
          <w:p>
            <w:pPr>
              <w:spacing w:after="0"/>
              <w:jc w:val="center"/>
            </w:pPr>
            <w:r/>
            <w:r>
              <w:rPr>
                <w:b w:val="0"/>
                <w:i w:val="0"/>
                <w:sz w:val="20"/>
              </w:rPr>
              <w:t>238,4</w:t>
            </w:r>
          </w:p>
        </w:tc>
        <w:tc>
          <w:tcPr>
            <w:tcW w:type="dxa" w:w="1814"/>
          </w:tcPr>
          <w:p>
            <w:pPr>
              <w:spacing w:after="0"/>
              <w:jc w:val="center"/>
            </w:pPr>
            <w:r/>
            <w:r>
              <w:rPr>
                <w:b w:val="0"/>
                <w:i w:val="0"/>
                <w:sz w:val="20"/>
              </w:rPr>
              <w:t>219.328.000</w:t>
            </w:r>
          </w:p>
        </w:tc>
      </w:tr>
      <w:tr>
        <w:tc>
          <w:tcPr>
            <w:tcW w:type="dxa" w:w="964"/>
          </w:tcPr>
          <w:p>
            <w:pPr>
              <w:spacing w:after="0"/>
            </w:pPr>
            <w:r/>
            <w:r>
              <w:rPr>
                <w:b w:val="0"/>
                <w:i w:val="0"/>
                <w:sz w:val="20"/>
              </w:rPr>
              <w:t>PPI-13</w:t>
            </w:r>
          </w:p>
        </w:tc>
        <w:tc>
          <w:tcPr>
            <w:tcW w:type="dxa" w:w="3061"/>
          </w:tcPr>
          <w:p>
            <w:pPr>
              <w:spacing w:after="0"/>
            </w:pPr>
            <w:r/>
            <w:r>
              <w:rPr>
                <w:b w:val="0"/>
                <w:i w:val="0"/>
                <w:sz w:val="20"/>
              </w:rPr>
              <w:t>Songkok Motif Takah Gold</w:t>
            </w:r>
          </w:p>
        </w:tc>
        <w:tc>
          <w:tcPr>
            <w:tcW w:type="dxa" w:w="1361"/>
          </w:tcPr>
          <w:p>
            <w:pPr>
              <w:spacing w:after="0"/>
              <w:jc w:val="center"/>
            </w:pPr>
            <w:r/>
            <w:r>
              <w:rPr>
                <w:b w:val="0"/>
                <w:i w:val="0"/>
                <w:sz w:val="20"/>
              </w:rPr>
              <w:t>229,4</w:t>
            </w:r>
          </w:p>
        </w:tc>
        <w:tc>
          <w:tcPr>
            <w:tcW w:type="dxa" w:w="1474"/>
          </w:tcPr>
          <w:p>
            <w:pPr>
              <w:spacing w:after="0"/>
              <w:jc w:val="center"/>
            </w:pPr>
            <w:r/>
            <w:r>
              <w:rPr>
                <w:b w:val="0"/>
                <w:i w:val="0"/>
                <w:sz w:val="20"/>
              </w:rPr>
              <w:t>236,8</w:t>
            </w:r>
          </w:p>
        </w:tc>
        <w:tc>
          <w:tcPr>
            <w:tcW w:type="dxa" w:w="1814"/>
          </w:tcPr>
          <w:p>
            <w:pPr>
              <w:spacing w:after="0"/>
              <w:jc w:val="center"/>
            </w:pPr>
            <w:r/>
            <w:r>
              <w:rPr>
                <w:b w:val="0"/>
                <w:i w:val="0"/>
                <w:sz w:val="20"/>
              </w:rPr>
              <w:t>227.328.000</w:t>
            </w:r>
          </w:p>
        </w:tc>
      </w:tr>
      <w:tr>
        <w:tc>
          <w:tcPr>
            <w:tcW w:type="dxa" w:w="964"/>
          </w:tcPr>
          <w:p>
            <w:pPr>
              <w:spacing w:after="0"/>
            </w:pPr>
            <w:r/>
            <w:r>
              <w:rPr>
                <w:b w:val="0"/>
                <w:i w:val="0"/>
                <w:sz w:val="20"/>
              </w:rPr>
              <w:t>PPI-14</w:t>
            </w:r>
          </w:p>
        </w:tc>
        <w:tc>
          <w:tcPr>
            <w:tcW w:type="dxa" w:w="3061"/>
          </w:tcPr>
          <w:p>
            <w:pPr>
              <w:spacing w:after="0"/>
            </w:pPr>
            <w:r/>
            <w:r>
              <w:rPr>
                <w:b w:val="0"/>
                <w:i w:val="0"/>
                <w:sz w:val="20"/>
              </w:rPr>
              <w:t>Songkok Motif Starlight Silver</w:t>
            </w:r>
          </w:p>
        </w:tc>
        <w:tc>
          <w:tcPr>
            <w:tcW w:type="dxa" w:w="1361"/>
          </w:tcPr>
          <w:p>
            <w:pPr>
              <w:spacing w:after="0"/>
              <w:jc w:val="center"/>
            </w:pPr>
            <w:r/>
            <w:r>
              <w:rPr>
                <w:b w:val="0"/>
                <w:i w:val="0"/>
                <w:sz w:val="20"/>
              </w:rPr>
              <w:t>188,9</w:t>
            </w:r>
          </w:p>
        </w:tc>
        <w:tc>
          <w:tcPr>
            <w:tcW w:type="dxa" w:w="1474"/>
          </w:tcPr>
          <w:p>
            <w:pPr>
              <w:spacing w:after="0"/>
              <w:jc w:val="center"/>
            </w:pPr>
            <w:r/>
            <w:r>
              <w:rPr>
                <w:b w:val="0"/>
                <w:i w:val="0"/>
                <w:sz w:val="20"/>
              </w:rPr>
              <w:t>194,5</w:t>
            </w:r>
          </w:p>
        </w:tc>
        <w:tc>
          <w:tcPr>
            <w:tcW w:type="dxa" w:w="1814"/>
          </w:tcPr>
          <w:p>
            <w:pPr>
              <w:spacing w:after="0"/>
              <w:jc w:val="center"/>
            </w:pPr>
            <w:r/>
            <w:r>
              <w:rPr>
                <w:b w:val="0"/>
                <w:i w:val="0"/>
                <w:sz w:val="20"/>
              </w:rPr>
              <w:t>182.830.000</w:t>
            </w:r>
          </w:p>
        </w:tc>
      </w:tr>
      <w:tr>
        <w:tc>
          <w:tcPr>
            <w:tcW w:type="dxa" w:w="964"/>
          </w:tcPr>
          <w:p>
            <w:pPr>
              <w:spacing w:after="0"/>
            </w:pPr>
            <w:r/>
            <w:r>
              <w:rPr>
                <w:b w:val="0"/>
                <w:i w:val="0"/>
                <w:sz w:val="20"/>
              </w:rPr>
              <w:t>PPI-15</w:t>
            </w:r>
          </w:p>
        </w:tc>
        <w:tc>
          <w:tcPr>
            <w:tcW w:type="dxa" w:w="3061"/>
          </w:tcPr>
          <w:p>
            <w:pPr>
              <w:spacing w:after="0"/>
            </w:pPr>
            <w:r/>
            <w:r>
              <w:rPr>
                <w:b w:val="0"/>
                <w:i w:val="0"/>
                <w:sz w:val="20"/>
              </w:rPr>
              <w:t>Songkok Motif Starlight Gold</w:t>
            </w:r>
          </w:p>
        </w:tc>
        <w:tc>
          <w:tcPr>
            <w:tcW w:type="dxa" w:w="1361"/>
          </w:tcPr>
          <w:p>
            <w:pPr>
              <w:spacing w:after="0"/>
              <w:jc w:val="center"/>
            </w:pPr>
            <w:r/>
            <w:r>
              <w:rPr>
                <w:b w:val="0"/>
                <w:i w:val="0"/>
                <w:sz w:val="20"/>
              </w:rPr>
              <w:t>186,6</w:t>
            </w:r>
          </w:p>
        </w:tc>
        <w:tc>
          <w:tcPr>
            <w:tcW w:type="dxa" w:w="1474"/>
          </w:tcPr>
          <w:p>
            <w:pPr>
              <w:spacing w:after="0"/>
              <w:jc w:val="center"/>
            </w:pPr>
            <w:r/>
            <w:r>
              <w:rPr>
                <w:b w:val="0"/>
                <w:i w:val="0"/>
                <w:sz w:val="20"/>
              </w:rPr>
              <w:t>193,1</w:t>
            </w:r>
          </w:p>
        </w:tc>
        <w:tc>
          <w:tcPr>
            <w:tcW w:type="dxa" w:w="1814"/>
          </w:tcPr>
          <w:p>
            <w:pPr>
              <w:spacing w:after="0"/>
              <w:jc w:val="center"/>
            </w:pPr>
            <w:r/>
            <w:r>
              <w:rPr>
                <w:b w:val="0"/>
                <w:i w:val="0"/>
                <w:sz w:val="20"/>
              </w:rPr>
              <w:t>193.100.000</w:t>
            </w:r>
          </w:p>
        </w:tc>
      </w:tr>
      <w:tr>
        <w:tc>
          <w:tcPr>
            <w:tcW w:type="dxa" w:w="964"/>
          </w:tcPr>
          <w:p>
            <w:pPr>
              <w:spacing w:after="0"/>
            </w:pPr>
            <w:r/>
            <w:r>
              <w:rPr>
                <w:b w:val="0"/>
                <w:i w:val="0"/>
                <w:sz w:val="20"/>
              </w:rPr>
              <w:t>PPI-16</w:t>
            </w:r>
          </w:p>
        </w:tc>
        <w:tc>
          <w:tcPr>
            <w:tcW w:type="dxa" w:w="3061"/>
          </w:tcPr>
          <w:p>
            <w:pPr>
              <w:spacing w:after="0"/>
            </w:pPr>
            <w:r/>
            <w:r>
              <w:rPr>
                <w:b w:val="0"/>
                <w:i w:val="0"/>
                <w:sz w:val="20"/>
              </w:rPr>
              <w:t>Songkok Motif Circle Gold</w:t>
            </w:r>
          </w:p>
        </w:tc>
        <w:tc>
          <w:tcPr>
            <w:tcW w:type="dxa" w:w="1361"/>
          </w:tcPr>
          <w:p>
            <w:pPr>
              <w:spacing w:after="0"/>
              <w:jc w:val="center"/>
            </w:pPr>
            <w:r/>
            <w:r>
              <w:rPr>
                <w:b w:val="0"/>
                <w:i w:val="0"/>
                <w:sz w:val="20"/>
              </w:rPr>
              <w:t>184,7</w:t>
            </w:r>
          </w:p>
        </w:tc>
        <w:tc>
          <w:tcPr>
            <w:tcW w:type="dxa" w:w="1474"/>
          </w:tcPr>
          <w:p>
            <w:pPr>
              <w:spacing w:after="0"/>
              <w:jc w:val="center"/>
            </w:pPr>
            <w:r/>
            <w:r>
              <w:rPr>
                <w:b w:val="0"/>
                <w:i w:val="0"/>
                <w:sz w:val="20"/>
              </w:rPr>
              <w:t>188,8</w:t>
            </w:r>
          </w:p>
        </w:tc>
        <w:tc>
          <w:tcPr>
            <w:tcW w:type="dxa" w:w="1814"/>
          </w:tcPr>
          <w:p>
            <w:pPr>
              <w:spacing w:after="0"/>
              <w:jc w:val="center"/>
            </w:pPr>
            <w:r/>
            <w:r>
              <w:rPr>
                <w:b w:val="0"/>
                <w:i w:val="0"/>
                <w:sz w:val="20"/>
              </w:rPr>
              <w:t>185.024.000</w:t>
            </w:r>
          </w:p>
        </w:tc>
      </w:tr>
      <w:tr>
        <w:tc>
          <w:tcPr>
            <w:tcW w:type="dxa" w:w="964"/>
          </w:tcPr>
          <w:p>
            <w:pPr>
              <w:spacing w:after="0"/>
            </w:pPr>
            <w:r/>
            <w:r>
              <w:rPr>
                <w:b w:val="0"/>
                <w:i w:val="0"/>
                <w:sz w:val="20"/>
              </w:rPr>
              <w:t>PPI-17</w:t>
            </w:r>
          </w:p>
        </w:tc>
        <w:tc>
          <w:tcPr>
            <w:tcW w:type="dxa" w:w="3061"/>
          </w:tcPr>
          <w:p>
            <w:pPr>
              <w:spacing w:after="0"/>
            </w:pPr>
            <w:r/>
            <w:r>
              <w:rPr>
                <w:b w:val="0"/>
                <w:i w:val="0"/>
                <w:sz w:val="20"/>
              </w:rPr>
              <w:t>Songkok Motif Sparkling Silver</w:t>
            </w:r>
          </w:p>
        </w:tc>
        <w:tc>
          <w:tcPr>
            <w:tcW w:type="dxa" w:w="1361"/>
          </w:tcPr>
          <w:p>
            <w:pPr>
              <w:spacing w:after="0"/>
              <w:jc w:val="center"/>
            </w:pPr>
            <w:r/>
            <w:r>
              <w:rPr>
                <w:b w:val="0"/>
                <w:i w:val="0"/>
                <w:sz w:val="20"/>
              </w:rPr>
              <w:t>137,6</w:t>
            </w:r>
          </w:p>
        </w:tc>
        <w:tc>
          <w:tcPr>
            <w:tcW w:type="dxa" w:w="1474"/>
          </w:tcPr>
          <w:p>
            <w:pPr>
              <w:spacing w:after="0"/>
              <w:jc w:val="center"/>
            </w:pPr>
            <w:r/>
            <w:r>
              <w:rPr>
                <w:b w:val="0"/>
                <w:i w:val="0"/>
                <w:sz w:val="20"/>
              </w:rPr>
              <w:t>141,4</w:t>
            </w:r>
          </w:p>
        </w:tc>
        <w:tc>
          <w:tcPr>
            <w:tcW w:type="dxa" w:w="1814"/>
          </w:tcPr>
          <w:p>
            <w:pPr>
              <w:spacing w:after="0"/>
              <w:jc w:val="center"/>
            </w:pPr>
            <w:r/>
            <w:r>
              <w:rPr>
                <w:b w:val="0"/>
                <w:i w:val="0"/>
                <w:sz w:val="20"/>
              </w:rPr>
              <w:t>130.088.000</w:t>
            </w:r>
          </w:p>
        </w:tc>
      </w:tr>
      <w:tr>
        <w:tc>
          <w:tcPr>
            <w:tcW w:type="dxa" w:w="964"/>
          </w:tcPr>
          <w:p>
            <w:pPr>
              <w:spacing w:after="0"/>
            </w:pPr>
            <w:r/>
            <w:r>
              <w:rPr>
                <w:b w:val="0"/>
                <w:i w:val="0"/>
                <w:sz w:val="20"/>
              </w:rPr>
              <w:t>PPI-18</w:t>
            </w:r>
          </w:p>
        </w:tc>
        <w:tc>
          <w:tcPr>
            <w:tcW w:type="dxa" w:w="3061"/>
          </w:tcPr>
          <w:p>
            <w:pPr>
              <w:spacing w:after="0"/>
            </w:pPr>
            <w:r/>
            <w:r>
              <w:rPr>
                <w:b w:val="0"/>
                <w:i w:val="0"/>
                <w:sz w:val="20"/>
              </w:rPr>
              <w:t>Songkok Motif Sparkling Gold</w:t>
            </w:r>
          </w:p>
        </w:tc>
        <w:tc>
          <w:tcPr>
            <w:tcW w:type="dxa" w:w="1361"/>
          </w:tcPr>
          <w:p>
            <w:pPr>
              <w:spacing w:after="0"/>
              <w:jc w:val="center"/>
            </w:pPr>
            <w:r/>
            <w:r>
              <w:rPr>
                <w:b w:val="0"/>
                <w:i w:val="0"/>
                <w:sz w:val="20"/>
              </w:rPr>
              <w:t>139,2</w:t>
            </w:r>
          </w:p>
        </w:tc>
        <w:tc>
          <w:tcPr>
            <w:tcW w:type="dxa" w:w="1474"/>
          </w:tcPr>
          <w:p>
            <w:pPr>
              <w:spacing w:after="0"/>
              <w:jc w:val="center"/>
            </w:pPr>
            <w:r/>
            <w:r>
              <w:rPr>
                <w:b w:val="0"/>
                <w:i w:val="0"/>
                <w:sz w:val="20"/>
              </w:rPr>
              <w:t>144,0</w:t>
            </w:r>
          </w:p>
        </w:tc>
        <w:tc>
          <w:tcPr>
            <w:tcW w:type="dxa" w:w="1814"/>
          </w:tcPr>
          <w:p>
            <w:pPr>
              <w:spacing w:after="0"/>
              <w:jc w:val="center"/>
            </w:pPr>
            <w:r/>
            <w:r>
              <w:rPr>
                <w:b w:val="0"/>
                <w:i w:val="0"/>
                <w:sz w:val="20"/>
              </w:rPr>
              <w:t>141.120.000</w:t>
            </w:r>
          </w:p>
        </w:tc>
      </w:tr>
      <w:tr>
        <w:tc>
          <w:tcPr>
            <w:tcW w:type="dxa" w:w="964"/>
          </w:tcPr>
          <w:p>
            <w:pPr>
              <w:spacing w:after="0"/>
            </w:pPr>
            <w:r/>
            <w:r>
              <w:rPr>
                <w:b w:val="0"/>
                <w:i w:val="0"/>
                <w:sz w:val="20"/>
              </w:rPr>
              <w:t>PPI-19</w:t>
            </w:r>
          </w:p>
        </w:tc>
        <w:tc>
          <w:tcPr>
            <w:tcW w:type="dxa" w:w="3061"/>
          </w:tcPr>
          <w:p>
            <w:pPr>
              <w:spacing w:after="0"/>
            </w:pPr>
            <w:r/>
            <w:r>
              <w:rPr>
                <w:b w:val="0"/>
                <w:i w:val="0"/>
                <w:sz w:val="20"/>
              </w:rPr>
              <w:t>Songkok Motif Fence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143,1</w:t>
            </w:r>
          </w:p>
        </w:tc>
        <w:tc>
          <w:tcPr>
            <w:tcW w:type="dxa" w:w="1814"/>
          </w:tcPr>
          <w:p>
            <w:pPr>
              <w:spacing w:after="0"/>
              <w:jc w:val="center"/>
            </w:pPr>
            <w:r/>
            <w:r>
              <w:rPr>
                <w:b w:val="0"/>
                <w:i w:val="0"/>
                <w:sz w:val="20"/>
              </w:rPr>
              <w:t>143.100.000</w:t>
            </w:r>
          </w:p>
        </w:tc>
      </w:tr>
      <w:tr>
        <w:tc>
          <w:tcPr>
            <w:tcW w:type="dxa" w:w="964"/>
          </w:tcPr>
          <w:p>
            <w:pPr>
              <w:spacing w:after="0"/>
            </w:pPr>
            <w:r/>
            <w:r>
              <w:rPr>
                <w:b w:val="0"/>
                <w:i w:val="0"/>
                <w:sz w:val="20"/>
              </w:rPr>
              <w:t>PPI-20</w:t>
            </w:r>
          </w:p>
        </w:tc>
        <w:tc>
          <w:tcPr>
            <w:tcW w:type="dxa" w:w="3061"/>
          </w:tcPr>
          <w:p>
            <w:pPr>
              <w:spacing w:after="0"/>
            </w:pPr>
            <w:r/>
            <w:r>
              <w:rPr>
                <w:b w:val="0"/>
                <w:i w:val="0"/>
                <w:sz w:val="20"/>
              </w:rPr>
              <w:t>Songkok Motif Pyramid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143,2</w:t>
            </w:r>
          </w:p>
        </w:tc>
        <w:tc>
          <w:tcPr>
            <w:tcW w:type="dxa" w:w="1814"/>
          </w:tcPr>
          <w:p>
            <w:pPr>
              <w:spacing w:after="0"/>
              <w:jc w:val="center"/>
            </w:pPr>
            <w:r/>
            <w:r>
              <w:rPr>
                <w:b w:val="0"/>
                <w:i w:val="0"/>
                <w:sz w:val="20"/>
              </w:rPr>
              <w:t>143.200.000</w:t>
            </w:r>
          </w:p>
        </w:tc>
      </w:tr>
      <w:tr>
        <w:tc>
          <w:tcPr>
            <w:tcW w:type="dxa" w:w="964"/>
          </w:tcPr>
          <w:p>
            <w:pPr>
              <w:spacing w:after="0"/>
            </w:pPr>
            <w:r/>
            <w:r>
              <w:rPr>
                <w:b w:val="0"/>
                <w:i w:val="0"/>
                <w:sz w:val="20"/>
              </w:rPr>
              <w:t>PPI-21</w:t>
            </w:r>
          </w:p>
        </w:tc>
        <w:tc>
          <w:tcPr>
            <w:tcW w:type="dxa" w:w="3061"/>
          </w:tcPr>
          <w:p>
            <w:pPr>
              <w:spacing w:after="0"/>
            </w:pPr>
            <w:r/>
            <w:r>
              <w:rPr>
                <w:b w:val="0"/>
                <w:i w:val="0"/>
                <w:sz w:val="20"/>
              </w:rPr>
              <w:t>Songkok Motif Fawwaz Silver</w:t>
            </w:r>
          </w:p>
        </w:tc>
        <w:tc>
          <w:tcPr>
            <w:tcW w:type="dxa" w:w="1361"/>
          </w:tcPr>
          <w:p>
            <w:pPr>
              <w:spacing w:after="0"/>
              <w:jc w:val="center"/>
            </w:pPr>
            <w:r/>
            <w:r>
              <w:rPr>
                <w:b w:val="0"/>
                <w:i w:val="0"/>
                <w:sz w:val="20"/>
              </w:rPr>
              <w:t>94,2</w:t>
            </w:r>
          </w:p>
        </w:tc>
        <w:tc>
          <w:tcPr>
            <w:tcW w:type="dxa" w:w="1474"/>
          </w:tcPr>
          <w:p>
            <w:pPr>
              <w:spacing w:after="0"/>
              <w:jc w:val="center"/>
            </w:pPr>
            <w:r/>
            <w:r>
              <w:rPr>
                <w:b w:val="0"/>
                <w:i w:val="0"/>
                <w:sz w:val="20"/>
              </w:rPr>
              <w:t>97,7</w:t>
            </w:r>
          </w:p>
        </w:tc>
        <w:tc>
          <w:tcPr>
            <w:tcW w:type="dxa" w:w="1814"/>
          </w:tcPr>
          <w:p>
            <w:pPr>
              <w:spacing w:after="0"/>
              <w:jc w:val="center"/>
            </w:pPr>
            <w:r/>
            <w:r>
              <w:rPr>
                <w:b w:val="0"/>
                <w:i w:val="0"/>
                <w:sz w:val="20"/>
              </w:rPr>
              <w:t>91.838.000</w:t>
            </w:r>
          </w:p>
        </w:tc>
      </w:tr>
      <w:tr>
        <w:tc>
          <w:tcPr>
            <w:tcW w:type="dxa" w:w="964"/>
          </w:tcPr>
          <w:p>
            <w:pPr>
              <w:spacing w:after="0"/>
            </w:pPr>
            <w:r/>
            <w:r>
              <w:rPr>
                <w:b w:val="0"/>
                <w:i w:val="0"/>
                <w:sz w:val="20"/>
              </w:rPr>
              <w:t>PPI-22</w:t>
            </w:r>
          </w:p>
        </w:tc>
        <w:tc>
          <w:tcPr>
            <w:tcW w:type="dxa" w:w="3061"/>
          </w:tcPr>
          <w:p>
            <w:pPr>
              <w:spacing w:after="0"/>
            </w:pPr>
            <w:r/>
            <w:r>
              <w:rPr>
                <w:b w:val="0"/>
                <w:i w:val="0"/>
                <w:sz w:val="20"/>
              </w:rPr>
              <w:t>Songkok Motif Tanvir Silver</w:t>
            </w:r>
          </w:p>
        </w:tc>
        <w:tc>
          <w:tcPr>
            <w:tcW w:type="dxa" w:w="1361"/>
          </w:tcPr>
          <w:p>
            <w:pPr>
              <w:spacing w:after="0"/>
              <w:jc w:val="center"/>
            </w:pPr>
            <w:r/>
            <w:r>
              <w:rPr>
                <w:b w:val="0"/>
                <w:i w:val="0"/>
                <w:sz w:val="20"/>
              </w:rPr>
              <w:t>92,2</w:t>
            </w:r>
          </w:p>
        </w:tc>
        <w:tc>
          <w:tcPr>
            <w:tcW w:type="dxa" w:w="1474"/>
          </w:tcPr>
          <w:p>
            <w:pPr>
              <w:spacing w:after="0"/>
              <w:jc w:val="center"/>
            </w:pPr>
            <w:r/>
            <w:r>
              <w:rPr>
                <w:b w:val="0"/>
                <w:i w:val="0"/>
                <w:sz w:val="20"/>
              </w:rPr>
              <w:t>95,2</w:t>
            </w:r>
          </w:p>
        </w:tc>
        <w:tc>
          <w:tcPr>
            <w:tcW w:type="dxa" w:w="1814"/>
          </w:tcPr>
          <w:p>
            <w:pPr>
              <w:spacing w:after="0"/>
              <w:jc w:val="center"/>
            </w:pPr>
            <w:r/>
            <w:r>
              <w:rPr>
                <w:b w:val="0"/>
                <w:i w:val="0"/>
                <w:sz w:val="20"/>
              </w:rPr>
              <w:t>89.488.000</w:t>
            </w:r>
          </w:p>
        </w:tc>
      </w:tr>
      <w:tr>
        <w:tc>
          <w:tcPr>
            <w:tcW w:type="dxa" w:w="964"/>
          </w:tcPr>
          <w:p>
            <w:pPr>
              <w:spacing w:after="0"/>
            </w:pPr>
            <w:r/>
            <w:r>
              <w:rPr>
                <w:b w:val="0"/>
                <w:i w:val="0"/>
                <w:sz w:val="20"/>
              </w:rPr>
              <w:t>PPI-23</w:t>
            </w:r>
          </w:p>
        </w:tc>
        <w:tc>
          <w:tcPr>
            <w:tcW w:type="dxa" w:w="3061"/>
          </w:tcPr>
          <w:p>
            <w:pPr>
              <w:spacing w:after="0"/>
            </w:pPr>
            <w:r/>
            <w:r>
              <w:rPr>
                <w:b w:val="0"/>
                <w:i w:val="0"/>
                <w:sz w:val="20"/>
              </w:rPr>
              <w:t>Songkok Motif NU Gold</w:t>
            </w:r>
          </w:p>
        </w:tc>
        <w:tc>
          <w:tcPr>
            <w:tcW w:type="dxa" w:w="1361"/>
          </w:tcPr>
          <w:p>
            <w:pPr>
              <w:spacing w:after="0"/>
              <w:jc w:val="center"/>
            </w:pPr>
            <w:r/>
            <w:r>
              <w:rPr>
                <w:b w:val="0"/>
                <w:i w:val="0"/>
                <w:sz w:val="20"/>
              </w:rPr>
              <w:t>92,5</w:t>
            </w:r>
          </w:p>
        </w:tc>
        <w:tc>
          <w:tcPr>
            <w:tcW w:type="dxa" w:w="1474"/>
          </w:tcPr>
          <w:p>
            <w:pPr>
              <w:spacing w:after="0"/>
              <w:jc w:val="center"/>
            </w:pPr>
            <w:r/>
            <w:r>
              <w:rPr>
                <w:b w:val="0"/>
                <w:i w:val="0"/>
                <w:sz w:val="20"/>
              </w:rPr>
              <w:t>94,9</w:t>
            </w:r>
          </w:p>
        </w:tc>
        <w:tc>
          <w:tcPr>
            <w:tcW w:type="dxa" w:w="1814"/>
          </w:tcPr>
          <w:p>
            <w:pPr>
              <w:spacing w:after="0"/>
              <w:jc w:val="center"/>
            </w:pPr>
            <w:r/>
            <w:r>
              <w:rPr>
                <w:b w:val="0"/>
                <w:i w:val="0"/>
                <w:sz w:val="20"/>
              </w:rPr>
              <w:t>94.900.000</w:t>
            </w:r>
          </w:p>
        </w:tc>
      </w:tr>
      <w:tr>
        <w:tc>
          <w:tcPr>
            <w:tcW w:type="dxa" w:w="964"/>
          </w:tcPr>
          <w:p>
            <w:pPr>
              <w:spacing w:after="0"/>
            </w:pPr>
            <w:r/>
            <w:r>
              <w:rPr>
                <w:b w:val="0"/>
                <w:i w:val="0"/>
                <w:sz w:val="20"/>
              </w:rPr>
              <w:t>PPI-24</w:t>
            </w:r>
          </w:p>
        </w:tc>
        <w:tc>
          <w:tcPr>
            <w:tcW w:type="dxa" w:w="3061"/>
          </w:tcPr>
          <w:p>
            <w:pPr>
              <w:spacing w:after="0"/>
            </w:pPr>
            <w:r/>
            <w:r>
              <w:rPr>
                <w:b w:val="0"/>
                <w:i w:val="0"/>
                <w:sz w:val="20"/>
              </w:rPr>
              <w:t>Songkok Motif NU Green</w:t>
            </w:r>
          </w:p>
        </w:tc>
        <w:tc>
          <w:tcPr>
            <w:tcW w:type="dxa" w:w="1361"/>
          </w:tcPr>
          <w:p>
            <w:pPr>
              <w:spacing w:after="0"/>
              <w:jc w:val="center"/>
            </w:pPr>
            <w:r/>
            <w:r>
              <w:rPr>
                <w:b w:val="0"/>
                <w:i w:val="0"/>
                <w:sz w:val="20"/>
              </w:rPr>
              <w:t>92,7</w:t>
            </w:r>
          </w:p>
        </w:tc>
        <w:tc>
          <w:tcPr>
            <w:tcW w:type="dxa" w:w="1474"/>
          </w:tcPr>
          <w:p>
            <w:pPr>
              <w:spacing w:after="0"/>
              <w:jc w:val="center"/>
            </w:pPr>
            <w:r/>
            <w:r>
              <w:rPr>
                <w:b w:val="0"/>
                <w:i w:val="0"/>
                <w:sz w:val="20"/>
              </w:rPr>
              <w:t>95,0</w:t>
            </w:r>
          </w:p>
        </w:tc>
        <w:tc>
          <w:tcPr>
            <w:tcW w:type="dxa" w:w="1814"/>
          </w:tcPr>
          <w:p>
            <w:pPr>
              <w:spacing w:after="0"/>
              <w:jc w:val="center"/>
            </w:pPr>
            <w:r/>
            <w:r>
              <w:rPr>
                <w:b w:val="0"/>
                <w:i w:val="0"/>
                <w:sz w:val="20"/>
              </w:rPr>
              <w:t>95.000.000</w:t>
            </w:r>
          </w:p>
        </w:tc>
      </w:tr>
      <w:tr>
        <w:tc>
          <w:tcPr>
            <w:tcW w:type="dxa" w:w="964"/>
          </w:tcPr>
          <w:p>
            <w:pPr>
              <w:spacing w:after="0"/>
            </w:pPr>
            <w:r/>
            <w:r>
              <w:rPr>
                <w:b w:val="0"/>
                <w:i w:val="0"/>
                <w:sz w:val="20"/>
              </w:rPr>
              <w:t>Total</w:t>
            </w:r>
          </w:p>
        </w:tc>
        <w:tc>
          <w:tcPr>
            <w:tcW w:type="dxa" w:w="3061"/>
          </w:tcPr>
          <w:p>
            <w:pPr>
              <w:spacing w:after="0"/>
            </w:pPr>
            <w:r/>
          </w:p>
        </w:tc>
        <w:tc>
          <w:tcPr>
            <w:tcW w:type="dxa" w:w="1361"/>
          </w:tcPr>
          <w:p>
            <w:pPr>
              <w:spacing w:after="0"/>
              <w:jc w:val="center"/>
            </w:pPr>
            <w:r/>
            <w:r>
              <w:rPr>
                <w:b w:val="0"/>
                <w:i w:val="0"/>
                <w:sz w:val="20"/>
              </w:rPr>
              <w:t>9.968,4</w:t>
            </w:r>
          </w:p>
        </w:tc>
        <w:tc>
          <w:tcPr>
            <w:tcW w:type="dxa" w:w="1474"/>
          </w:tcPr>
          <w:p>
            <w:pPr>
              <w:spacing w:after="0"/>
              <w:jc w:val="center"/>
            </w:pPr>
            <w:r/>
            <w:r>
              <w:rPr>
                <w:b w:val="0"/>
                <w:i w:val="0"/>
                <w:sz w:val="20"/>
              </w:rPr>
              <w:t>10.277,0</w:t>
            </w:r>
          </w:p>
        </w:tc>
        <w:tc>
          <w:tcPr>
            <w:tcW w:type="dxa" w:w="1814"/>
          </w:tcPr>
          <w:p>
            <w:pPr>
              <w:spacing w:after="0"/>
              <w:jc w:val="center"/>
            </w:pPr>
            <w:r/>
            <w:r>
              <w:rPr>
                <w:b w:val="0"/>
                <w:i w:val="0"/>
                <w:sz w:val="20"/>
              </w:rPr>
              <w:t>9.328.534.000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jumlah per produk setiap bulan berbeda 3,2–14,0 kodi dengan Tabel 4.12, sehingga total tahunan Tabel 4.13 (10.277,0 kodi) tidak sama dengan Tabel 4.12 (10.300 kodi). Samakan sumber datanya atau jelaskan selisih ini.]</w:t>
      </w:r>
    </w:p>
    <w:p>
      <w:pPr>
        <w:spacing w:line="360" w:lineRule="auto" w:after="120"/>
        <w:jc w:val="left"/>
      </w:pPr>
      <w:r>
        <w:rPr>
          <w:b/>
          <w:i w:val="0"/>
        </w:rPr>
        <w:t>4.4.4 Data Transaksi Harian</w:t>
      </w:r>
    </w:p>
    <w:p>
      <w:pPr>
        <w:spacing w:line="360" w:lineRule="auto" w:after="120"/>
        <w:ind w:firstLine="709"/>
        <w:jc w:val="both"/>
      </w:pPr>
      <w:r>
        <w:rPr>
          <w:b w:val="0"/>
          <w:i w:val="0"/>
        </w:rPr>
        <w:t>Data transaksi harian mencatat produksi dan permintaan setiap produk per hari kerja (Senin–Sabtu) selama 313 hari kerja pada tahun 2025, dengan total 7.512 baris dalam satuan pcs. Contoh data untuk satu produk selama satu minggu disajikan pada Tabel 4.14, sedangkan rata-rata permintaan per hari kerja disajikan pada Tabel 4.15.</w:t>
      </w:r>
    </w:p>
    <w:p>
      <w:pPr>
        <w:spacing w:line="360" w:lineRule="auto" w:after="40"/>
        <w:jc w:val="center"/>
      </w:pPr>
      <w:r>
        <w:rPr>
          <w:b/>
          <w:i w:val="0"/>
        </w:rPr>
        <w:t>Tabel 4.14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4.15 Rata-rata Permintaan Harian Seluruh Produk per Hari Kerja Tahun 2025</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581</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672</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667</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642</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646</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892</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Permintaan tertinggi terjadi pada hari Sabtu (892 pcs) dan terendah pada hari Senin (581 pcs).</w:t>
      </w:r>
    </w:p>
    <w:p>
      <w:pPr>
        <w:spacing w:line="360" w:lineRule="auto" w:after="120"/>
        <w:jc w:val="both"/>
      </w:pPr>
      <w:r>
        <w:rPr>
          <w:b w:val="0"/>
          <w:i w:val="0"/>
          <w:highlight w:val="yellow"/>
        </w:rPr>
        <w:t>[Catatan: jumlah transaksi harian setiap bulan (dibagi 20 pcs) selalu lebih besar 11,6–89,2 kodi daripada permintaan bulanan pada Tabel 4.12. Samakan datanya sebelum digunakan.]</w:t>
      </w:r>
    </w:p>
    <w:p>
      <w:pPr>
        <w:spacing w:line="360" w:lineRule="auto" w:after="120"/>
        <w:jc w:val="left"/>
      </w:pPr>
      <w:r>
        <w:rPr>
          <w:b/>
          <w:i w:val="0"/>
        </w:rPr>
        <w:t>4.4.5 Data Persediaan</w:t>
      </w:r>
    </w:p>
    <w:p>
      <w:pPr>
        <w:spacing w:line="360" w:lineRule="auto" w:after="120"/>
        <w:ind w:firstLine="709"/>
        <w:jc w:val="both"/>
      </w:pPr>
      <w:r>
        <w:rPr>
          <w:b w:val="0"/>
          <w:i w:val="0"/>
        </w:rPr>
        <w:t xml:space="preserve">Persediaan adalah barang yang disimpan untuk memenuhi permintaan pada masa mendatang, termasuk bahan baku, barang dalam proses, dan barang jadi (Heizer et al., 2020). Data persediaan mencatat stok awal, penerimaan dari produksi, barang keluar, dan stok akhir setiap produk per bulan (288 baris). Rekap bulanan seluruh produk disajikan pada Tabel 4.16, sedangkan data lengkap per produk dicantumkan pada </w:t>
      </w:r>
      <w:r>
        <w:rPr>
          <w:b w:val="0"/>
          <w:i w:val="0"/>
          <w:highlight w:val="yellow"/>
        </w:rPr>
        <w:t>[Lampiran 3]</w:t>
      </w:r>
      <w:r>
        <w:rPr>
          <w:b w:val="0"/>
          <w:i w:val="0"/>
        </w:rPr>
        <w:t>.</w:t>
      </w:r>
    </w:p>
    <w:p>
      <w:pPr>
        <w:spacing w:line="360" w:lineRule="auto" w:after="40"/>
        <w:jc w:val="center"/>
      </w:pPr>
      <w:r>
        <w:rPr>
          <w:b/>
          <w:i w:val="0"/>
        </w:rPr>
        <w:t>Tabel 4.16 Rekap Persediaan Barang Jadi Bulanan Tahun 2025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361"/>
          </w:tcPr>
          <w:p>
            <w:pPr>
              <w:spacing w:after="0"/>
              <w:jc w:val="center"/>
            </w:pPr>
            <w:r/>
            <w:r>
              <w:rPr>
                <w:b/>
                <w:i w:val="0"/>
                <w:sz w:val="20"/>
              </w:rPr>
              <w:t>Bulan</w:t>
            </w:r>
          </w:p>
        </w:tc>
        <w:tc>
          <w:tcPr>
            <w:tcW w:type="dxa" w:w="1304"/>
          </w:tcPr>
          <w:p>
            <w:pPr>
              <w:spacing w:after="0"/>
              <w:jc w:val="center"/>
            </w:pPr>
            <w:r/>
            <w:r>
              <w:rPr>
                <w:b/>
                <w:i w:val="0"/>
                <w:sz w:val="20"/>
              </w:rPr>
              <w:t>Stok awal</w:t>
            </w:r>
          </w:p>
        </w:tc>
        <w:tc>
          <w:tcPr>
            <w:tcW w:type="dxa" w:w="1361"/>
          </w:tcPr>
          <w:p>
            <w:pPr>
              <w:spacing w:after="0"/>
              <w:jc w:val="center"/>
            </w:pPr>
            <w:r/>
            <w:r>
              <w:rPr>
                <w:b/>
                <w:i w:val="0"/>
                <w:sz w:val="20"/>
              </w:rPr>
              <w:t>Penerimaan</w:t>
            </w:r>
          </w:p>
        </w:tc>
        <w:tc>
          <w:tcPr>
            <w:tcW w:type="dxa" w:w="1304"/>
          </w:tcPr>
          <w:p>
            <w:pPr>
              <w:spacing w:after="0"/>
              <w:jc w:val="center"/>
            </w:pPr>
            <w:r/>
            <w:r>
              <w:rPr>
                <w:b/>
                <w:i w:val="0"/>
                <w:sz w:val="20"/>
              </w:rPr>
              <w:t>Keluar</w:t>
            </w:r>
          </w:p>
        </w:tc>
        <w:tc>
          <w:tcPr>
            <w:tcW w:type="dxa" w:w="1304"/>
          </w:tcPr>
          <w:p>
            <w:pPr>
              <w:spacing w:after="0"/>
              <w:jc w:val="center"/>
            </w:pPr>
            <w:r/>
            <w:r>
              <w:rPr>
                <w:b/>
                <w:i w:val="0"/>
                <w:sz w:val="20"/>
              </w:rPr>
              <w:t>Stok akhir</w:t>
            </w:r>
          </w:p>
        </w:tc>
        <w:tc>
          <w:tcPr>
            <w:tcW w:type="dxa" w:w="1814"/>
          </w:tcPr>
          <w:p>
            <w:pPr>
              <w:spacing w:after="0"/>
              <w:jc w:val="center"/>
            </w:pPr>
            <w:r/>
            <w:r>
              <w:rPr>
                <w:b/>
                <w:i w:val="0"/>
                <w:sz w:val="20"/>
              </w:rPr>
              <w:t>Produk dengan stok akhir negatif</w:t>
            </w:r>
          </w:p>
        </w:tc>
      </w:tr>
      <w:tr>
        <w:tc>
          <w:tcPr>
            <w:tcW w:type="dxa" w:w="1361"/>
          </w:tcPr>
          <w:p>
            <w:pPr>
              <w:spacing w:after="0"/>
            </w:pPr>
            <w:r/>
            <w:r>
              <w:rPr>
                <w:b w:val="0"/>
                <w:i w:val="0"/>
                <w:sz w:val="20"/>
              </w:rPr>
              <w:t>Januari</w:t>
            </w:r>
          </w:p>
        </w:tc>
        <w:tc>
          <w:tcPr>
            <w:tcW w:type="dxa" w:w="1304"/>
          </w:tcPr>
          <w:p>
            <w:pPr>
              <w:spacing w:after="0"/>
              <w:jc w:val="center"/>
            </w:pPr>
            <w:r/>
            <w:r>
              <w:rPr>
                <w:b w:val="0"/>
                <w:i w:val="0"/>
                <w:sz w:val="20"/>
              </w:rPr>
              <w:t>1.701,3</w:t>
            </w:r>
          </w:p>
        </w:tc>
        <w:tc>
          <w:tcPr>
            <w:tcW w:type="dxa" w:w="1361"/>
          </w:tcPr>
          <w:p>
            <w:pPr>
              <w:spacing w:after="0"/>
              <w:jc w:val="center"/>
            </w:pPr>
            <w:r/>
            <w:r>
              <w:rPr>
                <w:b w:val="0"/>
                <w:i w:val="0"/>
                <w:sz w:val="20"/>
              </w:rPr>
              <w:t>808,8</w:t>
            </w:r>
          </w:p>
        </w:tc>
        <w:tc>
          <w:tcPr>
            <w:tcW w:type="dxa" w:w="1304"/>
          </w:tcPr>
          <w:p>
            <w:pPr>
              <w:spacing w:after="0"/>
              <w:jc w:val="center"/>
            </w:pPr>
            <w:r/>
            <w:r>
              <w:rPr>
                <w:b w:val="0"/>
                <w:i w:val="0"/>
                <w:sz w:val="20"/>
              </w:rPr>
              <w:t>717,3</w:t>
            </w:r>
          </w:p>
        </w:tc>
        <w:tc>
          <w:tcPr>
            <w:tcW w:type="dxa" w:w="1304"/>
          </w:tcPr>
          <w:p>
            <w:pPr>
              <w:spacing w:after="0"/>
              <w:jc w:val="center"/>
            </w:pPr>
            <w:r/>
            <w:r>
              <w:rPr>
                <w:b w:val="0"/>
                <w:i w:val="0"/>
                <w:sz w:val="20"/>
              </w:rPr>
              <w:t>1.792,8</w:t>
            </w:r>
          </w:p>
        </w:tc>
        <w:tc>
          <w:tcPr>
            <w:tcW w:type="dxa" w:w="1814"/>
          </w:tcPr>
          <w:p>
            <w:pPr>
              <w:spacing w:after="0"/>
              <w:jc w:val="center"/>
            </w:pPr>
            <w:r/>
            <w:r>
              <w:rPr>
                <w:b w:val="0"/>
                <w:i w:val="0"/>
                <w:sz w:val="20"/>
              </w:rPr>
              <w:t>0</w:t>
            </w:r>
          </w:p>
        </w:tc>
      </w:tr>
      <w:tr>
        <w:tc>
          <w:tcPr>
            <w:tcW w:type="dxa" w:w="1361"/>
          </w:tcPr>
          <w:p>
            <w:pPr>
              <w:spacing w:after="0"/>
            </w:pPr>
            <w:r/>
            <w:r>
              <w:rPr>
                <w:b w:val="0"/>
                <w:i w:val="0"/>
                <w:sz w:val="20"/>
              </w:rPr>
              <w:t>Februari</w:t>
            </w:r>
          </w:p>
        </w:tc>
        <w:tc>
          <w:tcPr>
            <w:tcW w:type="dxa" w:w="1304"/>
          </w:tcPr>
          <w:p>
            <w:pPr>
              <w:spacing w:after="0"/>
              <w:jc w:val="center"/>
            </w:pPr>
            <w:r/>
            <w:r>
              <w:rPr>
                <w:b w:val="0"/>
                <w:i w:val="0"/>
                <w:sz w:val="20"/>
              </w:rPr>
              <w:t>1.792,8</w:t>
            </w:r>
          </w:p>
        </w:tc>
        <w:tc>
          <w:tcPr>
            <w:tcW w:type="dxa" w:w="1361"/>
          </w:tcPr>
          <w:p>
            <w:pPr>
              <w:spacing w:after="0"/>
              <w:jc w:val="center"/>
            </w:pPr>
            <w:r/>
            <w:r>
              <w:rPr>
                <w:b w:val="0"/>
                <w:i w:val="0"/>
                <w:sz w:val="20"/>
              </w:rPr>
              <w:t>859,9</w:t>
            </w:r>
          </w:p>
        </w:tc>
        <w:tc>
          <w:tcPr>
            <w:tcW w:type="dxa" w:w="1304"/>
          </w:tcPr>
          <w:p>
            <w:pPr>
              <w:spacing w:after="0"/>
              <w:jc w:val="center"/>
            </w:pPr>
            <w:r/>
            <w:r>
              <w:rPr>
                <w:b w:val="0"/>
                <w:i w:val="0"/>
                <w:sz w:val="20"/>
              </w:rPr>
              <w:t>914,3</w:t>
            </w:r>
          </w:p>
        </w:tc>
        <w:tc>
          <w:tcPr>
            <w:tcW w:type="dxa" w:w="1304"/>
          </w:tcPr>
          <w:p>
            <w:pPr>
              <w:spacing w:after="0"/>
              <w:jc w:val="center"/>
            </w:pPr>
            <w:r/>
            <w:r>
              <w:rPr>
                <w:b w:val="0"/>
                <w:i w:val="0"/>
                <w:sz w:val="20"/>
              </w:rPr>
              <w:t>1.738,4</w:t>
            </w:r>
          </w:p>
        </w:tc>
        <w:tc>
          <w:tcPr>
            <w:tcW w:type="dxa" w:w="1814"/>
          </w:tcPr>
          <w:p>
            <w:pPr>
              <w:spacing w:after="0"/>
              <w:jc w:val="center"/>
            </w:pPr>
            <w:r/>
            <w:r>
              <w:rPr>
                <w:b w:val="0"/>
                <w:i w:val="0"/>
                <w:sz w:val="20"/>
              </w:rPr>
              <w:t>0</w:t>
            </w:r>
          </w:p>
        </w:tc>
      </w:tr>
      <w:tr>
        <w:tc>
          <w:tcPr>
            <w:tcW w:type="dxa" w:w="1361"/>
          </w:tcPr>
          <w:p>
            <w:pPr>
              <w:spacing w:after="0"/>
            </w:pPr>
            <w:r/>
            <w:r>
              <w:rPr>
                <w:b w:val="0"/>
                <w:i w:val="0"/>
                <w:sz w:val="20"/>
              </w:rPr>
              <w:t>Maret</w:t>
            </w:r>
          </w:p>
        </w:tc>
        <w:tc>
          <w:tcPr>
            <w:tcW w:type="dxa" w:w="1304"/>
          </w:tcPr>
          <w:p>
            <w:pPr>
              <w:spacing w:after="0"/>
              <w:jc w:val="center"/>
            </w:pPr>
            <w:r/>
            <w:r>
              <w:rPr>
                <w:b w:val="0"/>
                <w:i w:val="0"/>
                <w:sz w:val="20"/>
              </w:rPr>
              <w:t>1.738,4</w:t>
            </w:r>
          </w:p>
        </w:tc>
        <w:tc>
          <w:tcPr>
            <w:tcW w:type="dxa" w:w="1361"/>
          </w:tcPr>
          <w:p>
            <w:pPr>
              <w:spacing w:after="0"/>
              <w:jc w:val="center"/>
            </w:pPr>
            <w:r/>
            <w:r>
              <w:rPr>
                <w:b w:val="0"/>
                <w:i w:val="0"/>
                <w:sz w:val="20"/>
              </w:rPr>
              <w:t>1.091,6</w:t>
            </w:r>
          </w:p>
        </w:tc>
        <w:tc>
          <w:tcPr>
            <w:tcW w:type="dxa" w:w="1304"/>
          </w:tcPr>
          <w:p>
            <w:pPr>
              <w:spacing w:after="0"/>
              <w:jc w:val="center"/>
            </w:pPr>
            <w:r/>
            <w:r>
              <w:rPr>
                <w:b w:val="0"/>
                <w:i w:val="0"/>
                <w:sz w:val="20"/>
              </w:rPr>
              <w:t>1.756,2</w:t>
            </w:r>
          </w:p>
        </w:tc>
        <w:tc>
          <w:tcPr>
            <w:tcW w:type="dxa" w:w="1304"/>
          </w:tcPr>
          <w:p>
            <w:pPr>
              <w:spacing w:after="0"/>
              <w:jc w:val="center"/>
            </w:pPr>
            <w:r/>
            <w:r>
              <w:rPr>
                <w:b w:val="0"/>
                <w:i w:val="0"/>
                <w:sz w:val="20"/>
              </w:rPr>
              <w:t>1.073,8</w:t>
            </w:r>
          </w:p>
        </w:tc>
        <w:tc>
          <w:tcPr>
            <w:tcW w:type="dxa" w:w="1814"/>
          </w:tcPr>
          <w:p>
            <w:pPr>
              <w:spacing w:after="0"/>
              <w:jc w:val="center"/>
            </w:pPr>
            <w:r/>
            <w:r>
              <w:rPr>
                <w:b w:val="0"/>
                <w:i w:val="0"/>
                <w:sz w:val="20"/>
              </w:rPr>
              <w:t>0</w:t>
            </w:r>
          </w:p>
        </w:tc>
      </w:tr>
      <w:tr>
        <w:tc>
          <w:tcPr>
            <w:tcW w:type="dxa" w:w="1361"/>
          </w:tcPr>
          <w:p>
            <w:pPr>
              <w:spacing w:after="0"/>
            </w:pPr>
            <w:r/>
            <w:r>
              <w:rPr>
                <w:b w:val="0"/>
                <w:i w:val="0"/>
                <w:sz w:val="20"/>
              </w:rPr>
              <w:t>April</w:t>
            </w:r>
          </w:p>
        </w:tc>
        <w:tc>
          <w:tcPr>
            <w:tcW w:type="dxa" w:w="1304"/>
          </w:tcPr>
          <w:p>
            <w:pPr>
              <w:spacing w:after="0"/>
              <w:jc w:val="center"/>
            </w:pPr>
            <w:r/>
            <w:r>
              <w:rPr>
                <w:b w:val="0"/>
                <w:i w:val="0"/>
                <w:sz w:val="20"/>
              </w:rPr>
              <w:t>1.073,8</w:t>
            </w:r>
          </w:p>
        </w:tc>
        <w:tc>
          <w:tcPr>
            <w:tcW w:type="dxa" w:w="1361"/>
          </w:tcPr>
          <w:p>
            <w:pPr>
              <w:spacing w:after="0"/>
              <w:jc w:val="center"/>
            </w:pPr>
            <w:r/>
            <w:r>
              <w:rPr>
                <w:b w:val="0"/>
                <w:i w:val="0"/>
                <w:sz w:val="20"/>
              </w:rPr>
              <w:t>1.150,2</w:t>
            </w:r>
          </w:p>
        </w:tc>
        <w:tc>
          <w:tcPr>
            <w:tcW w:type="dxa" w:w="1304"/>
          </w:tcPr>
          <w:p>
            <w:pPr>
              <w:spacing w:after="0"/>
              <w:jc w:val="center"/>
            </w:pPr>
            <w:r/>
            <w:r>
              <w:rPr>
                <w:b w:val="0"/>
                <w:i w:val="0"/>
                <w:sz w:val="20"/>
              </w:rPr>
              <w:t>2.244,7</w:t>
            </w:r>
          </w:p>
        </w:tc>
        <w:tc>
          <w:tcPr>
            <w:tcW w:type="dxa" w:w="1304"/>
          </w:tcPr>
          <w:p>
            <w:pPr>
              <w:spacing w:after="0"/>
              <w:jc w:val="center"/>
            </w:pPr>
            <w:r/>
            <w:r>
              <w:rPr>
                <w:b w:val="0"/>
                <w:i w:val="0"/>
                <w:sz w:val="20"/>
              </w:rPr>
              <w:t>-20,7</w:t>
            </w:r>
          </w:p>
        </w:tc>
        <w:tc>
          <w:tcPr>
            <w:tcW w:type="dxa" w:w="1814"/>
          </w:tcPr>
          <w:p>
            <w:pPr>
              <w:spacing w:after="0"/>
              <w:jc w:val="center"/>
            </w:pPr>
            <w:r/>
            <w:r>
              <w:rPr>
                <w:b w:val="0"/>
                <w:i w:val="0"/>
                <w:sz w:val="20"/>
              </w:rPr>
              <w:t>13</w:t>
            </w:r>
          </w:p>
        </w:tc>
      </w:tr>
      <w:tr>
        <w:tc>
          <w:tcPr>
            <w:tcW w:type="dxa" w:w="1361"/>
          </w:tcPr>
          <w:p>
            <w:pPr>
              <w:spacing w:after="0"/>
            </w:pPr>
            <w:r/>
            <w:r>
              <w:rPr>
                <w:b w:val="0"/>
                <w:i w:val="0"/>
                <w:sz w:val="20"/>
              </w:rPr>
              <w:t>Mei</w:t>
            </w:r>
          </w:p>
        </w:tc>
        <w:tc>
          <w:tcPr>
            <w:tcW w:type="dxa" w:w="1304"/>
          </w:tcPr>
          <w:p>
            <w:pPr>
              <w:spacing w:after="0"/>
              <w:jc w:val="center"/>
            </w:pPr>
            <w:r/>
            <w:r>
              <w:rPr>
                <w:b w:val="0"/>
                <w:i w:val="0"/>
                <w:sz w:val="20"/>
              </w:rPr>
              <w:t>81,0</w:t>
            </w:r>
          </w:p>
        </w:tc>
        <w:tc>
          <w:tcPr>
            <w:tcW w:type="dxa" w:w="1361"/>
          </w:tcPr>
          <w:p>
            <w:pPr>
              <w:spacing w:after="0"/>
              <w:jc w:val="center"/>
            </w:pPr>
            <w:r/>
            <w:r>
              <w:rPr>
                <w:b w:val="0"/>
                <w:i w:val="0"/>
                <w:sz w:val="20"/>
              </w:rPr>
              <w:t>602,4</w:t>
            </w:r>
          </w:p>
        </w:tc>
        <w:tc>
          <w:tcPr>
            <w:tcW w:type="dxa" w:w="1304"/>
          </w:tcPr>
          <w:p>
            <w:pPr>
              <w:spacing w:after="0"/>
              <w:jc w:val="center"/>
            </w:pPr>
            <w:r/>
            <w:r>
              <w:rPr>
                <w:b w:val="0"/>
                <w:i w:val="0"/>
                <w:sz w:val="20"/>
              </w:rPr>
              <w:t>647,3</w:t>
            </w:r>
          </w:p>
        </w:tc>
        <w:tc>
          <w:tcPr>
            <w:tcW w:type="dxa" w:w="1304"/>
          </w:tcPr>
          <w:p>
            <w:pPr>
              <w:spacing w:after="0"/>
              <w:jc w:val="center"/>
            </w:pPr>
            <w:r/>
            <w:r>
              <w:rPr>
                <w:b w:val="0"/>
                <w:i w:val="0"/>
                <w:sz w:val="20"/>
              </w:rPr>
              <w:t>36,1</w:t>
            </w:r>
          </w:p>
        </w:tc>
        <w:tc>
          <w:tcPr>
            <w:tcW w:type="dxa" w:w="1814"/>
          </w:tcPr>
          <w:p>
            <w:pPr>
              <w:spacing w:after="0"/>
              <w:jc w:val="center"/>
            </w:pPr>
            <w:r/>
            <w:r>
              <w:rPr>
                <w:b w:val="0"/>
                <w:i w:val="0"/>
                <w:sz w:val="20"/>
              </w:rPr>
              <w:t>14</w:t>
            </w:r>
          </w:p>
        </w:tc>
      </w:tr>
      <w:tr>
        <w:tc>
          <w:tcPr>
            <w:tcW w:type="dxa" w:w="1361"/>
          </w:tcPr>
          <w:p>
            <w:pPr>
              <w:spacing w:after="0"/>
            </w:pPr>
            <w:r/>
            <w:r>
              <w:rPr>
                <w:b w:val="0"/>
                <w:i w:val="0"/>
                <w:sz w:val="20"/>
              </w:rPr>
              <w:t>Juni</w:t>
            </w:r>
          </w:p>
        </w:tc>
        <w:tc>
          <w:tcPr>
            <w:tcW w:type="dxa" w:w="1304"/>
          </w:tcPr>
          <w:p>
            <w:pPr>
              <w:spacing w:after="0"/>
              <w:jc w:val="center"/>
            </w:pPr>
            <w:r/>
            <w:r>
              <w:rPr>
                <w:b w:val="0"/>
                <w:i w:val="0"/>
                <w:sz w:val="20"/>
              </w:rPr>
              <w:t>66,0</w:t>
            </w:r>
          </w:p>
        </w:tc>
        <w:tc>
          <w:tcPr>
            <w:tcW w:type="dxa" w:w="1361"/>
          </w:tcPr>
          <w:p>
            <w:pPr>
              <w:spacing w:after="0"/>
              <w:jc w:val="center"/>
            </w:pPr>
            <w:r/>
            <w:r>
              <w:rPr>
                <w:b w:val="0"/>
                <w:i w:val="0"/>
                <w:sz w:val="20"/>
              </w:rPr>
              <w:t>794,1</w:t>
            </w:r>
          </w:p>
        </w:tc>
        <w:tc>
          <w:tcPr>
            <w:tcW w:type="dxa" w:w="1304"/>
          </w:tcPr>
          <w:p>
            <w:pPr>
              <w:spacing w:after="0"/>
              <w:jc w:val="center"/>
            </w:pPr>
            <w:r/>
            <w:r>
              <w:rPr>
                <w:b w:val="0"/>
                <w:i w:val="0"/>
                <w:sz w:val="20"/>
              </w:rPr>
              <w:t>834,3</w:t>
            </w:r>
          </w:p>
        </w:tc>
        <w:tc>
          <w:tcPr>
            <w:tcW w:type="dxa" w:w="1304"/>
          </w:tcPr>
          <w:p>
            <w:pPr>
              <w:spacing w:after="0"/>
              <w:jc w:val="center"/>
            </w:pPr>
            <w:r/>
            <w:r>
              <w:rPr>
                <w:b w:val="0"/>
                <w:i w:val="0"/>
                <w:sz w:val="20"/>
              </w:rPr>
              <w:t>25,8</w:t>
            </w:r>
          </w:p>
        </w:tc>
        <w:tc>
          <w:tcPr>
            <w:tcW w:type="dxa" w:w="1814"/>
          </w:tcPr>
          <w:p>
            <w:pPr>
              <w:spacing w:after="0"/>
              <w:jc w:val="center"/>
            </w:pPr>
            <w:r/>
            <w:r>
              <w:rPr>
                <w:b w:val="0"/>
                <w:i w:val="0"/>
                <w:sz w:val="20"/>
              </w:rPr>
              <w:t>12</w:t>
            </w:r>
          </w:p>
        </w:tc>
      </w:tr>
      <w:tr>
        <w:tc>
          <w:tcPr>
            <w:tcW w:type="dxa" w:w="1361"/>
          </w:tcPr>
          <w:p>
            <w:pPr>
              <w:spacing w:after="0"/>
            </w:pPr>
            <w:r/>
            <w:r>
              <w:rPr>
                <w:b w:val="0"/>
                <w:i w:val="0"/>
                <w:sz w:val="20"/>
              </w:rPr>
              <w:t>Juli</w:t>
            </w:r>
          </w:p>
        </w:tc>
        <w:tc>
          <w:tcPr>
            <w:tcW w:type="dxa" w:w="1304"/>
          </w:tcPr>
          <w:p>
            <w:pPr>
              <w:spacing w:after="0"/>
              <w:jc w:val="center"/>
            </w:pPr>
            <w:r/>
            <w:r>
              <w:rPr>
                <w:b w:val="0"/>
                <w:i w:val="0"/>
                <w:sz w:val="20"/>
              </w:rPr>
              <w:t>42,8</w:t>
            </w:r>
          </w:p>
        </w:tc>
        <w:tc>
          <w:tcPr>
            <w:tcW w:type="dxa" w:w="1361"/>
          </w:tcPr>
          <w:p>
            <w:pPr>
              <w:spacing w:after="0"/>
              <w:jc w:val="center"/>
            </w:pPr>
            <w:r/>
            <w:r>
              <w:rPr>
                <w:b w:val="0"/>
                <w:i w:val="0"/>
                <w:sz w:val="20"/>
              </w:rPr>
              <w:t>771,4</w:t>
            </w:r>
          </w:p>
        </w:tc>
        <w:tc>
          <w:tcPr>
            <w:tcW w:type="dxa" w:w="1304"/>
          </w:tcPr>
          <w:p>
            <w:pPr>
              <w:spacing w:after="0"/>
              <w:jc w:val="center"/>
            </w:pPr>
            <w:r/>
            <w:r>
              <w:rPr>
                <w:b w:val="0"/>
                <w:i w:val="0"/>
                <w:sz w:val="20"/>
              </w:rPr>
              <w:t>717,6</w:t>
            </w:r>
          </w:p>
        </w:tc>
        <w:tc>
          <w:tcPr>
            <w:tcW w:type="dxa" w:w="1304"/>
          </w:tcPr>
          <w:p>
            <w:pPr>
              <w:spacing w:after="0"/>
              <w:jc w:val="center"/>
            </w:pPr>
            <w:r/>
            <w:r>
              <w:rPr>
                <w:b w:val="0"/>
                <w:i w:val="0"/>
                <w:sz w:val="20"/>
              </w:rPr>
              <w:t>96,6</w:t>
            </w:r>
          </w:p>
        </w:tc>
        <w:tc>
          <w:tcPr>
            <w:tcW w:type="dxa" w:w="1814"/>
          </w:tcPr>
          <w:p>
            <w:pPr>
              <w:spacing w:after="0"/>
              <w:jc w:val="center"/>
            </w:pPr>
            <w:r/>
            <w:r>
              <w:rPr>
                <w:b w:val="0"/>
                <w:i w:val="0"/>
                <w:sz w:val="20"/>
              </w:rPr>
              <w:t>0</w:t>
            </w:r>
          </w:p>
        </w:tc>
      </w:tr>
      <w:tr>
        <w:tc>
          <w:tcPr>
            <w:tcW w:type="dxa" w:w="1361"/>
          </w:tcPr>
          <w:p>
            <w:pPr>
              <w:spacing w:after="0"/>
            </w:pPr>
            <w:r/>
            <w:r>
              <w:rPr>
                <w:b w:val="0"/>
                <w:i w:val="0"/>
                <w:sz w:val="20"/>
              </w:rPr>
              <w:t>Agustus</w:t>
            </w:r>
          </w:p>
        </w:tc>
        <w:tc>
          <w:tcPr>
            <w:tcW w:type="dxa" w:w="1304"/>
          </w:tcPr>
          <w:p>
            <w:pPr>
              <w:spacing w:after="0"/>
              <w:jc w:val="center"/>
            </w:pPr>
            <w:r/>
            <w:r>
              <w:rPr>
                <w:b w:val="0"/>
                <w:i w:val="0"/>
                <w:sz w:val="20"/>
              </w:rPr>
              <w:t>96,6</w:t>
            </w:r>
          </w:p>
        </w:tc>
        <w:tc>
          <w:tcPr>
            <w:tcW w:type="dxa" w:w="1361"/>
          </w:tcPr>
          <w:p>
            <w:pPr>
              <w:spacing w:after="0"/>
              <w:jc w:val="center"/>
            </w:pPr>
            <w:r/>
            <w:r>
              <w:rPr>
                <w:b w:val="0"/>
                <w:i w:val="0"/>
                <w:sz w:val="20"/>
              </w:rPr>
              <w:t>789,4</w:t>
            </w:r>
          </w:p>
        </w:tc>
        <w:tc>
          <w:tcPr>
            <w:tcW w:type="dxa" w:w="1304"/>
          </w:tcPr>
          <w:p>
            <w:pPr>
              <w:spacing w:after="0"/>
              <w:jc w:val="center"/>
            </w:pPr>
            <w:r/>
            <w:r>
              <w:rPr>
                <w:b w:val="0"/>
                <w:i w:val="0"/>
                <w:sz w:val="20"/>
              </w:rPr>
              <w:t>632,3</w:t>
            </w:r>
          </w:p>
        </w:tc>
        <w:tc>
          <w:tcPr>
            <w:tcW w:type="dxa" w:w="1304"/>
          </w:tcPr>
          <w:p>
            <w:pPr>
              <w:spacing w:after="0"/>
              <w:jc w:val="center"/>
            </w:pPr>
            <w:r/>
            <w:r>
              <w:rPr>
                <w:b w:val="0"/>
                <w:i w:val="0"/>
                <w:sz w:val="20"/>
              </w:rPr>
              <w:t>253,7</w:t>
            </w:r>
          </w:p>
        </w:tc>
        <w:tc>
          <w:tcPr>
            <w:tcW w:type="dxa" w:w="1814"/>
          </w:tcPr>
          <w:p>
            <w:pPr>
              <w:spacing w:after="0"/>
              <w:jc w:val="center"/>
            </w:pPr>
            <w:r/>
            <w:r>
              <w:rPr>
                <w:b w:val="0"/>
                <w:i w:val="0"/>
                <w:sz w:val="20"/>
              </w:rPr>
              <w:t>0</w:t>
            </w:r>
          </w:p>
        </w:tc>
      </w:tr>
      <w:tr>
        <w:tc>
          <w:tcPr>
            <w:tcW w:type="dxa" w:w="1361"/>
          </w:tcPr>
          <w:p>
            <w:pPr>
              <w:spacing w:after="0"/>
            </w:pPr>
            <w:r/>
            <w:r>
              <w:rPr>
                <w:b w:val="0"/>
                <w:i w:val="0"/>
                <w:sz w:val="20"/>
              </w:rPr>
              <w:t>September</w:t>
            </w:r>
          </w:p>
        </w:tc>
        <w:tc>
          <w:tcPr>
            <w:tcW w:type="dxa" w:w="1304"/>
          </w:tcPr>
          <w:p>
            <w:pPr>
              <w:spacing w:after="0"/>
              <w:jc w:val="center"/>
            </w:pPr>
            <w:r/>
            <w:r>
              <w:rPr>
                <w:b w:val="0"/>
                <w:i w:val="0"/>
                <w:sz w:val="20"/>
              </w:rPr>
              <w:t>253,7</w:t>
            </w:r>
          </w:p>
        </w:tc>
        <w:tc>
          <w:tcPr>
            <w:tcW w:type="dxa" w:w="1361"/>
          </w:tcPr>
          <w:p>
            <w:pPr>
              <w:spacing w:after="0"/>
              <w:jc w:val="center"/>
            </w:pPr>
            <w:r/>
            <w:r>
              <w:rPr>
                <w:b w:val="0"/>
                <w:i w:val="0"/>
                <w:sz w:val="20"/>
              </w:rPr>
              <w:t>763,3</w:t>
            </w:r>
          </w:p>
        </w:tc>
        <w:tc>
          <w:tcPr>
            <w:tcW w:type="dxa" w:w="1304"/>
          </w:tcPr>
          <w:p>
            <w:pPr>
              <w:spacing w:after="0"/>
              <w:jc w:val="center"/>
            </w:pPr>
            <w:r/>
            <w:r>
              <w:rPr>
                <w:b w:val="0"/>
                <w:i w:val="0"/>
                <w:sz w:val="20"/>
              </w:rPr>
              <w:t>520,1</w:t>
            </w:r>
          </w:p>
        </w:tc>
        <w:tc>
          <w:tcPr>
            <w:tcW w:type="dxa" w:w="1304"/>
          </w:tcPr>
          <w:p>
            <w:pPr>
              <w:spacing w:after="0"/>
              <w:jc w:val="center"/>
            </w:pPr>
            <w:r/>
            <w:r>
              <w:rPr>
                <w:b w:val="0"/>
                <w:i w:val="0"/>
                <w:sz w:val="20"/>
              </w:rPr>
              <w:t>496,9</w:t>
            </w:r>
          </w:p>
        </w:tc>
        <w:tc>
          <w:tcPr>
            <w:tcW w:type="dxa" w:w="1814"/>
          </w:tcPr>
          <w:p>
            <w:pPr>
              <w:spacing w:after="0"/>
              <w:jc w:val="center"/>
            </w:pPr>
            <w:r/>
            <w:r>
              <w:rPr>
                <w:b w:val="0"/>
                <w:i w:val="0"/>
                <w:sz w:val="20"/>
              </w:rPr>
              <w:t>0</w:t>
            </w:r>
          </w:p>
        </w:tc>
      </w:tr>
      <w:tr>
        <w:tc>
          <w:tcPr>
            <w:tcW w:type="dxa" w:w="1361"/>
          </w:tcPr>
          <w:p>
            <w:pPr>
              <w:spacing w:after="0"/>
            </w:pPr>
            <w:r/>
            <w:r>
              <w:rPr>
                <w:b w:val="0"/>
                <w:i w:val="0"/>
                <w:sz w:val="20"/>
              </w:rPr>
              <w:t>Oktober</w:t>
            </w:r>
          </w:p>
        </w:tc>
        <w:tc>
          <w:tcPr>
            <w:tcW w:type="dxa" w:w="1304"/>
          </w:tcPr>
          <w:p>
            <w:pPr>
              <w:spacing w:after="0"/>
              <w:jc w:val="center"/>
            </w:pPr>
            <w:r/>
            <w:r>
              <w:rPr>
                <w:b w:val="0"/>
                <w:i w:val="0"/>
                <w:sz w:val="20"/>
              </w:rPr>
              <w:t>496,9</w:t>
            </w:r>
          </w:p>
        </w:tc>
        <w:tc>
          <w:tcPr>
            <w:tcW w:type="dxa" w:w="1361"/>
          </w:tcPr>
          <w:p>
            <w:pPr>
              <w:spacing w:after="0"/>
              <w:jc w:val="center"/>
            </w:pPr>
            <w:r/>
            <w:r>
              <w:rPr>
                <w:b w:val="0"/>
                <w:i w:val="0"/>
                <w:sz w:val="20"/>
              </w:rPr>
              <w:t>814,6</w:t>
            </w:r>
          </w:p>
        </w:tc>
        <w:tc>
          <w:tcPr>
            <w:tcW w:type="dxa" w:w="1304"/>
          </w:tcPr>
          <w:p>
            <w:pPr>
              <w:spacing w:after="0"/>
              <w:jc w:val="center"/>
            </w:pPr>
            <w:r/>
            <w:r>
              <w:rPr>
                <w:b w:val="0"/>
                <w:i w:val="0"/>
                <w:sz w:val="20"/>
              </w:rPr>
              <w:t>482,8</w:t>
            </w:r>
          </w:p>
        </w:tc>
        <w:tc>
          <w:tcPr>
            <w:tcW w:type="dxa" w:w="1304"/>
          </w:tcPr>
          <w:p>
            <w:pPr>
              <w:spacing w:after="0"/>
              <w:jc w:val="center"/>
            </w:pPr>
            <w:r/>
            <w:r>
              <w:rPr>
                <w:b w:val="0"/>
                <w:i w:val="0"/>
                <w:sz w:val="20"/>
              </w:rPr>
              <w:t>828,7</w:t>
            </w:r>
          </w:p>
        </w:tc>
        <w:tc>
          <w:tcPr>
            <w:tcW w:type="dxa" w:w="1814"/>
          </w:tcPr>
          <w:p>
            <w:pPr>
              <w:spacing w:after="0"/>
              <w:jc w:val="center"/>
            </w:pPr>
            <w:r/>
            <w:r>
              <w:rPr>
                <w:b w:val="0"/>
                <w:i w:val="0"/>
                <w:sz w:val="20"/>
              </w:rPr>
              <w:t>0</w:t>
            </w:r>
          </w:p>
        </w:tc>
      </w:tr>
      <w:tr>
        <w:tc>
          <w:tcPr>
            <w:tcW w:type="dxa" w:w="1361"/>
          </w:tcPr>
          <w:p>
            <w:pPr>
              <w:spacing w:after="0"/>
            </w:pPr>
            <w:r/>
            <w:r>
              <w:rPr>
                <w:b w:val="0"/>
                <w:i w:val="0"/>
                <w:sz w:val="20"/>
              </w:rPr>
              <w:t>November</w:t>
            </w:r>
          </w:p>
        </w:tc>
        <w:tc>
          <w:tcPr>
            <w:tcW w:type="dxa" w:w="1304"/>
          </w:tcPr>
          <w:p>
            <w:pPr>
              <w:spacing w:after="0"/>
              <w:jc w:val="center"/>
            </w:pPr>
            <w:r/>
            <w:r>
              <w:rPr>
                <w:b w:val="0"/>
                <w:i w:val="0"/>
                <w:sz w:val="20"/>
              </w:rPr>
              <w:t>828,7</w:t>
            </w:r>
          </w:p>
        </w:tc>
        <w:tc>
          <w:tcPr>
            <w:tcW w:type="dxa" w:w="1361"/>
          </w:tcPr>
          <w:p>
            <w:pPr>
              <w:spacing w:after="0"/>
              <w:jc w:val="center"/>
            </w:pPr>
            <w:r/>
            <w:r>
              <w:rPr>
                <w:b w:val="0"/>
                <w:i w:val="0"/>
                <w:sz w:val="20"/>
              </w:rPr>
              <w:t>751,8</w:t>
            </w:r>
          </w:p>
        </w:tc>
        <w:tc>
          <w:tcPr>
            <w:tcW w:type="dxa" w:w="1304"/>
          </w:tcPr>
          <w:p>
            <w:pPr>
              <w:spacing w:after="0"/>
              <w:jc w:val="center"/>
            </w:pPr>
            <w:r/>
            <w:r>
              <w:rPr>
                <w:b w:val="0"/>
                <w:i w:val="0"/>
                <w:sz w:val="20"/>
              </w:rPr>
              <w:t>388,7</w:t>
            </w:r>
          </w:p>
        </w:tc>
        <w:tc>
          <w:tcPr>
            <w:tcW w:type="dxa" w:w="1304"/>
          </w:tcPr>
          <w:p>
            <w:pPr>
              <w:spacing w:after="0"/>
              <w:jc w:val="center"/>
            </w:pPr>
            <w:r/>
            <w:r>
              <w:rPr>
                <w:b w:val="0"/>
                <w:i w:val="0"/>
                <w:sz w:val="20"/>
              </w:rPr>
              <w:t>1.191,8</w:t>
            </w:r>
          </w:p>
        </w:tc>
        <w:tc>
          <w:tcPr>
            <w:tcW w:type="dxa" w:w="1814"/>
          </w:tcPr>
          <w:p>
            <w:pPr>
              <w:spacing w:after="0"/>
              <w:jc w:val="center"/>
            </w:pPr>
            <w:r/>
            <w:r>
              <w:rPr>
                <w:b w:val="0"/>
                <w:i w:val="0"/>
                <w:sz w:val="20"/>
              </w:rPr>
              <w:t>0</w:t>
            </w:r>
          </w:p>
        </w:tc>
      </w:tr>
      <w:tr>
        <w:tc>
          <w:tcPr>
            <w:tcW w:type="dxa" w:w="1361"/>
          </w:tcPr>
          <w:p>
            <w:pPr>
              <w:spacing w:after="0"/>
            </w:pPr>
            <w:r/>
            <w:r>
              <w:rPr>
                <w:b w:val="0"/>
                <w:i w:val="0"/>
                <w:sz w:val="20"/>
              </w:rPr>
              <w:t>Desember</w:t>
            </w:r>
          </w:p>
        </w:tc>
        <w:tc>
          <w:tcPr>
            <w:tcW w:type="dxa" w:w="1304"/>
          </w:tcPr>
          <w:p>
            <w:pPr>
              <w:spacing w:after="0"/>
              <w:jc w:val="center"/>
            </w:pPr>
            <w:r/>
            <w:r>
              <w:rPr>
                <w:b w:val="0"/>
                <w:i w:val="0"/>
                <w:sz w:val="20"/>
              </w:rPr>
              <w:t>1.191,8</w:t>
            </w:r>
          </w:p>
        </w:tc>
        <w:tc>
          <w:tcPr>
            <w:tcW w:type="dxa" w:w="1361"/>
          </w:tcPr>
          <w:p>
            <w:pPr>
              <w:spacing w:after="0"/>
              <w:jc w:val="center"/>
            </w:pPr>
            <w:r/>
            <w:r>
              <w:rPr>
                <w:b w:val="0"/>
                <w:i w:val="0"/>
                <w:sz w:val="20"/>
              </w:rPr>
              <w:t>812,1</w:t>
            </w:r>
          </w:p>
        </w:tc>
        <w:tc>
          <w:tcPr>
            <w:tcW w:type="dxa" w:w="1304"/>
          </w:tcPr>
          <w:p>
            <w:pPr>
              <w:spacing w:after="0"/>
              <w:jc w:val="center"/>
            </w:pPr>
            <w:r/>
            <w:r>
              <w:rPr>
                <w:b w:val="0"/>
                <w:i w:val="0"/>
                <w:sz w:val="20"/>
              </w:rPr>
              <w:t>455,9</w:t>
            </w:r>
          </w:p>
        </w:tc>
        <w:tc>
          <w:tcPr>
            <w:tcW w:type="dxa" w:w="1304"/>
          </w:tcPr>
          <w:p>
            <w:pPr>
              <w:spacing w:after="0"/>
              <w:jc w:val="center"/>
            </w:pPr>
            <w:r/>
            <w:r>
              <w:rPr>
                <w:b w:val="0"/>
                <w:i w:val="0"/>
                <w:sz w:val="20"/>
              </w:rPr>
              <w:t>1.548,0</w:t>
            </w:r>
          </w:p>
        </w:tc>
        <w:tc>
          <w:tcPr>
            <w:tcW w:type="dxa" w:w="1814"/>
          </w:tcPr>
          <w:p>
            <w:pPr>
              <w:spacing w:after="0"/>
              <w:jc w:val="center"/>
            </w:pPr>
            <w:r/>
            <w:r>
              <w:rPr>
                <w:b w:val="0"/>
                <w:i w:val="0"/>
                <w:sz w:val="20"/>
              </w:rPr>
              <w:t>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terdapat 39 catatan stok akhir bernilai negatif pada April–Juni 2025. Karena stok negatif setiap produk dianggap nol pada awal bulan berikutnya, total stok awal Mei (81,0 kodi) tidak sama dengan total stok akhir April (−20,7 kodi). Jelaskan apakah nilai negatif ini berarti pesanan tertunda (backorder) atau permintaan yang tidak terpenuhi (lost sales); kedua kondisi tersebut diperlakukan berbeda dalam pengendalian persediaan (Silver, Pyke, &amp; Thomas, 2017).]</w:t>
      </w:r>
    </w:p>
    <w:p>
      <w:pPr>
        <w:spacing w:line="360" w:lineRule="auto" w:after="120"/>
        <w:jc w:val="left"/>
      </w:pPr>
      <w:r>
        <w:rPr>
          <w:b/>
          <w:i w:val="0"/>
        </w:rPr>
        <w:t>4.4.6 Data Bahan Baku</w:t>
      </w:r>
    </w:p>
    <w:p>
      <w:pPr>
        <w:spacing w:line="360" w:lineRule="auto" w:after="120"/>
        <w:ind w:firstLine="709"/>
        <w:jc w:val="both"/>
      </w:pPr>
      <w:r>
        <w:rPr>
          <w:b w:val="0"/>
          <w:i w:val="0"/>
        </w:rPr>
        <w:t>Bahan baku utama songkok terdiri atas kain beludru, bos-bosan, dan label. Kebutuhan teoritis menunjukkan jumlah bahan yang seharusnya dipakai berdasarkan jumlah produksi, sedangkan pemakaian menunjukkan jumlah bahan yang benar-benar terpakai. Data bulanan tahun 2025 disajikan pada Tabel 4.17 dan data pemasok pada Tabel 4.18. Lead time pemasok, yaitu waktu antara pemesanan dan penerimaan bahan, dicatat karena memengaruhi kapan perusahaan harus memesan kembali bahan baku (Heizer et al., 2020).</w:t>
      </w:r>
    </w:p>
    <w:p>
      <w:pPr>
        <w:spacing w:line="360" w:lineRule="auto" w:after="40"/>
        <w:jc w:val="center"/>
      </w:pPr>
      <w:r>
        <w:rPr>
          <w:b/>
          <w:i w:val="0"/>
        </w:rPr>
        <w:t>Tabel 4.17 Kebutuhan Teoritis dan Pemakaian Bahan Baku Bulanan Tahun 2025</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247"/>
          </w:tcPr>
          <w:p>
            <w:pPr>
              <w:spacing w:after="0"/>
              <w:jc w:val="center"/>
            </w:pPr>
            <w:r/>
            <w:r>
              <w:rPr>
                <w:b/>
                <w:i w:val="0"/>
                <w:sz w:val="20"/>
              </w:rPr>
              <w:t>Bulan</w:t>
            </w:r>
          </w:p>
        </w:tc>
        <w:tc>
          <w:tcPr>
            <w:tcW w:type="dxa" w:w="1191"/>
          </w:tcPr>
          <w:p>
            <w:pPr>
              <w:spacing w:after="0"/>
              <w:jc w:val="center"/>
            </w:pPr>
            <w:r/>
            <w:r>
              <w:rPr>
                <w:b/>
                <w:i w:val="0"/>
                <w:sz w:val="20"/>
              </w:rPr>
              <w:t>Kain beludru: kebutuhan (yard)</w:t>
            </w:r>
          </w:p>
        </w:tc>
        <w:tc>
          <w:tcPr>
            <w:tcW w:type="dxa" w:w="1191"/>
          </w:tcPr>
          <w:p>
            <w:pPr>
              <w:spacing w:after="0"/>
              <w:jc w:val="center"/>
            </w:pPr>
            <w:r/>
            <w:r>
              <w:rPr>
                <w:b/>
                <w:i w:val="0"/>
                <w:sz w:val="20"/>
              </w:rPr>
              <w:t>Kain beludru: pemakaian (yard)</w:t>
            </w:r>
          </w:p>
        </w:tc>
        <w:tc>
          <w:tcPr>
            <w:tcW w:type="dxa" w:w="1191"/>
          </w:tcPr>
          <w:p>
            <w:pPr>
              <w:spacing w:after="0"/>
              <w:jc w:val="center"/>
            </w:pPr>
            <w:r/>
            <w:r>
              <w:rPr>
                <w:b/>
                <w:i w:val="0"/>
                <w:sz w:val="20"/>
              </w:rPr>
              <w:t>Bos-bosan: kebutuhan (kodi)</w:t>
            </w:r>
          </w:p>
        </w:tc>
        <w:tc>
          <w:tcPr>
            <w:tcW w:type="dxa" w:w="1191"/>
          </w:tcPr>
          <w:p>
            <w:pPr>
              <w:spacing w:after="0"/>
              <w:jc w:val="center"/>
            </w:pPr>
            <w:r/>
            <w:r>
              <w:rPr>
                <w:b/>
                <w:i w:val="0"/>
                <w:sz w:val="20"/>
              </w:rPr>
              <w:t>Bos-bosan: pemakaian (kodi)</w:t>
            </w:r>
          </w:p>
        </w:tc>
        <w:tc>
          <w:tcPr>
            <w:tcW w:type="dxa" w:w="1191"/>
          </w:tcPr>
          <w:p>
            <w:pPr>
              <w:spacing w:after="0"/>
              <w:jc w:val="center"/>
            </w:pPr>
            <w:r/>
            <w:r>
              <w:rPr>
                <w:b/>
                <w:i w:val="0"/>
                <w:sz w:val="20"/>
              </w:rPr>
              <w:t>Label: kebutuhan (lusin)</w:t>
            </w:r>
          </w:p>
        </w:tc>
        <w:tc>
          <w:tcPr>
            <w:tcW w:type="dxa" w:w="1191"/>
          </w:tcPr>
          <w:p>
            <w:pPr>
              <w:spacing w:after="0"/>
              <w:jc w:val="center"/>
            </w:pPr>
            <w:r/>
            <w:r>
              <w:rPr>
                <w:b/>
                <w:i w:val="0"/>
                <w:sz w:val="20"/>
              </w:rPr>
              <w:t>Label: pemakaian (lusin)</w:t>
            </w:r>
          </w:p>
        </w:tc>
      </w:tr>
      <w:tr>
        <w:tc>
          <w:tcPr>
            <w:tcW w:type="dxa" w:w="1247"/>
          </w:tcPr>
          <w:p>
            <w:pPr>
              <w:spacing w:after="0"/>
            </w:pPr>
            <w:r/>
            <w:r>
              <w:rPr>
                <w:b w:val="0"/>
                <w:i w:val="0"/>
                <w:sz w:val="20"/>
              </w:rPr>
              <w:t>Januari</w:t>
            </w:r>
          </w:p>
        </w:tc>
        <w:tc>
          <w:tcPr>
            <w:tcW w:type="dxa" w:w="1191"/>
          </w:tcPr>
          <w:p>
            <w:pPr>
              <w:spacing w:after="0"/>
              <w:jc w:val="center"/>
            </w:pPr>
            <w:r/>
            <w:r>
              <w:rPr>
                <w:b w:val="0"/>
                <w:i w:val="0"/>
                <w:sz w:val="20"/>
              </w:rPr>
              <w:t>3.966</w:t>
            </w:r>
          </w:p>
        </w:tc>
        <w:tc>
          <w:tcPr>
            <w:tcW w:type="dxa" w:w="1191"/>
          </w:tcPr>
          <w:p>
            <w:pPr>
              <w:spacing w:after="0"/>
              <w:jc w:val="center"/>
            </w:pPr>
            <w:r/>
            <w:r>
              <w:rPr>
                <w:b w:val="0"/>
                <w:i w:val="0"/>
                <w:sz w:val="20"/>
              </w:rPr>
              <w:t>3.804</w:t>
            </w:r>
          </w:p>
        </w:tc>
        <w:tc>
          <w:tcPr>
            <w:tcW w:type="dxa" w:w="1191"/>
          </w:tcPr>
          <w:p>
            <w:pPr>
              <w:spacing w:after="0"/>
              <w:jc w:val="center"/>
            </w:pPr>
            <w:r/>
            <w:r>
              <w:rPr>
                <w:b w:val="0"/>
                <w:i w:val="0"/>
                <w:sz w:val="20"/>
              </w:rPr>
              <w:t>809,5</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1.355</w:t>
            </w:r>
          </w:p>
        </w:tc>
        <w:tc>
          <w:tcPr>
            <w:tcW w:type="dxa" w:w="1191"/>
          </w:tcPr>
          <w:p>
            <w:pPr>
              <w:spacing w:after="0"/>
              <w:jc w:val="center"/>
            </w:pPr>
            <w:r/>
            <w:r>
              <w:rPr>
                <w:b w:val="0"/>
                <w:i w:val="0"/>
                <w:sz w:val="20"/>
              </w:rPr>
              <w:t>1.330</w:t>
            </w:r>
          </w:p>
        </w:tc>
      </w:tr>
      <w:tr>
        <w:tc>
          <w:tcPr>
            <w:tcW w:type="dxa" w:w="1247"/>
          </w:tcPr>
          <w:p>
            <w:pPr>
              <w:spacing w:after="0"/>
            </w:pPr>
            <w:r/>
            <w:r>
              <w:rPr>
                <w:b w:val="0"/>
                <w:i w:val="0"/>
                <w:sz w:val="20"/>
              </w:rPr>
              <w:t>Februari</w:t>
            </w:r>
          </w:p>
        </w:tc>
        <w:tc>
          <w:tcPr>
            <w:tcW w:type="dxa" w:w="1191"/>
          </w:tcPr>
          <w:p>
            <w:pPr>
              <w:spacing w:after="0"/>
              <w:jc w:val="center"/>
            </w:pPr>
            <w:r/>
            <w:r>
              <w:rPr>
                <w:b w:val="0"/>
                <w:i w:val="0"/>
                <w:sz w:val="20"/>
              </w:rPr>
              <w:t>4.306</w:t>
            </w:r>
          </w:p>
        </w:tc>
        <w:tc>
          <w:tcPr>
            <w:tcW w:type="dxa" w:w="1191"/>
          </w:tcPr>
          <w:p>
            <w:pPr>
              <w:spacing w:after="0"/>
              <w:jc w:val="center"/>
            </w:pPr>
            <w:r/>
            <w:r>
              <w:rPr>
                <w:b w:val="0"/>
                <w:i w:val="0"/>
                <w:sz w:val="20"/>
              </w:rPr>
              <w:t>4.224</w:t>
            </w:r>
          </w:p>
        </w:tc>
        <w:tc>
          <w:tcPr>
            <w:tcW w:type="dxa" w:w="1191"/>
          </w:tcPr>
          <w:p>
            <w:pPr>
              <w:spacing w:after="0"/>
              <w:jc w:val="center"/>
            </w:pPr>
            <w:r/>
            <w:r>
              <w:rPr>
                <w:b w:val="0"/>
                <w:i w:val="0"/>
                <w:sz w:val="20"/>
              </w:rPr>
              <w:t>871,2</w:t>
            </w:r>
          </w:p>
        </w:tc>
        <w:tc>
          <w:tcPr>
            <w:tcW w:type="dxa" w:w="1191"/>
          </w:tcPr>
          <w:p>
            <w:pPr>
              <w:spacing w:after="0"/>
              <w:jc w:val="center"/>
            </w:pPr>
            <w:r/>
            <w:r>
              <w:rPr>
                <w:b w:val="0"/>
                <w:i w:val="0"/>
                <w:sz w:val="20"/>
              </w:rPr>
              <w:t>867</w:t>
            </w:r>
          </w:p>
        </w:tc>
        <w:tc>
          <w:tcPr>
            <w:tcW w:type="dxa" w:w="1191"/>
          </w:tcPr>
          <w:p>
            <w:pPr>
              <w:spacing w:after="0"/>
              <w:jc w:val="center"/>
            </w:pPr>
            <w:r/>
            <w:r>
              <w:rPr>
                <w:b w:val="0"/>
                <w:i w:val="0"/>
                <w:sz w:val="20"/>
              </w:rPr>
              <w:t>1.449</w:t>
            </w:r>
          </w:p>
        </w:tc>
        <w:tc>
          <w:tcPr>
            <w:tcW w:type="dxa" w:w="1191"/>
          </w:tcPr>
          <w:p>
            <w:pPr>
              <w:spacing w:after="0"/>
              <w:jc w:val="center"/>
            </w:pPr>
            <w:r/>
            <w:r>
              <w:rPr>
                <w:b w:val="0"/>
                <w:i w:val="0"/>
                <w:sz w:val="20"/>
              </w:rPr>
              <w:t>1.412</w:t>
            </w:r>
          </w:p>
        </w:tc>
      </w:tr>
      <w:tr>
        <w:tc>
          <w:tcPr>
            <w:tcW w:type="dxa" w:w="1247"/>
          </w:tcPr>
          <w:p>
            <w:pPr>
              <w:spacing w:after="0"/>
            </w:pPr>
            <w:r/>
            <w:r>
              <w:rPr>
                <w:b w:val="0"/>
                <w:i w:val="0"/>
                <w:sz w:val="20"/>
              </w:rPr>
              <w:t>Maret</w:t>
            </w:r>
          </w:p>
        </w:tc>
        <w:tc>
          <w:tcPr>
            <w:tcW w:type="dxa" w:w="1191"/>
          </w:tcPr>
          <w:p>
            <w:pPr>
              <w:spacing w:after="0"/>
              <w:jc w:val="center"/>
            </w:pPr>
            <w:r/>
            <w:r>
              <w:rPr>
                <w:b w:val="0"/>
                <w:i w:val="0"/>
                <w:sz w:val="20"/>
              </w:rPr>
              <w:t>5.496</w:t>
            </w:r>
          </w:p>
        </w:tc>
        <w:tc>
          <w:tcPr>
            <w:tcW w:type="dxa" w:w="1191"/>
          </w:tcPr>
          <w:p>
            <w:pPr>
              <w:spacing w:after="0"/>
              <w:jc w:val="center"/>
            </w:pPr>
            <w:r/>
            <w:r>
              <w:rPr>
                <w:b w:val="0"/>
                <w:i w:val="0"/>
                <w:sz w:val="20"/>
              </w:rPr>
              <w:t>5.475</w:t>
            </w:r>
          </w:p>
        </w:tc>
        <w:tc>
          <w:tcPr>
            <w:tcW w:type="dxa" w:w="1191"/>
          </w:tcPr>
          <w:p>
            <w:pPr>
              <w:spacing w:after="0"/>
              <w:jc w:val="center"/>
            </w:pPr>
            <w:r/>
            <w:r>
              <w:rPr>
                <w:b w:val="0"/>
                <w:i w:val="0"/>
                <w:sz w:val="20"/>
              </w:rPr>
              <w:t>1.072,8</w:t>
            </w:r>
          </w:p>
        </w:tc>
        <w:tc>
          <w:tcPr>
            <w:tcW w:type="dxa" w:w="1191"/>
          </w:tcPr>
          <w:p>
            <w:pPr>
              <w:spacing w:after="0"/>
              <w:jc w:val="center"/>
            </w:pPr>
            <w:r/>
            <w:r>
              <w:rPr>
                <w:b w:val="0"/>
                <w:i w:val="0"/>
                <w:sz w:val="20"/>
              </w:rPr>
              <w:t>1.065</w:t>
            </w:r>
          </w:p>
        </w:tc>
        <w:tc>
          <w:tcPr>
            <w:tcW w:type="dxa" w:w="1191"/>
          </w:tcPr>
          <w:p>
            <w:pPr>
              <w:spacing w:after="0"/>
              <w:jc w:val="center"/>
            </w:pPr>
            <w:r/>
            <w:r>
              <w:rPr>
                <w:b w:val="0"/>
                <w:i w:val="0"/>
                <w:sz w:val="20"/>
              </w:rPr>
              <w:t>1.788</w:t>
            </w:r>
          </w:p>
        </w:tc>
        <w:tc>
          <w:tcPr>
            <w:tcW w:type="dxa" w:w="1191"/>
          </w:tcPr>
          <w:p>
            <w:pPr>
              <w:spacing w:after="0"/>
              <w:jc w:val="center"/>
            </w:pPr>
            <w:r/>
            <w:r>
              <w:rPr>
                <w:b w:val="0"/>
                <w:i w:val="0"/>
                <w:sz w:val="20"/>
              </w:rPr>
              <w:t>1.785</w:t>
            </w:r>
          </w:p>
        </w:tc>
      </w:tr>
      <w:tr>
        <w:tc>
          <w:tcPr>
            <w:tcW w:type="dxa" w:w="1247"/>
          </w:tcPr>
          <w:p>
            <w:pPr>
              <w:spacing w:after="0"/>
            </w:pPr>
            <w:r/>
            <w:r>
              <w:rPr>
                <w:b w:val="0"/>
                <w:i w:val="0"/>
                <w:sz w:val="20"/>
              </w:rPr>
              <w:t>April</w:t>
            </w:r>
          </w:p>
        </w:tc>
        <w:tc>
          <w:tcPr>
            <w:tcW w:type="dxa" w:w="1191"/>
          </w:tcPr>
          <w:p>
            <w:pPr>
              <w:spacing w:after="0"/>
              <w:jc w:val="center"/>
            </w:pPr>
            <w:r/>
            <w:r>
              <w:rPr>
                <w:b w:val="0"/>
                <w:i w:val="0"/>
                <w:sz w:val="20"/>
              </w:rPr>
              <w:t>5.871</w:t>
            </w:r>
          </w:p>
        </w:tc>
        <w:tc>
          <w:tcPr>
            <w:tcW w:type="dxa" w:w="1191"/>
          </w:tcPr>
          <w:p>
            <w:pPr>
              <w:spacing w:after="0"/>
              <w:jc w:val="center"/>
            </w:pPr>
            <w:r/>
            <w:r>
              <w:rPr>
                <w:b w:val="0"/>
                <w:i w:val="0"/>
                <w:sz w:val="20"/>
              </w:rPr>
              <w:t>5.849</w:t>
            </w:r>
          </w:p>
        </w:tc>
        <w:tc>
          <w:tcPr>
            <w:tcW w:type="dxa" w:w="1191"/>
          </w:tcPr>
          <w:p>
            <w:pPr>
              <w:spacing w:after="0"/>
              <w:jc w:val="center"/>
            </w:pPr>
            <w:r/>
            <w:r>
              <w:rPr>
                <w:b w:val="0"/>
                <w:i w:val="0"/>
                <w:sz w:val="20"/>
              </w:rPr>
              <w:t>1.127,4</w:t>
            </w:r>
          </w:p>
        </w:tc>
        <w:tc>
          <w:tcPr>
            <w:tcW w:type="dxa" w:w="1191"/>
          </w:tcPr>
          <w:p>
            <w:pPr>
              <w:spacing w:after="0"/>
              <w:jc w:val="center"/>
            </w:pPr>
            <w:r/>
            <w:r>
              <w:rPr>
                <w:b w:val="0"/>
                <w:i w:val="0"/>
                <w:sz w:val="20"/>
              </w:rPr>
              <w:t>1.084</w:t>
            </w:r>
          </w:p>
        </w:tc>
        <w:tc>
          <w:tcPr>
            <w:tcW w:type="dxa" w:w="1191"/>
          </w:tcPr>
          <w:p>
            <w:pPr>
              <w:spacing w:after="0"/>
              <w:jc w:val="center"/>
            </w:pPr>
            <w:r/>
            <w:r>
              <w:rPr>
                <w:b w:val="0"/>
                <w:i w:val="0"/>
                <w:sz w:val="20"/>
              </w:rPr>
              <w:t>1.915</w:t>
            </w:r>
          </w:p>
        </w:tc>
        <w:tc>
          <w:tcPr>
            <w:tcW w:type="dxa" w:w="1191"/>
          </w:tcPr>
          <w:p>
            <w:pPr>
              <w:spacing w:after="0"/>
              <w:jc w:val="center"/>
            </w:pPr>
            <w:r/>
            <w:r>
              <w:rPr>
                <w:b w:val="0"/>
                <w:i w:val="0"/>
                <w:sz w:val="20"/>
              </w:rPr>
              <w:t>1.845</w:t>
            </w:r>
          </w:p>
        </w:tc>
      </w:tr>
      <w:tr>
        <w:tc>
          <w:tcPr>
            <w:tcW w:type="dxa" w:w="1247"/>
          </w:tcPr>
          <w:p>
            <w:pPr>
              <w:spacing w:after="0"/>
            </w:pPr>
            <w:r/>
            <w:r>
              <w:rPr>
                <w:b w:val="0"/>
                <w:i w:val="0"/>
                <w:sz w:val="20"/>
              </w:rPr>
              <w:t>Mei</w:t>
            </w:r>
          </w:p>
        </w:tc>
        <w:tc>
          <w:tcPr>
            <w:tcW w:type="dxa" w:w="1191"/>
          </w:tcPr>
          <w:p>
            <w:pPr>
              <w:spacing w:after="0"/>
              <w:jc w:val="center"/>
            </w:pPr>
            <w:r/>
            <w:r>
              <w:rPr>
                <w:b w:val="0"/>
                <w:i w:val="0"/>
                <w:sz w:val="20"/>
              </w:rPr>
              <w:t>3.030</w:t>
            </w:r>
          </w:p>
        </w:tc>
        <w:tc>
          <w:tcPr>
            <w:tcW w:type="dxa" w:w="1191"/>
          </w:tcPr>
          <w:p>
            <w:pPr>
              <w:spacing w:after="0"/>
              <w:jc w:val="center"/>
            </w:pPr>
            <w:r/>
            <w:r>
              <w:rPr>
                <w:b w:val="0"/>
                <w:i w:val="0"/>
                <w:sz w:val="20"/>
              </w:rPr>
              <w:t>2.923</w:t>
            </w:r>
          </w:p>
        </w:tc>
        <w:tc>
          <w:tcPr>
            <w:tcW w:type="dxa" w:w="1191"/>
          </w:tcPr>
          <w:p>
            <w:pPr>
              <w:spacing w:after="0"/>
              <w:jc w:val="center"/>
            </w:pPr>
            <w:r/>
            <w:r>
              <w:rPr>
                <w:b w:val="0"/>
                <w:i w:val="0"/>
                <w:sz w:val="20"/>
              </w:rPr>
              <w:t>624,7</w:t>
            </w:r>
          </w:p>
        </w:tc>
        <w:tc>
          <w:tcPr>
            <w:tcW w:type="dxa" w:w="1191"/>
          </w:tcPr>
          <w:p>
            <w:pPr>
              <w:spacing w:after="0"/>
              <w:jc w:val="center"/>
            </w:pPr>
            <w:r/>
            <w:r>
              <w:rPr>
                <w:b w:val="0"/>
                <w:i w:val="0"/>
                <w:sz w:val="20"/>
              </w:rPr>
              <w:t>615</w:t>
            </w:r>
          </w:p>
        </w:tc>
        <w:tc>
          <w:tcPr>
            <w:tcW w:type="dxa" w:w="1191"/>
          </w:tcPr>
          <w:p>
            <w:pPr>
              <w:spacing w:after="0"/>
              <w:jc w:val="center"/>
            </w:pPr>
            <w:r/>
            <w:r>
              <w:rPr>
                <w:b w:val="0"/>
                <w:i w:val="0"/>
                <w:sz w:val="20"/>
              </w:rPr>
              <w:t>1.001</w:t>
            </w:r>
          </w:p>
        </w:tc>
        <w:tc>
          <w:tcPr>
            <w:tcW w:type="dxa" w:w="1191"/>
          </w:tcPr>
          <w:p>
            <w:pPr>
              <w:spacing w:after="0"/>
              <w:jc w:val="center"/>
            </w:pPr>
            <w:r/>
            <w:r>
              <w:rPr>
                <w:b w:val="0"/>
                <w:i w:val="0"/>
                <w:sz w:val="20"/>
              </w:rPr>
              <w:t>995</w:t>
            </w:r>
          </w:p>
        </w:tc>
      </w:tr>
      <w:tr>
        <w:tc>
          <w:tcPr>
            <w:tcW w:type="dxa" w:w="1247"/>
          </w:tcPr>
          <w:p>
            <w:pPr>
              <w:spacing w:after="0"/>
            </w:pPr>
            <w:r/>
            <w:r>
              <w:rPr>
                <w:b w:val="0"/>
                <w:i w:val="0"/>
                <w:sz w:val="20"/>
              </w:rPr>
              <w:t>Juni</w:t>
            </w:r>
          </w:p>
        </w:tc>
        <w:tc>
          <w:tcPr>
            <w:tcW w:type="dxa" w:w="1191"/>
          </w:tcPr>
          <w:p>
            <w:pPr>
              <w:spacing w:after="0"/>
              <w:jc w:val="center"/>
            </w:pPr>
            <w:r/>
            <w:r>
              <w:rPr>
                <w:b w:val="0"/>
                <w:i w:val="0"/>
                <w:sz w:val="20"/>
              </w:rPr>
              <w:t>4.055</w:t>
            </w:r>
          </w:p>
        </w:tc>
        <w:tc>
          <w:tcPr>
            <w:tcW w:type="dxa" w:w="1191"/>
          </w:tcPr>
          <w:p>
            <w:pPr>
              <w:spacing w:after="0"/>
              <w:jc w:val="center"/>
            </w:pPr>
            <w:r/>
            <w:r>
              <w:rPr>
                <w:b w:val="0"/>
                <w:i w:val="0"/>
                <w:sz w:val="20"/>
              </w:rPr>
              <w:t>3.960</w:t>
            </w:r>
          </w:p>
        </w:tc>
        <w:tc>
          <w:tcPr>
            <w:tcW w:type="dxa" w:w="1191"/>
          </w:tcPr>
          <w:p>
            <w:pPr>
              <w:spacing w:after="0"/>
              <w:jc w:val="center"/>
            </w:pPr>
            <w:r/>
            <w:r>
              <w:rPr>
                <w:b w:val="0"/>
                <w:i w:val="0"/>
                <w:sz w:val="20"/>
              </w:rPr>
              <w:t>787,1</w:t>
            </w:r>
          </w:p>
        </w:tc>
        <w:tc>
          <w:tcPr>
            <w:tcW w:type="dxa" w:w="1191"/>
          </w:tcPr>
          <w:p>
            <w:pPr>
              <w:spacing w:after="0"/>
              <w:jc w:val="center"/>
            </w:pPr>
            <w:r/>
            <w:r>
              <w:rPr>
                <w:b w:val="0"/>
                <w:i w:val="0"/>
                <w:sz w:val="20"/>
              </w:rPr>
              <w:t>760</w:t>
            </w:r>
          </w:p>
        </w:tc>
        <w:tc>
          <w:tcPr>
            <w:tcW w:type="dxa" w:w="1191"/>
          </w:tcPr>
          <w:p>
            <w:pPr>
              <w:spacing w:after="0"/>
              <w:jc w:val="center"/>
            </w:pPr>
            <w:r/>
            <w:r>
              <w:rPr>
                <w:b w:val="0"/>
                <w:i w:val="0"/>
                <w:sz w:val="20"/>
              </w:rPr>
              <w:t>1.326</w:t>
            </w:r>
          </w:p>
        </w:tc>
        <w:tc>
          <w:tcPr>
            <w:tcW w:type="dxa" w:w="1191"/>
          </w:tcPr>
          <w:p>
            <w:pPr>
              <w:spacing w:after="0"/>
              <w:jc w:val="center"/>
            </w:pPr>
            <w:r/>
            <w:r>
              <w:rPr>
                <w:b w:val="0"/>
                <w:i w:val="0"/>
                <w:sz w:val="20"/>
              </w:rPr>
              <w:t>1.314</w:t>
            </w:r>
          </w:p>
        </w:tc>
      </w:tr>
      <w:tr>
        <w:tc>
          <w:tcPr>
            <w:tcW w:type="dxa" w:w="1247"/>
          </w:tcPr>
          <w:p>
            <w:pPr>
              <w:spacing w:after="0"/>
            </w:pPr>
            <w:r/>
            <w:r>
              <w:rPr>
                <w:b w:val="0"/>
                <w:i w:val="0"/>
                <w:sz w:val="20"/>
              </w:rPr>
              <w:t>Juli</w:t>
            </w:r>
          </w:p>
        </w:tc>
        <w:tc>
          <w:tcPr>
            <w:tcW w:type="dxa" w:w="1191"/>
          </w:tcPr>
          <w:p>
            <w:pPr>
              <w:spacing w:after="0"/>
              <w:jc w:val="center"/>
            </w:pPr>
            <w:r/>
            <w:r>
              <w:rPr>
                <w:b w:val="0"/>
                <w:i w:val="0"/>
                <w:sz w:val="20"/>
              </w:rPr>
              <w:t>3.790</w:t>
            </w:r>
          </w:p>
        </w:tc>
        <w:tc>
          <w:tcPr>
            <w:tcW w:type="dxa" w:w="1191"/>
          </w:tcPr>
          <w:p>
            <w:pPr>
              <w:spacing w:after="0"/>
              <w:jc w:val="center"/>
            </w:pPr>
            <w:r/>
            <w:r>
              <w:rPr>
                <w:b w:val="0"/>
                <w:i w:val="0"/>
                <w:sz w:val="20"/>
              </w:rPr>
              <w:t>3.672</w:t>
            </w:r>
          </w:p>
        </w:tc>
        <w:tc>
          <w:tcPr>
            <w:tcW w:type="dxa" w:w="1191"/>
          </w:tcPr>
          <w:p>
            <w:pPr>
              <w:spacing w:after="0"/>
              <w:jc w:val="center"/>
            </w:pPr>
            <w:r/>
            <w:r>
              <w:rPr>
                <w:b w:val="0"/>
                <w:i w:val="0"/>
                <w:sz w:val="20"/>
              </w:rPr>
              <w:t>756,4</w:t>
            </w:r>
          </w:p>
        </w:tc>
        <w:tc>
          <w:tcPr>
            <w:tcW w:type="dxa" w:w="1191"/>
          </w:tcPr>
          <w:p>
            <w:pPr>
              <w:spacing w:after="0"/>
              <w:jc w:val="center"/>
            </w:pPr>
            <w:r/>
            <w:r>
              <w:rPr>
                <w:b w:val="0"/>
                <w:i w:val="0"/>
                <w:sz w:val="20"/>
              </w:rPr>
              <w:t>721</w:t>
            </w:r>
          </w:p>
        </w:tc>
        <w:tc>
          <w:tcPr>
            <w:tcW w:type="dxa" w:w="1191"/>
          </w:tcPr>
          <w:p>
            <w:pPr>
              <w:spacing w:after="0"/>
              <w:jc w:val="center"/>
            </w:pPr>
            <w:r/>
            <w:r>
              <w:rPr>
                <w:b w:val="0"/>
                <w:i w:val="0"/>
                <w:sz w:val="20"/>
              </w:rPr>
              <w:t>1.317</w:t>
            </w:r>
          </w:p>
        </w:tc>
        <w:tc>
          <w:tcPr>
            <w:tcW w:type="dxa" w:w="1191"/>
          </w:tcPr>
          <w:p>
            <w:pPr>
              <w:spacing w:after="0"/>
              <w:jc w:val="center"/>
            </w:pPr>
            <w:r/>
            <w:r>
              <w:rPr>
                <w:b w:val="0"/>
                <w:i w:val="0"/>
                <w:sz w:val="20"/>
              </w:rPr>
              <w:t>1.306</w:t>
            </w:r>
          </w:p>
        </w:tc>
      </w:tr>
      <w:tr>
        <w:tc>
          <w:tcPr>
            <w:tcW w:type="dxa" w:w="1247"/>
          </w:tcPr>
          <w:p>
            <w:pPr>
              <w:spacing w:after="0"/>
            </w:pPr>
            <w:r/>
            <w:r>
              <w:rPr>
                <w:b w:val="0"/>
                <w:i w:val="0"/>
                <w:sz w:val="20"/>
              </w:rPr>
              <w:t>Agustus</w:t>
            </w:r>
          </w:p>
        </w:tc>
        <w:tc>
          <w:tcPr>
            <w:tcW w:type="dxa" w:w="1191"/>
          </w:tcPr>
          <w:p>
            <w:pPr>
              <w:spacing w:after="0"/>
              <w:jc w:val="center"/>
            </w:pPr>
            <w:r/>
            <w:r>
              <w:rPr>
                <w:b w:val="0"/>
                <w:i w:val="0"/>
                <w:sz w:val="20"/>
              </w:rPr>
              <w:t>4.031</w:t>
            </w:r>
          </w:p>
        </w:tc>
        <w:tc>
          <w:tcPr>
            <w:tcW w:type="dxa" w:w="1191"/>
          </w:tcPr>
          <w:p>
            <w:pPr>
              <w:spacing w:after="0"/>
              <w:jc w:val="center"/>
            </w:pPr>
            <w:r/>
            <w:r>
              <w:rPr>
                <w:b w:val="0"/>
                <w:i w:val="0"/>
                <w:sz w:val="20"/>
              </w:rPr>
              <w:t>3.943</w:t>
            </w:r>
          </w:p>
        </w:tc>
        <w:tc>
          <w:tcPr>
            <w:tcW w:type="dxa" w:w="1191"/>
          </w:tcPr>
          <w:p>
            <w:pPr>
              <w:spacing w:after="0"/>
              <w:jc w:val="center"/>
            </w:pPr>
            <w:r/>
            <w:r>
              <w:rPr>
                <w:b w:val="0"/>
                <w:i w:val="0"/>
                <w:sz w:val="20"/>
              </w:rPr>
              <w:t>795,4</w:t>
            </w:r>
          </w:p>
        </w:tc>
        <w:tc>
          <w:tcPr>
            <w:tcW w:type="dxa" w:w="1191"/>
          </w:tcPr>
          <w:p>
            <w:pPr>
              <w:spacing w:after="0"/>
              <w:jc w:val="center"/>
            </w:pPr>
            <w:r/>
            <w:r>
              <w:rPr>
                <w:b w:val="0"/>
                <w:i w:val="0"/>
                <w:sz w:val="20"/>
              </w:rPr>
              <w:t>783</w:t>
            </w:r>
          </w:p>
        </w:tc>
        <w:tc>
          <w:tcPr>
            <w:tcW w:type="dxa" w:w="1191"/>
          </w:tcPr>
          <w:p>
            <w:pPr>
              <w:spacing w:after="0"/>
              <w:jc w:val="center"/>
            </w:pPr>
            <w:r/>
            <w:r>
              <w:rPr>
                <w:b w:val="0"/>
                <w:i w:val="0"/>
                <w:sz w:val="20"/>
              </w:rPr>
              <w:t>1.272</w:t>
            </w:r>
          </w:p>
        </w:tc>
        <w:tc>
          <w:tcPr>
            <w:tcW w:type="dxa" w:w="1191"/>
          </w:tcPr>
          <w:p>
            <w:pPr>
              <w:spacing w:after="0"/>
              <w:jc w:val="center"/>
            </w:pPr>
            <w:r/>
            <w:r>
              <w:rPr>
                <w:b w:val="0"/>
                <w:i w:val="0"/>
                <w:sz w:val="20"/>
              </w:rPr>
              <w:t>1.265</w:t>
            </w:r>
          </w:p>
        </w:tc>
      </w:tr>
      <w:tr>
        <w:tc>
          <w:tcPr>
            <w:tcW w:type="dxa" w:w="1247"/>
          </w:tcPr>
          <w:p>
            <w:pPr>
              <w:spacing w:after="0"/>
            </w:pPr>
            <w:r/>
            <w:r>
              <w:rPr>
                <w:b w:val="0"/>
                <w:i w:val="0"/>
                <w:sz w:val="20"/>
              </w:rPr>
              <w:t>September</w:t>
            </w:r>
          </w:p>
        </w:tc>
        <w:tc>
          <w:tcPr>
            <w:tcW w:type="dxa" w:w="1191"/>
          </w:tcPr>
          <w:p>
            <w:pPr>
              <w:spacing w:after="0"/>
              <w:jc w:val="center"/>
            </w:pPr>
            <w:r/>
            <w:r>
              <w:rPr>
                <w:b w:val="0"/>
                <w:i w:val="0"/>
                <w:sz w:val="20"/>
              </w:rPr>
              <w:t>3.712</w:t>
            </w:r>
          </w:p>
        </w:tc>
        <w:tc>
          <w:tcPr>
            <w:tcW w:type="dxa" w:w="1191"/>
          </w:tcPr>
          <w:p>
            <w:pPr>
              <w:spacing w:after="0"/>
              <w:jc w:val="center"/>
            </w:pPr>
            <w:r/>
            <w:r>
              <w:rPr>
                <w:b w:val="0"/>
                <w:i w:val="0"/>
                <w:sz w:val="20"/>
              </w:rPr>
              <w:t>3.650</w:t>
            </w:r>
          </w:p>
        </w:tc>
        <w:tc>
          <w:tcPr>
            <w:tcW w:type="dxa" w:w="1191"/>
          </w:tcPr>
          <w:p>
            <w:pPr>
              <w:spacing w:after="0"/>
              <w:jc w:val="center"/>
            </w:pPr>
            <w:r/>
            <w:r>
              <w:rPr>
                <w:b w:val="0"/>
                <w:i w:val="0"/>
                <w:sz w:val="20"/>
              </w:rPr>
              <w:t>759,9</w:t>
            </w:r>
          </w:p>
        </w:tc>
        <w:tc>
          <w:tcPr>
            <w:tcW w:type="dxa" w:w="1191"/>
          </w:tcPr>
          <w:p>
            <w:pPr>
              <w:spacing w:after="0"/>
              <w:jc w:val="center"/>
            </w:pPr>
            <w:r/>
            <w:r>
              <w:rPr>
                <w:b w:val="0"/>
                <w:i w:val="0"/>
                <w:sz w:val="20"/>
              </w:rPr>
              <w:t>726</w:t>
            </w:r>
          </w:p>
        </w:tc>
        <w:tc>
          <w:tcPr>
            <w:tcW w:type="dxa" w:w="1191"/>
          </w:tcPr>
          <w:p>
            <w:pPr>
              <w:spacing w:after="0"/>
              <w:jc w:val="center"/>
            </w:pPr>
            <w:r/>
            <w:r>
              <w:rPr>
                <w:b w:val="0"/>
                <w:i w:val="0"/>
                <w:sz w:val="20"/>
              </w:rPr>
              <w:t>1.279</w:t>
            </w:r>
          </w:p>
        </w:tc>
        <w:tc>
          <w:tcPr>
            <w:tcW w:type="dxa" w:w="1191"/>
          </w:tcPr>
          <w:p>
            <w:pPr>
              <w:spacing w:after="0"/>
              <w:jc w:val="center"/>
            </w:pPr>
            <w:r/>
            <w:r>
              <w:rPr>
                <w:b w:val="0"/>
                <w:i w:val="0"/>
                <w:sz w:val="20"/>
              </w:rPr>
              <w:t>1.218</w:t>
            </w:r>
          </w:p>
        </w:tc>
      </w:tr>
      <w:tr>
        <w:tc>
          <w:tcPr>
            <w:tcW w:type="dxa" w:w="1247"/>
          </w:tcPr>
          <w:p>
            <w:pPr>
              <w:spacing w:after="0"/>
            </w:pPr>
            <w:r/>
            <w:r>
              <w:rPr>
                <w:b w:val="0"/>
                <w:i w:val="0"/>
                <w:sz w:val="20"/>
              </w:rPr>
              <w:t>Oktober</w:t>
            </w:r>
          </w:p>
        </w:tc>
        <w:tc>
          <w:tcPr>
            <w:tcW w:type="dxa" w:w="1191"/>
          </w:tcPr>
          <w:p>
            <w:pPr>
              <w:spacing w:after="0"/>
              <w:jc w:val="center"/>
            </w:pPr>
            <w:r/>
            <w:r>
              <w:rPr>
                <w:b w:val="0"/>
                <w:i w:val="0"/>
                <w:sz w:val="20"/>
              </w:rPr>
              <w:t>4.054</w:t>
            </w:r>
          </w:p>
        </w:tc>
        <w:tc>
          <w:tcPr>
            <w:tcW w:type="dxa" w:w="1191"/>
          </w:tcPr>
          <w:p>
            <w:pPr>
              <w:spacing w:after="0"/>
              <w:jc w:val="center"/>
            </w:pPr>
            <w:r/>
            <w:r>
              <w:rPr>
                <w:b w:val="0"/>
                <w:i w:val="0"/>
                <w:sz w:val="20"/>
              </w:rPr>
              <w:t>4.032</w:t>
            </w:r>
          </w:p>
        </w:tc>
        <w:tc>
          <w:tcPr>
            <w:tcW w:type="dxa" w:w="1191"/>
          </w:tcPr>
          <w:p>
            <w:pPr>
              <w:spacing w:after="0"/>
              <w:jc w:val="center"/>
            </w:pPr>
            <w:r/>
            <w:r>
              <w:rPr>
                <w:b w:val="0"/>
                <w:i w:val="0"/>
                <w:sz w:val="20"/>
              </w:rPr>
              <w:t>819,6</w:t>
            </w:r>
          </w:p>
        </w:tc>
        <w:tc>
          <w:tcPr>
            <w:tcW w:type="dxa" w:w="1191"/>
          </w:tcPr>
          <w:p>
            <w:pPr>
              <w:spacing w:after="0"/>
              <w:jc w:val="center"/>
            </w:pPr>
            <w:r/>
            <w:r>
              <w:rPr>
                <w:b w:val="0"/>
                <w:i w:val="0"/>
                <w:sz w:val="20"/>
              </w:rPr>
              <w:t>810</w:t>
            </w:r>
          </w:p>
        </w:tc>
        <w:tc>
          <w:tcPr>
            <w:tcW w:type="dxa" w:w="1191"/>
          </w:tcPr>
          <w:p>
            <w:pPr>
              <w:spacing w:after="0"/>
              <w:jc w:val="center"/>
            </w:pPr>
            <w:r/>
            <w:r>
              <w:rPr>
                <w:b w:val="0"/>
                <w:i w:val="0"/>
                <w:sz w:val="20"/>
              </w:rPr>
              <w:t>1.320</w:t>
            </w:r>
          </w:p>
        </w:tc>
        <w:tc>
          <w:tcPr>
            <w:tcW w:type="dxa" w:w="1191"/>
          </w:tcPr>
          <w:p>
            <w:pPr>
              <w:spacing w:after="0"/>
              <w:jc w:val="center"/>
            </w:pPr>
            <w:r/>
            <w:r>
              <w:rPr>
                <w:b w:val="0"/>
                <w:i w:val="0"/>
                <w:sz w:val="20"/>
              </w:rPr>
              <w:t>1.286</w:t>
            </w:r>
          </w:p>
        </w:tc>
      </w:tr>
      <w:tr>
        <w:tc>
          <w:tcPr>
            <w:tcW w:type="dxa" w:w="1247"/>
          </w:tcPr>
          <w:p>
            <w:pPr>
              <w:spacing w:after="0"/>
            </w:pPr>
            <w:r/>
            <w:r>
              <w:rPr>
                <w:b w:val="0"/>
                <w:i w:val="0"/>
                <w:sz w:val="20"/>
              </w:rPr>
              <w:t>November</w:t>
            </w:r>
          </w:p>
        </w:tc>
        <w:tc>
          <w:tcPr>
            <w:tcW w:type="dxa" w:w="1191"/>
          </w:tcPr>
          <w:p>
            <w:pPr>
              <w:spacing w:after="0"/>
              <w:jc w:val="center"/>
            </w:pPr>
            <w:r/>
            <w:r>
              <w:rPr>
                <w:b w:val="0"/>
                <w:i w:val="0"/>
                <w:sz w:val="20"/>
              </w:rPr>
              <w:t>3.764</w:t>
            </w:r>
          </w:p>
        </w:tc>
        <w:tc>
          <w:tcPr>
            <w:tcW w:type="dxa" w:w="1191"/>
          </w:tcPr>
          <w:p>
            <w:pPr>
              <w:spacing w:after="0"/>
              <w:jc w:val="center"/>
            </w:pPr>
            <w:r/>
            <w:r>
              <w:rPr>
                <w:b w:val="0"/>
                <w:i w:val="0"/>
                <w:sz w:val="20"/>
              </w:rPr>
              <w:t>3.703</w:t>
            </w:r>
          </w:p>
        </w:tc>
        <w:tc>
          <w:tcPr>
            <w:tcW w:type="dxa" w:w="1191"/>
          </w:tcPr>
          <w:p>
            <w:pPr>
              <w:spacing w:after="0"/>
              <w:jc w:val="center"/>
            </w:pPr>
            <w:r/>
            <w:r>
              <w:rPr>
                <w:b w:val="0"/>
                <w:i w:val="0"/>
                <w:sz w:val="20"/>
              </w:rPr>
              <w:t>765,9</w:t>
            </w:r>
          </w:p>
        </w:tc>
        <w:tc>
          <w:tcPr>
            <w:tcW w:type="dxa" w:w="1191"/>
          </w:tcPr>
          <w:p>
            <w:pPr>
              <w:spacing w:after="0"/>
              <w:jc w:val="center"/>
            </w:pPr>
            <w:r/>
            <w:r>
              <w:rPr>
                <w:b w:val="0"/>
                <w:i w:val="0"/>
                <w:sz w:val="20"/>
              </w:rPr>
              <w:t>740</w:t>
            </w:r>
          </w:p>
        </w:tc>
        <w:tc>
          <w:tcPr>
            <w:tcW w:type="dxa" w:w="1191"/>
          </w:tcPr>
          <w:p>
            <w:pPr>
              <w:spacing w:after="0"/>
              <w:jc w:val="center"/>
            </w:pPr>
            <w:r/>
            <w:r>
              <w:rPr>
                <w:b w:val="0"/>
                <w:i w:val="0"/>
                <w:sz w:val="20"/>
              </w:rPr>
              <w:t>1.240</w:t>
            </w:r>
          </w:p>
        </w:tc>
        <w:tc>
          <w:tcPr>
            <w:tcW w:type="dxa" w:w="1191"/>
          </w:tcPr>
          <w:p>
            <w:pPr>
              <w:spacing w:after="0"/>
              <w:jc w:val="center"/>
            </w:pPr>
            <w:r/>
            <w:r>
              <w:rPr>
                <w:b w:val="0"/>
                <w:i w:val="0"/>
                <w:sz w:val="20"/>
              </w:rPr>
              <w:t>1.201</w:t>
            </w:r>
          </w:p>
        </w:tc>
      </w:tr>
      <w:tr>
        <w:tc>
          <w:tcPr>
            <w:tcW w:type="dxa" w:w="1247"/>
          </w:tcPr>
          <w:p>
            <w:pPr>
              <w:spacing w:after="0"/>
            </w:pPr>
            <w:r/>
            <w:r>
              <w:rPr>
                <w:b w:val="0"/>
                <w:i w:val="0"/>
                <w:sz w:val="20"/>
              </w:rPr>
              <w:t>Desember</w:t>
            </w:r>
          </w:p>
        </w:tc>
        <w:tc>
          <w:tcPr>
            <w:tcW w:type="dxa" w:w="1191"/>
          </w:tcPr>
          <w:p>
            <w:pPr>
              <w:spacing w:after="0"/>
              <w:jc w:val="center"/>
            </w:pPr>
            <w:r/>
            <w:r>
              <w:rPr>
                <w:b w:val="0"/>
                <w:i w:val="0"/>
                <w:sz w:val="20"/>
              </w:rPr>
              <w:t>4.086</w:t>
            </w:r>
          </w:p>
        </w:tc>
        <w:tc>
          <w:tcPr>
            <w:tcW w:type="dxa" w:w="1191"/>
          </w:tcPr>
          <w:p>
            <w:pPr>
              <w:spacing w:after="0"/>
              <w:jc w:val="center"/>
            </w:pPr>
            <w:r/>
            <w:r>
              <w:rPr>
                <w:b w:val="0"/>
                <w:i w:val="0"/>
                <w:sz w:val="20"/>
              </w:rPr>
              <w:t>3.981</w:t>
            </w:r>
          </w:p>
        </w:tc>
        <w:tc>
          <w:tcPr>
            <w:tcW w:type="dxa" w:w="1191"/>
          </w:tcPr>
          <w:p>
            <w:pPr>
              <w:spacing w:after="0"/>
              <w:jc w:val="center"/>
            </w:pPr>
            <w:r/>
            <w:r>
              <w:rPr>
                <w:b w:val="0"/>
                <w:i w:val="0"/>
                <w:sz w:val="20"/>
              </w:rPr>
              <w:t>825,8</w:t>
            </w:r>
          </w:p>
        </w:tc>
        <w:tc>
          <w:tcPr>
            <w:tcW w:type="dxa" w:w="1191"/>
          </w:tcPr>
          <w:p>
            <w:pPr>
              <w:spacing w:after="0"/>
              <w:jc w:val="center"/>
            </w:pPr>
            <w:r/>
            <w:r>
              <w:rPr>
                <w:b w:val="0"/>
                <w:i w:val="0"/>
                <w:sz w:val="20"/>
              </w:rPr>
              <w:t>805</w:t>
            </w:r>
          </w:p>
        </w:tc>
        <w:tc>
          <w:tcPr>
            <w:tcW w:type="dxa" w:w="1191"/>
          </w:tcPr>
          <w:p>
            <w:pPr>
              <w:spacing w:after="0"/>
              <w:jc w:val="center"/>
            </w:pPr>
            <w:r/>
            <w:r>
              <w:rPr>
                <w:b w:val="0"/>
                <w:i w:val="0"/>
                <w:sz w:val="20"/>
              </w:rPr>
              <w:t>1.367</w:t>
            </w:r>
          </w:p>
        </w:tc>
        <w:tc>
          <w:tcPr>
            <w:tcW w:type="dxa" w:w="1191"/>
          </w:tcPr>
          <w:p>
            <w:pPr>
              <w:spacing w:after="0"/>
              <w:jc w:val="center"/>
            </w:pPr>
            <w:r/>
            <w:r>
              <w:rPr>
                <w:b w:val="0"/>
                <w:i w:val="0"/>
                <w:sz w:val="20"/>
              </w:rPr>
              <w:t>1.342</w:t>
            </w:r>
          </w:p>
        </w:tc>
      </w:tr>
      <w:tr>
        <w:tc>
          <w:tcPr>
            <w:tcW w:type="dxa" w:w="1247"/>
          </w:tcPr>
          <w:p>
            <w:pPr>
              <w:spacing w:after="0"/>
            </w:pPr>
            <w:r/>
            <w:r>
              <w:rPr>
                <w:b w:val="0"/>
                <w:i w:val="0"/>
                <w:sz w:val="20"/>
              </w:rPr>
              <w:t>Total</w:t>
            </w:r>
          </w:p>
        </w:tc>
        <w:tc>
          <w:tcPr>
            <w:tcW w:type="dxa" w:w="1191"/>
          </w:tcPr>
          <w:p>
            <w:pPr>
              <w:spacing w:after="0"/>
              <w:jc w:val="center"/>
            </w:pPr>
            <w:r/>
            <w:r>
              <w:rPr>
                <w:b w:val="0"/>
                <w:i w:val="0"/>
                <w:sz w:val="20"/>
              </w:rPr>
              <w:t>50.161</w:t>
            </w:r>
          </w:p>
        </w:tc>
        <w:tc>
          <w:tcPr>
            <w:tcW w:type="dxa" w:w="1191"/>
          </w:tcPr>
          <w:p>
            <w:pPr>
              <w:spacing w:after="0"/>
              <w:jc w:val="center"/>
            </w:pPr>
            <w:r/>
            <w:r>
              <w:rPr>
                <w:b w:val="0"/>
                <w:i w:val="0"/>
                <w:sz w:val="20"/>
              </w:rPr>
              <w:t>49.216</w:t>
            </w:r>
          </w:p>
        </w:tc>
        <w:tc>
          <w:tcPr>
            <w:tcW w:type="dxa" w:w="1191"/>
          </w:tcPr>
          <w:p>
            <w:pPr>
              <w:spacing w:after="0"/>
              <w:jc w:val="center"/>
            </w:pPr>
            <w:r/>
            <w:r>
              <w:rPr>
                <w:b w:val="0"/>
                <w:i w:val="0"/>
                <w:sz w:val="20"/>
              </w:rPr>
              <w:t>10.015,7</w:t>
            </w:r>
          </w:p>
        </w:tc>
        <w:tc>
          <w:tcPr>
            <w:tcW w:type="dxa" w:w="1191"/>
          </w:tcPr>
          <w:p>
            <w:pPr>
              <w:spacing w:after="0"/>
              <w:jc w:val="center"/>
            </w:pPr>
            <w:r/>
            <w:r>
              <w:rPr>
                <w:b w:val="0"/>
                <w:i w:val="0"/>
                <w:sz w:val="20"/>
              </w:rPr>
              <w:t>9.783</w:t>
            </w:r>
          </w:p>
        </w:tc>
        <w:tc>
          <w:tcPr>
            <w:tcW w:type="dxa" w:w="1191"/>
          </w:tcPr>
          <w:p>
            <w:pPr>
              <w:spacing w:after="0"/>
              <w:jc w:val="center"/>
            </w:pPr>
            <w:r/>
            <w:r>
              <w:rPr>
                <w:b w:val="0"/>
                <w:i w:val="0"/>
                <w:sz w:val="20"/>
              </w:rPr>
              <w:t>16.629</w:t>
            </w:r>
          </w:p>
        </w:tc>
        <w:tc>
          <w:tcPr>
            <w:tcW w:type="dxa" w:w="1191"/>
          </w:tcPr>
          <w:p>
            <w:pPr>
              <w:spacing w:after="0"/>
              <w:jc w:val="center"/>
            </w:pPr>
            <w:r/>
            <w:r>
              <w:rPr>
                <w:b w:val="0"/>
                <w:i w:val="0"/>
                <w:sz w:val="20"/>
              </w:rPr>
              <w:t>16.299</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Harga bahan baku pada tahun 2025 adalah Rp120.000 per yard kain beludru, Rp70.000 per kodi bos-bosan, dan Rp3.500 per lusin label, dengan total nilai pembelian Rp7.011.148.000.</w:t>
      </w:r>
    </w:p>
    <w:p>
      <w:pPr>
        <w:spacing w:line="360" w:lineRule="auto" w:after="40"/>
        <w:jc w:val="center"/>
      </w:pPr>
      <w:r>
        <w:rPr>
          <w:b/>
          <w:i w:val="0"/>
        </w:rPr>
        <w:t>Tabel 4.18 Data Pemasok Bahan Baku Tahun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10</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11</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6</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pada file data, pemasok tercatat memasok jenis bahan yang berganti-ganti setiap bulan (misalnya kain beludru dari CV Aksesoris Muslim). Pastikan hal ini sesuai kenyataan; jika setiap bahan memiliki pemasok tetap, perbaiki datanya.]</w:t>
      </w:r>
    </w:p>
    <w:p>
      <w:pPr>
        <w:spacing w:line="360" w:lineRule="auto" w:after="120"/>
        <w:jc w:val="left"/>
      </w:pPr>
      <w:r>
        <w:rPr>
          <w:b/>
          <w:i w:val="0"/>
        </w:rPr>
        <w:t>4.5 Parameter Pendukung</w:t>
      </w:r>
    </w:p>
    <w:p>
      <w:pPr>
        <w:spacing w:line="360" w:lineRule="auto" w:after="120"/>
        <w:ind w:firstLine="709"/>
        <w:jc w:val="both"/>
      </w:pPr>
      <w:r>
        <w:rPr>
          <w:b w:val="0"/>
          <w:i w:val="0"/>
        </w:rPr>
        <w:t>Parameter pendukung adalah nilai tetap yang diperlukan untuk menghitung KPI, misalnya kapasitas normal dan maksimum untuk KPI fleksibilitas kapasitas (P3 dan A3) serta jumlah tenaga kerja untuk KPI produktivitas (P1 dan H3). Parameter yang digunakan dalam pengolahan data disajikan pada Tabel 4.19.</w:t>
      </w:r>
    </w:p>
    <w:p>
      <w:pPr>
        <w:spacing w:line="360" w:lineRule="auto" w:after="40"/>
        <w:jc w:val="center"/>
      </w:pPr>
      <w:r>
        <w:rPr>
          <w:b/>
          <w:i w:val="0"/>
        </w:rPr>
        <w:t>Tabel 4.19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4.18</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rPr>
              <w:t xml:space="preserve">17 orang / banyak </w:t>
            </w:r>
            <w:r>
              <w:rPr>
                <w:b w:val="0"/>
                <w:i w:val="0"/>
                <w:sz w:val="20"/>
                <w:highlight w:val="yellow"/>
              </w:rPr>
              <w:t>[… orang pada musim puncak; … orang di luar musim puncak]</w:t>
            </w:r>
          </w:p>
        </w:tc>
        <w:tc>
          <w:tcPr>
            <w:tcW w:type="dxa" w:w="2268"/>
          </w:tcPr>
          <w:p>
            <w:pPr>
              <w:spacing w:after="0"/>
            </w:pPr>
            <w:r/>
            <w:r>
              <w:rPr>
                <w:b w:val="0"/>
                <w:i w:val="0"/>
                <w:sz w:val="20"/>
              </w:rPr>
              <w:t>Gambar 4.1; observasi; wawancara pemilik</w:t>
            </w:r>
          </w:p>
        </w:tc>
      </w:tr>
    </w:tbl>
    <w:p>
      <w:pPr>
        <w:spacing w:line="360" w:lineRule="auto" w:after="200"/>
        <w:jc w:val="left"/>
      </w:pPr>
      <w:r>
        <w:rPr>
          <w:b w:val="0"/>
          <w:i w:val="0"/>
          <w:sz w:val="20"/>
        </w:rPr>
        <w:t>Sumber: Data penelitian</w:t>
      </w:r>
    </w:p>
    <w:p>
      <w:pPr>
        <w:spacing w:line="360" w:lineRule="auto" w:after="120"/>
        <w:jc w:val="left"/>
      </w:pPr>
      <w:r>
        <w:rPr>
          <w:b/>
          <w:i w:val="0"/>
        </w:rPr>
        <w:t>4.6 Rekapitulasi Data yang Diperoleh</w:t>
      </w:r>
    </w:p>
    <w:p>
      <w:pPr>
        <w:spacing w:line="360" w:lineRule="auto" w:after="120"/>
        <w:ind w:firstLine="709"/>
        <w:jc w:val="both"/>
      </w:pPr>
      <w:r>
        <w:rPr>
          <w:b w:val="0"/>
          <w:i w:val="0"/>
        </w:rPr>
        <w:t>Rekapitulasi seluruh data yang diperoleh beserta penggunaannya pada Bab V disajikan pada Tabel 4.20.</w:t>
      </w:r>
    </w:p>
    <w:p>
      <w:pPr>
        <w:spacing w:line="360" w:lineRule="auto" w:after="40"/>
        <w:jc w:val="center"/>
      </w:pPr>
      <w:r>
        <w:rPr>
          <w:b/>
          <w:i w:val="0"/>
        </w:rPr>
        <w:t>Tabel 4.20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Stakeholder requirement dan objective;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(6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 dan penyusunan kuesioner AHP</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2025</w:t>
            </w:r>
          </w:p>
        </w:tc>
        <w:tc>
          <w:tcPr>
            <w:tcW w:type="dxa" w:w="1474"/>
          </w:tcPr>
          <w:p>
            <w:pPr>
              <w:spacing w:after="0"/>
            </w:pPr>
            <w:r/>
            <w:r>
              <w:rPr>
                <w:b w:val="0"/>
                <w:i w:val="0"/>
                <w:sz w:val="20"/>
              </w:rPr>
              <w:t>Data sekunder</w:t>
            </w:r>
          </w:p>
        </w:tc>
        <w:tc>
          <w:tcPr>
            <w:tcW w:type="dxa" w:w="3402"/>
          </w:tcPr>
          <w:p>
            <w:pPr>
              <w:spacing w:after="0"/>
            </w:pPr>
            <w:r/>
            <w:r>
              <w:rPr>
                <w:b w:val="0"/>
                <w:i w:val="0"/>
                <w:sz w:val="20"/>
              </w:rPr>
              <w:t>Nilai KPI (mis. C1, A1, A3), siklus musiman, KPI properties dashboard</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p>
      <w:pPr>
        <w:spacing w:line="360" w:lineRule="auto" w:after="120"/>
        <w:jc w:val="left"/>
      </w:pPr>
      <w:r>
        <w:rPr>
          <w:b/>
          <w:i w:val="0"/>
        </w:rPr>
        <w:t>Rujukan yang Dikutip dalam Bab IV</w:t>
      </w:r>
    </w:p>
    <w:p>
      <w:pPr>
        <w:spacing w:line="360" w:lineRule="auto" w:after="120"/>
        <w:jc w:val="both"/>
      </w:pPr>
      <w:r>
        <w:rPr>
          <w:b w:val="0"/>
          <w:i w:val="0"/>
          <w:highlight w:val="yellow"/>
        </w:rPr>
        <w:t>[Pindahkan daftar ini ke Daftar Pustaka skripsi dan sesuaikan edisi/tahun dengan buku yang Anda miliki.]</w:t>
      </w:r>
    </w:p>
    <w:p>
      <w:pPr>
        <w:spacing w:line="360" w:lineRule="auto" w:after="120"/>
        <w:ind w:left="709" w:hanging="709"/>
        <w:jc w:val="left"/>
      </w:pPr>
      <w:r>
        <w:rPr>
          <w:b w:val="0"/>
          <w:i w:val="0"/>
        </w:rPr>
        <w:t xml:space="preserve">Bititci, U. S., Carrie, A. S., &amp; McDevitt, L. (1997). Integrated performance measurement systems: A development guide. </w:t>
      </w:r>
      <w:r>
        <w:rPr>
          <w:b w:val="0"/>
          <w:i/>
        </w:rPr>
        <w:t>International Journal of Operations &amp; Production Management, 17</w:t>
      </w:r>
      <w:r>
        <w:rPr>
          <w:b w:val="0"/>
          <w:i w:val="0"/>
        </w:rPr>
        <w:t>(5), 522–534.</w:t>
      </w:r>
    </w:p>
    <w:p>
      <w:pPr>
        <w:spacing w:line="360" w:lineRule="auto" w:after="120"/>
        <w:ind w:left="709" w:hanging="709"/>
        <w:jc w:val="left"/>
      </w:pPr>
      <w:r>
        <w:rPr>
          <w:b w:val="0"/>
          <w:i w:val="0"/>
        </w:rPr>
        <w:t xml:space="preserve">Garengo, P., Biazzo, S., &amp; Bititci, U. S. (2005). Performance measurement systems in SMEs: A review for a research agenda. </w:t>
      </w:r>
      <w:r>
        <w:rPr>
          <w:b w:val="0"/>
          <w:i/>
        </w:rPr>
        <w:t>International Journal of Management Reviews, 7</w:t>
      </w:r>
      <w:r>
        <w:rPr>
          <w:b w:val="0"/>
          <w:i w:val="0"/>
        </w:rPr>
        <w:t>(1), 25–47.</w:t>
      </w:r>
    </w:p>
    <w:p>
      <w:pPr>
        <w:spacing w:line="360" w:lineRule="auto" w:after="120"/>
        <w:ind w:left="709" w:hanging="709"/>
        <w:jc w:val="left"/>
      </w:pPr>
      <w:r>
        <w:rPr>
          <w:b w:val="0"/>
          <w:i w:val="0"/>
        </w:rPr>
        <w:t xml:space="preserve">Heizer, J., Render, B., &amp; Munson, C. (2020). </w:t>
      </w:r>
      <w:r>
        <w:rPr>
          <w:b w:val="0"/>
          <w:i/>
        </w:rPr>
        <w:t>Operations management: Sustainability and supply chain management</w:t>
      </w:r>
      <w:r>
        <w:rPr>
          <w:b w:val="0"/>
          <w:i w:val="0"/>
        </w:rPr>
        <w:t xml:space="preserve"> (13th ed.). Pearson.</w:t>
      </w:r>
    </w:p>
    <w:p>
      <w:pPr>
        <w:spacing w:line="360" w:lineRule="auto" w:after="120"/>
        <w:ind w:left="709" w:hanging="709"/>
        <w:jc w:val="left"/>
      </w:pPr>
      <w:r>
        <w:rPr>
          <w:b w:val="0"/>
          <w:i w:val="0"/>
        </w:rPr>
        <w:t xml:space="preserve">Hyndman, R. J., &amp; Athanasopoulos, G. (2021). </w:t>
      </w:r>
      <w:r>
        <w:rPr>
          <w:b w:val="0"/>
          <w:i/>
        </w:rPr>
        <w:t>Forecasting: Principles and practice</w:t>
      </w:r>
      <w:r>
        <w:rPr>
          <w:b w:val="0"/>
          <w:i w:val="0"/>
        </w:rPr>
        <w:t xml:space="preserve"> (3rd ed.). OTexts.</w:t>
      </w:r>
    </w:p>
    <w:p>
      <w:pPr>
        <w:spacing w:line="360" w:lineRule="auto" w:after="120"/>
        <w:ind w:left="709" w:hanging="709"/>
        <w:jc w:val="left"/>
      </w:pPr>
      <w:r>
        <w:rPr>
          <w:b w:val="0"/>
          <w:i w:val="0"/>
        </w:rPr>
        <w:t xml:space="preserve">Lawshe, C. H. (1975). A quantitative approach to content validity. </w:t>
      </w:r>
      <w:r>
        <w:rPr>
          <w:b w:val="0"/>
          <w:i/>
        </w:rPr>
        <w:t>Personnel Psychology, 28</w:t>
      </w:r>
      <w:r>
        <w:rPr>
          <w:b w:val="0"/>
          <w:i w:val="0"/>
        </w:rPr>
        <w:t>(4), 563–575.</w:t>
      </w:r>
    </w:p>
    <w:p>
      <w:pPr>
        <w:spacing w:line="360" w:lineRule="auto" w:after="120"/>
        <w:ind w:left="709" w:hanging="709"/>
        <w:jc w:val="left"/>
      </w:pPr>
      <w:r>
        <w:rPr>
          <w:b w:val="0"/>
          <w:i w:val="0"/>
        </w:rPr>
        <w:t xml:space="preserve">Likert, R. (1932). A technique for the measurement of attitudes. </w:t>
      </w:r>
      <w:r>
        <w:rPr>
          <w:b w:val="0"/>
          <w:i/>
        </w:rPr>
        <w:t>Archives of Psychology, 22</w:t>
      </w:r>
      <w:r>
        <w:rPr>
          <w:b w:val="0"/>
          <w:i w:val="0"/>
        </w:rPr>
        <w:t>(140), 1–55.</w:t>
      </w:r>
    </w:p>
    <w:p>
      <w:pPr>
        <w:spacing w:line="360" w:lineRule="auto" w:after="120"/>
        <w:ind w:left="709" w:hanging="709"/>
        <w:jc w:val="left"/>
      </w:pPr>
      <w:r>
        <w:rPr>
          <w:b w:val="0"/>
          <w:i w:val="0"/>
        </w:rPr>
        <w:t xml:space="preserve">Neely, A., Gregory, M., &amp; Platts, K. (1995). Performance measurement system design: A literature review and research agenda. </w:t>
      </w:r>
      <w:r>
        <w:rPr>
          <w:b w:val="0"/>
          <w:i/>
        </w:rPr>
        <w:t>International Journal of Operations &amp; Production Management, 15</w:t>
      </w:r>
      <w:r>
        <w:rPr>
          <w:b w:val="0"/>
          <w:i w:val="0"/>
        </w:rPr>
        <w:t>(4), 80–116.</w:t>
      </w:r>
    </w:p>
    <w:p>
      <w:pPr>
        <w:spacing w:line="360" w:lineRule="auto" w:after="120"/>
        <w:ind w:left="709" w:hanging="709"/>
        <w:jc w:val="left"/>
      </w:pPr>
      <w:r>
        <w:rPr>
          <w:b w:val="0"/>
          <w:i w:val="0"/>
        </w:rPr>
        <w:t xml:space="preserve">Parmenter, D. (2015). </w:t>
      </w:r>
      <w:r>
        <w:rPr>
          <w:b w:val="0"/>
          <w:i/>
        </w:rPr>
        <w:t>Key performance indicators: Developing, implementing, and using winning KPIs</w:t>
      </w:r>
      <w:r>
        <w:rPr>
          <w:b w:val="0"/>
          <w:i w:val="0"/>
        </w:rPr>
        <w:t xml:space="preserve"> (3rd ed.). Wiley.</w:t>
      </w:r>
    </w:p>
    <w:p>
      <w:pPr>
        <w:spacing w:line="360" w:lineRule="auto" w:after="120"/>
        <w:ind w:left="709" w:hanging="709"/>
        <w:jc w:val="left"/>
      </w:pPr>
      <w:r>
        <w:rPr>
          <w:b w:val="0"/>
          <w:i w:val="0"/>
        </w:rPr>
        <w:t xml:space="preserve">Saaty, T. L. (1980). </w:t>
      </w:r>
      <w:r>
        <w:rPr>
          <w:b w:val="0"/>
          <w:i/>
        </w:rPr>
        <w:t>The analytic hierarchy process</w:t>
      </w:r>
      <w:r>
        <w:rPr>
          <w:b w:val="0"/>
          <w:i w:val="0"/>
        </w:rPr>
        <w:t>. McGraw-Hill.</w:t>
      </w:r>
    </w:p>
    <w:p>
      <w:pPr>
        <w:spacing w:line="360" w:lineRule="auto" w:after="120"/>
        <w:ind w:left="709" w:hanging="709"/>
        <w:jc w:val="left"/>
      </w:pPr>
      <w:r>
        <w:rPr>
          <w:b w:val="0"/>
          <w:i w:val="0"/>
        </w:rPr>
        <w:t xml:space="preserve">Saaty, T. L. (2008). Decision making with the analytic hierarchy process. </w:t>
      </w:r>
      <w:r>
        <w:rPr>
          <w:b w:val="0"/>
          <w:i/>
        </w:rPr>
        <w:t>International Journal of Services Sciences, 1</w:t>
      </w:r>
      <w:r>
        <w:rPr>
          <w:b w:val="0"/>
          <w:i w:val="0"/>
        </w:rPr>
        <w:t>(1), 83–98.</w:t>
      </w:r>
    </w:p>
    <w:p>
      <w:pPr>
        <w:spacing w:line="360" w:lineRule="auto" w:after="120"/>
        <w:ind w:left="709" w:hanging="709"/>
        <w:jc w:val="left"/>
      </w:pPr>
      <w:r>
        <w:rPr>
          <w:b w:val="0"/>
          <w:i w:val="0"/>
        </w:rPr>
        <w:t xml:space="preserve">Silver, E. A., Pyke, D. F., &amp; Thomas, D. J. (2017). </w:t>
      </w:r>
      <w:r>
        <w:rPr>
          <w:b w:val="0"/>
          <w:i/>
        </w:rPr>
        <w:t>Inventory and production management in supply chains</w:t>
      </w:r>
      <w:r>
        <w:rPr>
          <w:b w:val="0"/>
          <w:i w:val="0"/>
        </w:rPr>
        <w:t xml:space="preserve"> (4th ed.). CRC Press.</w:t>
      </w:r>
    </w:p>
    <w:p>
      <w:pPr>
        <w:spacing w:line="360" w:lineRule="auto" w:after="120"/>
        <w:ind w:left="709" w:hanging="709"/>
        <w:jc w:val="left"/>
      </w:pPr>
      <w:r>
        <w:rPr>
          <w:b w:val="0"/>
          <w:i w:val="0"/>
        </w:rPr>
        <w:t xml:space="preserve">Sugiyono. (2019). </w:t>
      </w:r>
      <w:r>
        <w:rPr>
          <w:b w:val="0"/>
          <w:i/>
        </w:rPr>
        <w:t>Metode penelitian kuantitatif, kualitatif, dan R&amp;D</w:t>
      </w:r>
      <w:r>
        <w:rPr>
          <w:b w:val="0"/>
          <w:i w:val="0"/>
        </w:rPr>
        <w:t>. Alfabeta.</w:t>
      </w:r>
    </w:p>
    <w:p>
      <w:pPr>
        <w:spacing w:line="360" w:lineRule="auto" w:after="120"/>
        <w:ind w:left="709" w:hanging="709"/>
        <w:jc w:val="left"/>
      </w:pPr>
      <w:r>
        <w:rPr>
          <w:b w:val="0"/>
          <w:i w:val="0"/>
        </w:rPr>
        <w:t xml:space="preserve">Suwignjo, P., Bititci, U. S., &amp; Carrie, A. S. (2000). Quantitative models for performance measurement system. </w:t>
      </w:r>
      <w:r>
        <w:rPr>
          <w:b w:val="0"/>
          <w:i/>
        </w:rPr>
        <w:t>International Journal of Production Economics, 64</w:t>
      </w:r>
      <w:r>
        <w:rPr>
          <w:b w:val="0"/>
          <w:i w:val="0"/>
        </w:rPr>
        <w:t>(1–3), 231–241.</w:t>
      </w:r>
    </w:p>
    <w:p>
      <w:pPr>
        <w:spacing w:line="360" w:lineRule="auto" w:after="120"/>
        <w:ind w:left="709" w:hanging="709"/>
        <w:jc w:val="left"/>
      </w:pPr>
      <w:r>
        <w:rPr>
          <w:b w:val="0"/>
          <w:i w:val="0"/>
        </w:rPr>
        <w:t xml:space="preserve">Teece, D. J., Pisano, G., &amp; Shuen, A. (1997). Dynamic capabilities and strategic management. </w:t>
      </w:r>
      <w:r>
        <w:rPr>
          <w:b w:val="0"/>
          <w:i/>
        </w:rPr>
        <w:t>Strategic Management Journal, 18</w:t>
      </w:r>
      <w:r>
        <w:rPr>
          <w:b w:val="0"/>
          <w:i w:val="0"/>
        </w:rPr>
        <w:t>(7), 509–533.</w:t>
      </w:r>
    </w:p>
    <w:p>
      <w:pPr>
        <w:spacing w:line="360" w:lineRule="auto" w:after="120"/>
        <w:ind w:left="709" w:hanging="709"/>
        <w:jc w:val="left"/>
      </w:pPr>
      <w:r>
        <w:rPr>
          <w:b w:val="0"/>
          <w:i w:val="0"/>
        </w:rPr>
        <w:t xml:space="preserve">Womack, J. P., Jones, D. T., &amp; Roos, D. (1990). </w:t>
      </w:r>
      <w:r>
        <w:rPr>
          <w:b w:val="0"/>
          <w:i/>
        </w:rPr>
        <w:t>The machine that changed the world</w:t>
      </w:r>
      <w:r>
        <w:rPr>
          <w:b w:val="0"/>
          <w:i w:val="0"/>
        </w:rPr>
        <w:t>. Rawson Associates.</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