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9525</wp:posOffset>
            </wp:positionH>
            <wp:positionV relativeFrom="page">
              <wp:posOffset>914400</wp:posOffset>
            </wp:positionV>
            <wp:extent cx="7762112" cy="50952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112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Heading2"/>
        <w:spacing w:before="51"/>
      </w:pPr>
      <w:r>
        <w:rPr>
          <w:color w:val="4471C4"/>
        </w:rPr>
        <w:t>Abstract:</w:t>
      </w:r>
    </w:p>
    <w:p>
      <w:pPr>
        <w:pStyle w:val="BodyText"/>
        <w:spacing w:line="259" w:lineRule="auto" w:before="183"/>
        <w:ind w:left="1440" w:right="1393" w:firstLine="719"/>
      </w:pPr>
      <w:r>
        <w:rPr/>
        <w:t>The Capital Asset Pricing Model (CAPM) is a financial framework that assesses the expected</w:t>
      </w:r>
      <w:r>
        <w:rPr>
          <w:spacing w:val="1"/>
        </w:rPr>
        <w:t> </w:t>
      </w:r>
      <w:r>
        <w:rPr/>
        <w:t>return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risk,</w:t>
      </w:r>
      <w:r>
        <w:rPr>
          <w:spacing w:val="-3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beta.</w:t>
      </w:r>
      <w:r>
        <w:rPr>
          <w:spacing w:val="-5"/>
        </w:rPr>
        <w:t> </w:t>
      </w:r>
      <w:r>
        <w:rPr/>
        <w:t>CAPM</w:t>
      </w:r>
      <w:r>
        <w:rPr>
          <w:spacing w:val="-6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4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asset's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return,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risk-free</w:t>
      </w:r>
      <w:r>
        <w:rPr>
          <w:spacing w:val="-5"/>
        </w:rPr>
        <w:t> </w:t>
      </w:r>
      <w:r>
        <w:rPr/>
        <w:t>rate,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/>
        <w:t>premium.</w:t>
      </w:r>
      <w:r>
        <w:rPr>
          <w:spacing w:val="-6"/>
        </w:rPr>
        <w:t> </w:t>
      </w:r>
      <w:r>
        <w:rPr/>
        <w:t>By</w:t>
      </w:r>
      <w:r>
        <w:rPr>
          <w:spacing w:val="1"/>
        </w:rPr>
        <w:t> </w:t>
      </w:r>
      <w:r>
        <w:rPr/>
        <w:t>incorporating risk and return components, it aids investors in making informed decisions about the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profitability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 its</w:t>
      </w:r>
      <w:r>
        <w:rPr>
          <w:spacing w:val="1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risk.</w:t>
      </w:r>
    </w:p>
    <w:p>
      <w:pPr>
        <w:pStyle w:val="Heading2"/>
        <w:spacing w:before="161"/>
      </w:pPr>
      <w:r>
        <w:rPr>
          <w:color w:val="4471C4"/>
        </w:rPr>
        <w:t>What</w:t>
      </w:r>
      <w:r>
        <w:rPr>
          <w:color w:val="4471C4"/>
          <w:spacing w:val="-2"/>
        </w:rPr>
        <w:t> </w:t>
      </w:r>
      <w:r>
        <w:rPr>
          <w:color w:val="4471C4"/>
        </w:rPr>
        <w:t>is</w:t>
      </w:r>
      <w:r>
        <w:rPr>
          <w:color w:val="4471C4"/>
          <w:spacing w:val="-3"/>
        </w:rPr>
        <w:t> </w:t>
      </w:r>
      <w:r>
        <w:rPr>
          <w:color w:val="4471C4"/>
        </w:rPr>
        <w:t>CAPM?</w:t>
      </w:r>
    </w:p>
    <w:p>
      <w:pPr>
        <w:pStyle w:val="BodyText"/>
        <w:spacing w:line="259" w:lineRule="auto" w:before="182"/>
        <w:ind w:left="1440" w:right="1855" w:firstLine="719"/>
        <w:jc w:val="both"/>
      </w:pPr>
      <w:r>
        <w:rPr/>
        <w:t>The</w:t>
      </w:r>
      <w:r>
        <w:rPr>
          <w:spacing w:val="-3"/>
        </w:rPr>
        <w:t> </w:t>
      </w:r>
      <w:r>
        <w:rPr/>
        <w:t>CAPM</w:t>
      </w:r>
      <w:r>
        <w:rPr>
          <w:spacing w:val="-5"/>
        </w:rPr>
        <w:t> </w:t>
      </w:r>
      <w:r>
        <w:rPr/>
        <w:t>(Capital</w:t>
      </w:r>
      <w:r>
        <w:rPr>
          <w:spacing w:val="-2"/>
        </w:rPr>
        <w:t> </w:t>
      </w:r>
      <w:r>
        <w:rPr/>
        <w:t>Asset</w:t>
      </w:r>
      <w:r>
        <w:rPr>
          <w:spacing w:val="-5"/>
        </w:rPr>
        <w:t> </w:t>
      </w:r>
      <w:r>
        <w:rPr/>
        <w:t>Pricing</w:t>
      </w:r>
      <w:r>
        <w:rPr>
          <w:spacing w:val="-3"/>
        </w:rPr>
        <w:t> </w:t>
      </w:r>
      <w:r>
        <w:rPr/>
        <w:t>Model)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model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expected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4"/>
        </w:rPr>
        <w:t> </w:t>
      </w:r>
      <w:r>
        <w:rPr/>
        <w:t>market.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widely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finance</w:t>
      </w:r>
      <w:r>
        <w:rPr>
          <w:spacing w:val="-2"/>
        </w:rPr>
        <w:t> </w:t>
      </w:r>
      <w:r>
        <w:rPr/>
        <w:t>for</w:t>
      </w:r>
      <w:r>
        <w:rPr>
          <w:spacing w:val="-47"/>
        </w:rPr>
        <w:t> </w:t>
      </w:r>
      <w:r>
        <w:rPr/>
        <w:t>estimating</w:t>
      </w:r>
      <w:r>
        <w:rPr>
          <w:spacing w:val="-2"/>
        </w:rPr>
        <w:t> </w:t>
      </w:r>
      <w:r>
        <w:rPr/>
        <w:t>the appropriate</w:t>
      </w:r>
      <w:r>
        <w:rPr>
          <w:spacing w:val="-5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investment.</w:t>
      </w:r>
    </w:p>
    <w:p>
      <w:pPr>
        <w:spacing w:after="0" w:line="259" w:lineRule="auto"/>
        <w:jc w:val="both"/>
        <w:sectPr>
          <w:type w:val="continuous"/>
          <w:pgSz w:w="12240" w:h="15840"/>
          <w:pgMar w:top="1440" w:bottom="280" w:left="0" w:right="0"/>
        </w:sectPr>
      </w:pPr>
    </w:p>
    <w:p>
      <w:pPr>
        <w:pStyle w:val="Heading2"/>
      </w:pPr>
      <w:r>
        <w:rPr>
          <w:color w:val="4471C4"/>
        </w:rPr>
        <w:t>History</w:t>
      </w:r>
      <w:r>
        <w:rPr>
          <w:color w:val="4471C4"/>
          <w:spacing w:val="-4"/>
        </w:rPr>
        <w:t> </w:t>
      </w:r>
      <w:r>
        <w:rPr>
          <w:color w:val="4471C4"/>
        </w:rPr>
        <w:t>of</w:t>
      </w:r>
      <w:r>
        <w:rPr>
          <w:color w:val="4471C4"/>
          <w:spacing w:val="-2"/>
        </w:rPr>
        <w:t> </w:t>
      </w:r>
      <w:r>
        <w:rPr>
          <w:color w:val="4471C4"/>
        </w:rPr>
        <w:t>CAPM:</w:t>
      </w:r>
    </w:p>
    <w:p>
      <w:pPr>
        <w:pStyle w:val="BodyText"/>
        <w:spacing w:line="259" w:lineRule="auto" w:before="182"/>
        <w:ind w:left="1440" w:right="1393" w:firstLine="719"/>
      </w:pPr>
      <w:r>
        <w:rPr/>
        <w:t>The Capital Asset Pricing Model (CAPM) was introduced by William Sharpe (1964) and John</w:t>
      </w:r>
      <w:r>
        <w:rPr>
          <w:spacing w:val="1"/>
        </w:rPr>
        <w:t> </w:t>
      </w:r>
      <w:r>
        <w:rPr/>
        <w:t>Lintner</w:t>
      </w:r>
      <w:r>
        <w:rPr>
          <w:spacing w:val="-2"/>
        </w:rPr>
        <w:t> </w:t>
      </w:r>
      <w:r>
        <w:rPr/>
        <w:t>(1965).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built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earlier</w:t>
      </w:r>
      <w:r>
        <w:rPr>
          <w:spacing w:val="-3"/>
        </w:rPr>
        <w:t> </w:t>
      </w:r>
      <w:r>
        <w:rPr/>
        <w:t>work of</w:t>
      </w:r>
      <w:r>
        <w:rPr>
          <w:spacing w:val="-4"/>
        </w:rPr>
        <w:t> </w:t>
      </w:r>
      <w:r>
        <w:rPr/>
        <w:t>Harry</w:t>
      </w:r>
      <w:r>
        <w:rPr>
          <w:spacing w:val="-3"/>
        </w:rPr>
        <w:t> </w:t>
      </w:r>
      <w:r>
        <w:rPr/>
        <w:t>Markowitz</w:t>
      </w:r>
      <w:r>
        <w:rPr>
          <w:spacing w:val="-1"/>
        </w:rPr>
        <w:t> </w:t>
      </w:r>
      <w:r>
        <w:rPr/>
        <w:t>(1959)Who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portfolio choice.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5"/>
        <w:ind w:left="3785" w:right="3784" w:firstLine="0"/>
        <w:jc w:val="center"/>
        <w:rPr>
          <w:b/>
          <w:sz w:val="72"/>
        </w:rPr>
      </w:pPr>
      <w:r>
        <w:rPr>
          <w:b/>
          <w:color w:val="EC7C30"/>
          <w:sz w:val="72"/>
        </w:rPr>
        <w:t>Assumptions</w:t>
      </w:r>
      <w:r>
        <w:rPr>
          <w:b/>
          <w:color w:val="EC7C30"/>
          <w:spacing w:val="-4"/>
          <w:sz w:val="72"/>
        </w:rPr>
        <w:t> </w:t>
      </w:r>
      <w:r>
        <w:rPr>
          <w:b/>
          <w:color w:val="EC7C30"/>
          <w:sz w:val="72"/>
        </w:rPr>
        <w:t>of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1353390</wp:posOffset>
            </wp:positionH>
            <wp:positionV relativeFrom="paragraph">
              <wp:posOffset>205724</wp:posOffset>
            </wp:positionV>
            <wp:extent cx="5408984" cy="256946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8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537"/>
        <w:ind w:left="1440" w:right="1393" w:firstLine="719"/>
      </w:pPr>
      <w:r>
        <w:rPr/>
        <w:t>The Capital Asset Pricing Model (CAPM) relies on several key assumptions, which are</w:t>
      </w:r>
      <w:r>
        <w:rPr>
          <w:spacing w:val="1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theory.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59" w:lineRule="auto" w:before="160" w:after="0"/>
        <w:ind w:left="2160" w:right="1719" w:hanging="360"/>
        <w:jc w:val="left"/>
        <w:rPr>
          <w:sz w:val="22"/>
        </w:rPr>
      </w:pPr>
      <w:r>
        <w:rPr>
          <w:b/>
          <w:sz w:val="24"/>
        </w:rPr>
        <w:t>Perfect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Market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Conditions:</w:t>
      </w:r>
      <w:r>
        <w:rPr>
          <w:b/>
          <w:spacing w:val="-2"/>
          <w:sz w:val="24"/>
        </w:rPr>
        <w:t> </w:t>
      </w:r>
      <w:r>
        <w:rPr>
          <w:sz w:val="22"/>
        </w:rPr>
        <w:t>CAPM</w:t>
      </w:r>
      <w:r>
        <w:rPr>
          <w:spacing w:val="-6"/>
          <w:sz w:val="22"/>
        </w:rPr>
        <w:t> </w:t>
      </w:r>
      <w:r>
        <w:rPr>
          <w:sz w:val="22"/>
        </w:rPr>
        <w:t>assumes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markets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efficient,</w:t>
      </w:r>
      <w:r>
        <w:rPr>
          <w:spacing w:val="-6"/>
          <w:sz w:val="22"/>
        </w:rPr>
        <w:t> </w:t>
      </w:r>
      <w:r>
        <w:rPr>
          <w:sz w:val="22"/>
        </w:rPr>
        <w:t>meaning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47"/>
          <w:sz w:val="22"/>
        </w:rPr>
        <w:t> </w:t>
      </w:r>
      <w:r>
        <w:rPr>
          <w:sz w:val="22"/>
        </w:rPr>
        <w:t>information is reflected in asset prices, and there are no transaction costs or taxes. Investors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access to</w:t>
      </w:r>
      <w:r>
        <w:rPr>
          <w:spacing w:val="-2"/>
          <w:sz w:val="22"/>
        </w:rPr>
        <w:t> </w:t>
      </w:r>
      <w:r>
        <w:rPr>
          <w:sz w:val="22"/>
        </w:rPr>
        <w:t>the same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trade assets freely.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1" w:after="0"/>
        <w:ind w:left="2160" w:right="0" w:hanging="361"/>
        <w:jc w:val="left"/>
        <w:rPr>
          <w:sz w:val="22"/>
        </w:rPr>
      </w:pPr>
      <w:r>
        <w:rPr>
          <w:b/>
          <w:sz w:val="24"/>
        </w:rPr>
        <w:t>Homogeneous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Expectations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Investors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market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homogeneous</w:t>
      </w:r>
      <w:r>
        <w:rPr>
          <w:spacing w:val="-8"/>
          <w:sz w:val="22"/>
        </w:rPr>
        <w:t> </w:t>
      </w:r>
      <w:r>
        <w:rPr>
          <w:sz w:val="22"/>
        </w:rPr>
        <w:t>expectations,</w:t>
      </w:r>
    </w:p>
    <w:p>
      <w:pPr>
        <w:pStyle w:val="BodyText"/>
        <w:spacing w:line="259" w:lineRule="auto" w:before="22"/>
        <w:ind w:left="2160" w:right="1393"/>
      </w:pPr>
      <w:r>
        <w:rPr/>
        <w:t>meaning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inputs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assets.</w:t>
      </w:r>
      <w:r>
        <w:rPr>
          <w:spacing w:val="-2"/>
        </w:rPr>
        <w:t> </w:t>
      </w:r>
      <w:r>
        <w:rPr/>
        <w:t>This</w:t>
      </w:r>
      <w:r>
        <w:rPr>
          <w:spacing w:val="-47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allows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investors'</w:t>
      </w:r>
      <w:r>
        <w:rPr>
          <w:spacing w:val="-5"/>
        </w:rPr>
        <w:t> </w:t>
      </w:r>
      <w:r>
        <w:rPr/>
        <w:t>portfolios.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40" w:lineRule="auto" w:before="0" w:after="0"/>
        <w:ind w:left="2160" w:right="0" w:hanging="361"/>
        <w:jc w:val="left"/>
        <w:rPr>
          <w:sz w:val="22"/>
        </w:rPr>
      </w:pPr>
      <w:r>
        <w:rPr>
          <w:b/>
          <w:sz w:val="24"/>
        </w:rPr>
        <w:t>Rational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Investors:</w:t>
      </w:r>
      <w:r>
        <w:rPr>
          <w:b/>
          <w:spacing w:val="-8"/>
          <w:sz w:val="24"/>
        </w:rPr>
        <w:t> </w:t>
      </w:r>
      <w:r>
        <w:rPr>
          <w:sz w:val="22"/>
        </w:rPr>
        <w:t>CAPM</w:t>
      </w:r>
      <w:r>
        <w:rPr>
          <w:spacing w:val="-10"/>
          <w:sz w:val="22"/>
        </w:rPr>
        <w:t> </w:t>
      </w:r>
      <w:r>
        <w:rPr>
          <w:sz w:val="22"/>
        </w:rPr>
        <w:t>assumes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investors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rational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risk-averse.</w:t>
      </w:r>
      <w:r>
        <w:rPr>
          <w:spacing w:val="-10"/>
          <w:sz w:val="22"/>
        </w:rPr>
        <w:t> </w:t>
      </w:r>
      <w:r>
        <w:rPr>
          <w:sz w:val="22"/>
        </w:rPr>
        <w:t>Rational</w:t>
      </w:r>
    </w:p>
    <w:p>
      <w:pPr>
        <w:pStyle w:val="BodyText"/>
        <w:spacing w:line="256" w:lineRule="auto" w:before="24"/>
        <w:ind w:left="2160" w:right="1393"/>
      </w:pPr>
      <w:r>
        <w:rPr/>
        <w:t>investors</w:t>
      </w:r>
      <w:r>
        <w:rPr>
          <w:spacing w:val="-6"/>
        </w:rPr>
        <w:t> </w:t>
      </w:r>
      <w:r>
        <w:rPr/>
        <w:t>seek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maximize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minimizing</w:t>
      </w:r>
      <w:r>
        <w:rPr>
          <w:spacing w:val="-7"/>
        </w:rPr>
        <w:t> </w:t>
      </w:r>
      <w:r>
        <w:rPr/>
        <w:t>risk.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decisions</w:t>
      </w:r>
      <w:r>
        <w:rPr>
          <w:spacing w:val="-4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 expected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3"/>
        </w:rPr>
        <w:t> </w:t>
      </w:r>
      <w:r>
        <w:rPr/>
        <w:t>of assets and</w:t>
      </w:r>
      <w:r>
        <w:rPr>
          <w:spacing w:val="-1"/>
        </w:rPr>
        <w:t> </w:t>
      </w:r>
      <w:r>
        <w:rPr/>
        <w:t>portfolios.</w:t>
      </w:r>
    </w:p>
    <w:p>
      <w:pPr>
        <w:spacing w:after="0" w:line="256" w:lineRule="auto"/>
        <w:sectPr>
          <w:pgSz w:w="12240" w:h="15840"/>
          <w:pgMar w:top="140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59" w:lineRule="auto" w:before="40" w:after="0"/>
        <w:ind w:left="2160" w:right="1584" w:hanging="360"/>
        <w:jc w:val="both"/>
        <w:rPr>
          <w:sz w:val="22"/>
        </w:rPr>
      </w:pPr>
      <w:r>
        <w:rPr>
          <w:b/>
          <w:sz w:val="24"/>
        </w:rPr>
        <w:t>Single Time Horizon</w:t>
      </w:r>
      <w:r>
        <w:rPr>
          <w:sz w:val="22"/>
        </w:rPr>
        <w:t>: The model assumes a single time horizon for all investors, implying that</w:t>
      </w:r>
      <w:r>
        <w:rPr>
          <w:spacing w:val="-47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investors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9"/>
          <w:sz w:val="22"/>
        </w:rPr>
        <w:t> </w:t>
      </w:r>
      <w:r>
        <w:rPr>
          <w:sz w:val="22"/>
        </w:rPr>
        <w:t>investment</w:t>
      </w:r>
      <w:r>
        <w:rPr>
          <w:spacing w:val="-5"/>
          <w:sz w:val="22"/>
        </w:rPr>
        <w:t> </w:t>
      </w:r>
      <w:r>
        <w:rPr>
          <w:sz w:val="22"/>
        </w:rPr>
        <w:t>horizon.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assumption</w:t>
      </w:r>
      <w:r>
        <w:rPr>
          <w:spacing w:val="-5"/>
          <w:sz w:val="22"/>
        </w:rPr>
        <w:t> </w:t>
      </w:r>
      <w:r>
        <w:rPr>
          <w:sz w:val="22"/>
        </w:rPr>
        <w:t>simplifies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47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reflect the diverse investment</w:t>
      </w:r>
      <w:r>
        <w:rPr>
          <w:spacing w:val="-1"/>
          <w:sz w:val="22"/>
        </w:rPr>
        <w:t> </w:t>
      </w:r>
      <w:r>
        <w:rPr>
          <w:sz w:val="22"/>
        </w:rPr>
        <w:t>horizons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real</w:t>
      </w:r>
      <w:r>
        <w:rPr>
          <w:spacing w:val="-1"/>
          <w:sz w:val="22"/>
        </w:rPr>
        <w:t> </w:t>
      </w:r>
      <w:r>
        <w:rPr>
          <w:sz w:val="22"/>
        </w:rPr>
        <w:t>investors.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92" w:lineRule="exact" w:before="0" w:after="0"/>
        <w:ind w:left="2160" w:right="0" w:hanging="361"/>
        <w:jc w:val="both"/>
        <w:rPr>
          <w:sz w:val="22"/>
        </w:rPr>
      </w:pPr>
      <w:r>
        <w:rPr>
          <w:b/>
          <w:sz w:val="24"/>
        </w:rPr>
        <w:t>Risk-Free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Rate:</w:t>
      </w:r>
      <w:r>
        <w:rPr>
          <w:b/>
          <w:spacing w:val="-3"/>
          <w:sz w:val="24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exists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risk-free</w:t>
      </w:r>
      <w:r>
        <w:rPr>
          <w:spacing w:val="-4"/>
          <w:sz w:val="22"/>
        </w:rPr>
        <w:t> </w:t>
      </w:r>
      <w:r>
        <w:rPr>
          <w:sz w:val="22"/>
        </w:rPr>
        <w:t>asset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constant</w:t>
      </w:r>
      <w:r>
        <w:rPr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known</w:t>
      </w:r>
      <w:r>
        <w:rPr>
          <w:spacing w:val="-6"/>
          <w:sz w:val="22"/>
        </w:rPr>
        <w:t> </w:t>
      </w:r>
      <w:r>
        <w:rPr>
          <w:sz w:val="22"/>
        </w:rPr>
        <w:t>with</w:t>
      </w:r>
    </w:p>
    <w:p>
      <w:pPr>
        <w:pStyle w:val="BodyText"/>
        <w:spacing w:before="23"/>
        <w:ind w:left="2160"/>
        <w:jc w:val="both"/>
      </w:pPr>
      <w:r>
        <w:rPr/>
        <w:t>certainty.</w:t>
      </w:r>
      <w:r>
        <w:rPr>
          <w:spacing w:val="-7"/>
        </w:rPr>
        <w:t> </w:t>
      </w:r>
      <w:r>
        <w:rPr/>
        <w:t>Typically,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yield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short-term</w:t>
      </w:r>
      <w:r>
        <w:rPr>
          <w:spacing w:val="-9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bonds,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56" w:lineRule="auto" w:before="22"/>
        <w:ind w:left="2160" w:right="1674"/>
        <w:jc w:val="both"/>
      </w:pPr>
      <w:r>
        <w:rPr/>
        <w:t>U.S.</w:t>
      </w:r>
      <w:r>
        <w:rPr>
          <w:spacing w:val="-8"/>
        </w:rPr>
        <w:t> </w:t>
      </w:r>
      <w:r>
        <w:rPr/>
        <w:t>Treasury</w:t>
      </w:r>
      <w:r>
        <w:rPr>
          <w:spacing w:val="-9"/>
        </w:rPr>
        <w:t> </w:t>
      </w:r>
      <w:r>
        <w:rPr/>
        <w:t>bills.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baseline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investors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compare</w:t>
      </w:r>
      <w:r>
        <w:rPr>
          <w:spacing w:val="-5"/>
        </w:rPr>
        <w:t> </w:t>
      </w:r>
      <w:r>
        <w:rPr/>
        <w:t>against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expected returns of</w:t>
      </w:r>
      <w:r>
        <w:rPr>
          <w:spacing w:val="-3"/>
        </w:rPr>
        <w:t> </w:t>
      </w:r>
      <w:r>
        <w:rPr/>
        <w:t>risky</w:t>
      </w:r>
      <w:r>
        <w:rPr>
          <w:spacing w:val="1"/>
        </w:rPr>
        <w:t> </w:t>
      </w:r>
      <w:r>
        <w:rPr/>
        <w:t>assets.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59" w:lineRule="auto" w:before="4" w:after="0"/>
        <w:ind w:left="2160" w:right="2213" w:hanging="360"/>
        <w:jc w:val="both"/>
        <w:rPr>
          <w:sz w:val="22"/>
        </w:rPr>
      </w:pPr>
      <w:r>
        <w:rPr>
          <w:b/>
          <w:sz w:val="24"/>
        </w:rPr>
        <w:t>Well-Diversified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Portfolios:</w:t>
      </w:r>
      <w:r>
        <w:rPr>
          <w:b/>
          <w:spacing w:val="-5"/>
          <w:sz w:val="24"/>
        </w:rPr>
        <w:t> </w:t>
      </w:r>
      <w:r>
        <w:rPr>
          <w:sz w:val="22"/>
        </w:rPr>
        <w:t>Investors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achieve</w:t>
      </w:r>
      <w:r>
        <w:rPr>
          <w:spacing w:val="-10"/>
          <w:sz w:val="22"/>
        </w:rPr>
        <w:t> </w:t>
      </w:r>
      <w:r>
        <w:rPr>
          <w:sz w:val="22"/>
        </w:rPr>
        <w:t>full</w:t>
      </w:r>
      <w:r>
        <w:rPr>
          <w:spacing w:val="-9"/>
          <w:sz w:val="22"/>
        </w:rPr>
        <w:t> </w:t>
      </w:r>
      <w:r>
        <w:rPr>
          <w:sz w:val="22"/>
        </w:rPr>
        <w:t>diversification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holding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well-</w:t>
      </w:r>
      <w:r>
        <w:rPr>
          <w:spacing w:val="-47"/>
          <w:sz w:val="22"/>
        </w:rPr>
        <w:t> </w:t>
      </w:r>
      <w:r>
        <w:rPr>
          <w:sz w:val="22"/>
        </w:rPr>
        <w:t>diversified</w:t>
      </w:r>
      <w:r>
        <w:rPr>
          <w:spacing w:val="-5"/>
          <w:sz w:val="22"/>
        </w:rPr>
        <w:t> </w:t>
      </w:r>
      <w:r>
        <w:rPr>
          <w:sz w:val="22"/>
        </w:rPr>
        <w:t>portfolio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assets.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words,</w:t>
      </w:r>
      <w:r>
        <w:rPr>
          <w:spacing w:val="-8"/>
          <w:sz w:val="22"/>
        </w:rPr>
        <w:t> </w:t>
      </w:r>
      <w:r>
        <w:rPr>
          <w:sz w:val="22"/>
        </w:rPr>
        <w:t>investors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eliminate</w:t>
      </w:r>
      <w:r>
        <w:rPr>
          <w:spacing w:val="-3"/>
          <w:sz w:val="22"/>
        </w:rPr>
        <w:t> </w:t>
      </w:r>
      <w:r>
        <w:rPr>
          <w:sz w:val="22"/>
        </w:rPr>
        <w:t>unsystematic</w:t>
      </w:r>
      <w:r>
        <w:rPr>
          <w:spacing w:val="-5"/>
          <w:sz w:val="22"/>
        </w:rPr>
        <w:t> </w:t>
      </w:r>
      <w:r>
        <w:rPr>
          <w:sz w:val="22"/>
        </w:rPr>
        <w:t>or</w:t>
      </w:r>
    </w:p>
    <w:p>
      <w:pPr>
        <w:pStyle w:val="BodyText"/>
        <w:spacing w:before="1"/>
        <w:ind w:left="2160"/>
        <w:jc w:val="both"/>
      </w:pPr>
      <w:r>
        <w:rPr/>
        <w:t>idiosyncratic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diversification,</w:t>
      </w:r>
      <w:r>
        <w:rPr>
          <w:spacing w:val="-7"/>
        </w:rPr>
        <w:t> </w:t>
      </w:r>
      <w:r>
        <w:rPr/>
        <w:t>leaving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systematic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pricing</w:t>
      </w:r>
      <w:r>
        <w:rPr>
          <w:spacing w:val="-7"/>
        </w:rPr>
        <w:t> </w:t>
      </w:r>
      <w:r>
        <w:rPr/>
        <w:t>assets.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</w:tabs>
        <w:spacing w:line="259" w:lineRule="auto" w:before="19" w:after="0"/>
        <w:ind w:left="2160" w:right="1626" w:hanging="360"/>
        <w:jc w:val="left"/>
        <w:rPr>
          <w:sz w:val="22"/>
        </w:rPr>
      </w:pPr>
      <w:r>
        <w:rPr>
          <w:b/>
          <w:sz w:val="24"/>
        </w:rPr>
        <w:t>Linear Relationship: </w:t>
      </w:r>
      <w:r>
        <w:rPr>
          <w:sz w:val="22"/>
        </w:rPr>
        <w:t>CAPM assumes a linear relationship between the expected return of an</w:t>
      </w:r>
      <w:r>
        <w:rPr>
          <w:spacing w:val="1"/>
          <w:sz w:val="22"/>
        </w:rPr>
        <w:t> </w:t>
      </w:r>
      <w:r>
        <w:rPr>
          <w:sz w:val="22"/>
        </w:rPr>
        <w:t>asset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beta</w:t>
      </w:r>
      <w:r>
        <w:rPr>
          <w:spacing w:val="-5"/>
          <w:sz w:val="22"/>
        </w:rPr>
        <w:t> </w:t>
      </w:r>
      <w:r>
        <w:rPr>
          <w:sz w:val="22"/>
        </w:rPr>
        <w:t>(systematic</w:t>
      </w:r>
      <w:r>
        <w:rPr>
          <w:spacing w:val="-5"/>
          <w:sz w:val="22"/>
        </w:rPr>
        <w:t> </w:t>
      </w:r>
      <w:r>
        <w:rPr>
          <w:sz w:val="22"/>
        </w:rPr>
        <w:t>risk).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assumption</w:t>
      </w:r>
      <w:r>
        <w:rPr>
          <w:spacing w:val="-6"/>
          <w:sz w:val="22"/>
        </w:rPr>
        <w:t> </w:t>
      </w:r>
      <w:r>
        <w:rPr>
          <w:sz w:val="22"/>
        </w:rPr>
        <w:t>implies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investors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compensated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taking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systematic risk</w:t>
      </w:r>
      <w:r>
        <w:rPr>
          <w:spacing w:val="-1"/>
          <w:sz w:val="22"/>
        </w:rPr>
        <w:t> </w:t>
      </w:r>
      <w:r>
        <w:rPr>
          <w:sz w:val="22"/>
        </w:rPr>
        <w:t>but not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unsystematic risk.</w:t>
      </w:r>
    </w:p>
    <w:p>
      <w:pPr>
        <w:pStyle w:val="BodyText"/>
        <w:spacing w:line="259" w:lineRule="auto" w:before="160"/>
        <w:ind w:left="1440" w:right="1668"/>
        <w:jc w:val="both"/>
      </w:pPr>
      <w:r>
        <w:rPr/>
        <w:t>While these assumptions simplify the model and its application, they may not always hold true in real-</w:t>
      </w:r>
      <w:r>
        <w:rPr>
          <w:spacing w:val="-48"/>
        </w:rPr>
        <w:t> </w:t>
      </w:r>
      <w:r>
        <w:rPr/>
        <w:t>world</w:t>
      </w:r>
      <w:r>
        <w:rPr>
          <w:spacing w:val="-9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markets.</w:t>
      </w:r>
      <w:r>
        <w:rPr>
          <w:spacing w:val="-6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CAPM</w:t>
      </w:r>
      <w:r>
        <w:rPr>
          <w:spacing w:val="-5"/>
        </w:rPr>
        <w:t> </w:t>
      </w:r>
      <w:r>
        <w:rPr/>
        <w:t>remains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assets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opportunities.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3"/>
        <w:jc w:val="both"/>
      </w:pPr>
      <w:r>
        <w:rPr>
          <w:color w:val="4471C4"/>
        </w:rPr>
        <w:t>Formula</w:t>
      </w:r>
      <w:r>
        <w:rPr>
          <w:color w:val="4471C4"/>
          <w:spacing w:val="-5"/>
        </w:rPr>
        <w:t> </w:t>
      </w:r>
      <w:r>
        <w:rPr>
          <w:color w:val="4471C4"/>
        </w:rPr>
        <w:t>to</w:t>
      </w:r>
      <w:r>
        <w:rPr>
          <w:color w:val="4471C4"/>
          <w:spacing w:val="-6"/>
        </w:rPr>
        <w:t> </w:t>
      </w:r>
      <w:r>
        <w:rPr>
          <w:color w:val="4471C4"/>
        </w:rPr>
        <w:t>calculate</w:t>
      </w:r>
      <w:r>
        <w:rPr>
          <w:color w:val="4471C4"/>
          <w:spacing w:val="-9"/>
        </w:rPr>
        <w:t> </w:t>
      </w:r>
      <w:r>
        <w:rPr>
          <w:color w:val="4471C4"/>
        </w:rPr>
        <w:t>CAPM:</w:t>
      </w:r>
    </w:p>
    <w:p>
      <w:pPr>
        <w:pStyle w:val="BodyText"/>
        <w:spacing w:before="186"/>
        <w:ind w:left="2160"/>
        <w:jc w:val="both"/>
      </w:pPr>
      <w:r>
        <w:rPr/>
        <w:t>The</w:t>
      </w:r>
      <w:r>
        <w:rPr>
          <w:spacing w:val="-3"/>
        </w:rPr>
        <w:t> </w:t>
      </w:r>
      <w:r>
        <w:rPr/>
        <w:t>CAPM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411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5"/>
        <w:gridCol w:w="2552"/>
        <w:gridCol w:w="3438"/>
      </w:tblGrid>
      <w:tr>
        <w:trPr>
          <w:trHeight w:val="287" w:hRule="atLeast"/>
        </w:trPr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D9D9E2"/>
              <w:bottom w:val="single" w:sz="4" w:space="0" w:color="D9D9E2"/>
            </w:tcBorders>
          </w:tcPr>
          <w:p>
            <w:pPr>
              <w:pStyle w:val="TableParagraph"/>
              <w:spacing w:line="263" w:lineRule="exact" w:before="5"/>
              <w:ind w:left="2" w:right="-1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Cambria" w:hAnsi="Cambria"/>
                <w:b/>
                <w:i/>
                <w:sz w:val="24"/>
              </w:rPr>
              <w:t>E</w:t>
            </w:r>
            <w:r>
              <w:rPr>
                <w:rFonts w:ascii="Times New Roman" w:hAnsi="Times New Roman"/>
                <w:b/>
                <w:sz w:val="24"/>
              </w:rPr>
              <w:t>(</w:t>
            </w:r>
            <w:r>
              <w:rPr>
                <w:rFonts w:ascii="Cambria" w:hAnsi="Cambria"/>
                <w:b/>
                <w:i/>
                <w:sz w:val="24"/>
              </w:rPr>
              <w:t>Ri</w:t>
            </w:r>
            <w:r>
              <w:rPr>
                <w:rFonts w:ascii="Times New Roman" w:hAnsi="Times New Roman"/>
                <w:b/>
                <w:sz w:val="24"/>
              </w:rPr>
              <w:t>)=</w:t>
            </w:r>
            <w:r>
              <w:rPr>
                <w:rFonts w:ascii="Cambria" w:hAnsi="Cambria"/>
                <w:b/>
                <w:i/>
                <w:sz w:val="24"/>
              </w:rPr>
              <w:t>Rf</w:t>
            </w:r>
            <w:r>
              <w:rPr>
                <w:rFonts w:ascii="Times New Roman" w:hAnsi="Times New Roman"/>
                <w:b/>
                <w:sz w:val="24"/>
              </w:rPr>
              <w:t>+</w:t>
            </w:r>
            <w:r>
              <w:rPr>
                <w:rFonts w:ascii="Cambria" w:hAnsi="Cambria"/>
                <w:b/>
                <w:i/>
                <w:sz w:val="24"/>
              </w:rPr>
              <w:t>βi</w:t>
            </w:r>
            <w:r>
              <w:rPr>
                <w:rFonts w:ascii="Times New Roman" w:hAnsi="Times New Roman"/>
                <w:b/>
                <w:sz w:val="24"/>
              </w:rPr>
              <w:t>×(</w:t>
            </w:r>
            <w:r>
              <w:rPr>
                <w:rFonts w:ascii="Cambria" w:hAnsi="Cambria"/>
                <w:b/>
                <w:i/>
                <w:sz w:val="24"/>
              </w:rPr>
              <w:t>E</w:t>
            </w:r>
            <w:r>
              <w:rPr>
                <w:rFonts w:ascii="Times New Roman" w:hAnsi="Times New Roman"/>
                <w:b/>
                <w:sz w:val="24"/>
              </w:rPr>
              <w:t>(</w:t>
            </w:r>
            <w:r>
              <w:rPr>
                <w:rFonts w:ascii="Cambria" w:hAnsi="Cambria"/>
                <w:b/>
                <w:i/>
                <w:sz w:val="24"/>
              </w:rPr>
              <w:t>Rm</w:t>
            </w:r>
            <w:r>
              <w:rPr>
                <w:rFonts w:ascii="Times New Roman" w:hAnsi="Times New Roman"/>
                <w:b/>
                <w:sz w:val="24"/>
              </w:rPr>
              <w:t>)−</w:t>
            </w:r>
            <w:r>
              <w:rPr>
                <w:rFonts w:ascii="Cambria" w:hAnsi="Cambria"/>
                <w:b/>
                <w:i/>
                <w:sz w:val="24"/>
              </w:rPr>
              <w:t>Rf</w:t>
            </w:r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34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440"/>
      </w:pPr>
      <w:r>
        <w:rPr/>
        <w:pict>
          <v:shape style="position:absolute;margin-left:108.020004pt;margin-top:82.643623pt;width:29.55pt;height:13.45pt;mso-position-horizontal-relative:page;mso-position-vertical-relative:paragraph;z-index:-15860224" coordorigin="2160,1653" coordsize="591,269" path="m2165,1658l2160,1658,2160,1917,2160,1922,2165,1922,2165,1917,2165,1658xm2165,1653l2160,1653,2160,1658,2165,1658,2165,1653xm2751,1658l2746,1658,2746,1917,2165,1917,2165,1922,2746,1922,2751,1922,2751,1917,2751,1658xm2751,1653l2746,1653,2165,1653,2165,1658,2746,1658,2751,1658,2751,1653xe" filled="true" fillcolor="#d9d9e2" stroked="false">
            <v:path arrowok="t"/>
            <v:fill type="solid"/>
            <w10:wrap type="none"/>
          </v:shape>
        </w:pict>
      </w:r>
      <w:r>
        <w:rPr/>
        <w:t>Where: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392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191"/>
        <w:gridCol w:w="277"/>
        <w:gridCol w:w="8202"/>
      </w:tblGrid>
      <w:tr>
        <w:trPr>
          <w:trHeight w:val="277" w:hRule="atLeast"/>
        </w:trPr>
        <w:tc>
          <w:tcPr>
            <w:tcW w:w="77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31"/>
              <w:ind w:left="14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  <w:p>
            <w:pPr>
              <w:pStyle w:val="TableParagraph"/>
              <w:spacing w:before="48"/>
              <w:ind w:left="14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  <w:p>
            <w:pPr>
              <w:pStyle w:val="TableParagraph"/>
              <w:spacing w:line="229" w:lineRule="exact" w:before="48"/>
              <w:ind w:left="14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  <w:tc>
          <w:tcPr>
            <w:tcW w:w="468" w:type="dxa"/>
            <w:gridSpan w:val="2"/>
            <w:tcBorders>
              <w:top w:val="double" w:sz="1" w:space="0" w:color="D9D9E2"/>
              <w:bottom w:val="double" w:sz="1" w:space="0" w:color="D9D9E2"/>
            </w:tcBorders>
          </w:tcPr>
          <w:p>
            <w:pPr>
              <w:pStyle w:val="TableParagraph"/>
              <w:spacing w:line="234" w:lineRule="exact" w:before="23"/>
              <w:ind w:left="2" w:right="-15"/>
              <w:rPr>
                <w:rFonts w:ascii="Times New Roman"/>
                <w:sz w:val="22"/>
              </w:rPr>
            </w:pPr>
            <w:r>
              <w:rPr>
                <w:rFonts w:ascii="Cambria"/>
                <w:i/>
                <w:sz w:val="22"/>
              </w:rPr>
              <w:t>E</w:t>
            </w:r>
            <w:r>
              <w:rPr>
                <w:rFonts w:ascii="Times New Roman"/>
                <w:sz w:val="22"/>
              </w:rPr>
              <w:t>(</w:t>
            </w:r>
            <w:r>
              <w:rPr>
                <w:rFonts w:ascii="Cambria"/>
                <w:i/>
                <w:sz w:val="22"/>
              </w:rPr>
              <w:t>Ri</w:t>
            </w:r>
            <w:r>
              <w:rPr>
                <w:rFonts w:ascii="Times New Roman"/>
                <w:sz w:val="22"/>
              </w:rPr>
              <w:t>)</w:t>
            </w:r>
          </w:p>
        </w:tc>
        <w:tc>
          <w:tcPr>
            <w:tcW w:w="820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2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investment.</w:t>
            </w:r>
          </w:p>
        </w:tc>
      </w:tr>
      <w:tr>
        <w:trPr>
          <w:trHeight w:val="291" w:hRule="atLeast"/>
        </w:trPr>
        <w:tc>
          <w:tcPr>
            <w:tcW w:w="7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" w:type="dxa"/>
            <w:tcBorders>
              <w:top w:val="double" w:sz="1" w:space="0" w:color="D9D9E2"/>
              <w:bottom w:val="double" w:sz="1" w:space="0" w:color="D9D9E2"/>
            </w:tcBorders>
          </w:tcPr>
          <w:p>
            <w:pPr>
              <w:pStyle w:val="TableParagraph"/>
              <w:spacing w:line="248" w:lineRule="exact" w:before="23"/>
              <w:ind w:left="2" w:right="-15"/>
              <w:jc w:val="center"/>
              <w:rPr>
                <w:rFonts w:ascii="Cambria"/>
                <w:i/>
                <w:sz w:val="22"/>
              </w:rPr>
            </w:pPr>
            <w:r>
              <w:rPr>
                <w:rFonts w:ascii="Cambria"/>
                <w:i/>
                <w:sz w:val="22"/>
              </w:rPr>
              <w:t>Rf</w:t>
            </w:r>
          </w:p>
        </w:tc>
        <w:tc>
          <w:tcPr>
            <w:tcW w:w="8479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88" w:lineRule="exact"/>
              <w:ind w:left="70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risk-free 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(typically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yield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bonds).</w:t>
            </w:r>
          </w:p>
          <w:p>
            <w:pPr>
              <w:pStyle w:val="TableParagraph"/>
              <w:spacing w:line="265" w:lineRule="exact"/>
              <w:ind w:left="53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investment,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volatility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systematic risk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67" w:hRule="atLeast"/>
        </w:trPr>
        <w:tc>
          <w:tcPr>
            <w:tcW w:w="7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" w:type="dxa"/>
            <w:tcBorders>
              <w:top w:val="double" w:sz="1" w:space="0" w:color="D9D9E2"/>
            </w:tcBorders>
          </w:tcPr>
          <w:p>
            <w:pPr>
              <w:pStyle w:val="TableParagraph"/>
              <w:spacing w:line="237" w:lineRule="exact" w:before="10"/>
              <w:ind w:right="2"/>
              <w:jc w:val="center"/>
              <w:rPr>
                <w:rFonts w:ascii="Cambria" w:hAnsi="Cambria"/>
                <w:i/>
                <w:sz w:val="22"/>
              </w:rPr>
            </w:pPr>
            <w:r>
              <w:rPr>
                <w:rFonts w:ascii="Cambria" w:hAnsi="Cambria"/>
                <w:i/>
                <w:sz w:val="22"/>
              </w:rPr>
              <w:t>βi</w:t>
            </w:r>
          </w:p>
        </w:tc>
        <w:tc>
          <w:tcPr>
            <w:tcW w:w="847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9443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2"/>
              <w:ind w:left="77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overall market.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  <w:tab w:pos="776" w:val="left" w:leader="none"/>
              </w:tabs>
              <w:spacing w:line="290" w:lineRule="atLeast" w:before="0" w:after="0"/>
              <w:ind w:left="770" w:right="350" w:hanging="360"/>
              <w:jc w:val="left"/>
              <w:rPr>
                <w:sz w:val="22"/>
              </w:rPr>
            </w:pPr>
            <w:r>
              <w:rPr>
                <w:rFonts w:ascii="Cambria" w:hAnsi="Cambria"/>
                <w:i/>
                <w:sz w:val="22"/>
              </w:rPr>
              <w:t>E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Cambria" w:hAnsi="Cambria"/>
                <w:i/>
                <w:sz w:val="22"/>
              </w:rPr>
              <w:t>Rm</w:t>
            </w:r>
            <w:r>
              <w:rPr>
                <w:rFonts w:ascii="Times New Roman" w:hAnsi="Times New Roman"/>
                <w:sz w:val="22"/>
              </w:rPr>
              <w:t>) </w:t>
            </w:r>
            <w:r>
              <w:rPr>
                <w:sz w:val="22"/>
              </w:rPr>
              <w:t>is the expected return on the market portfolio (usually represented by a market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S&amp;P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500).</w:t>
            </w:r>
          </w:p>
        </w:tc>
      </w:tr>
    </w:tbl>
    <w:p>
      <w:pPr>
        <w:spacing w:after="0" w:line="290" w:lineRule="atLeast"/>
        <w:jc w:val="left"/>
        <w:rPr>
          <w:sz w:val="22"/>
        </w:rPr>
        <w:sectPr>
          <w:pgSz w:w="12240" w:h="15840"/>
          <w:pgMar w:top="14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125"/>
        <w:rPr>
          <w:sz w:val="20"/>
        </w:rPr>
      </w:pPr>
      <w:r>
        <w:rPr>
          <w:sz w:val="20"/>
        </w:rPr>
        <w:drawing>
          <wp:inline distT="0" distB="0" distL="0" distR="0">
            <wp:extent cx="6285183" cy="40957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18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51"/>
      </w:pPr>
      <w:r>
        <w:rPr>
          <w:color w:val="4471C4"/>
        </w:rPr>
        <w:t>How</w:t>
      </w:r>
      <w:r>
        <w:rPr>
          <w:color w:val="4471C4"/>
          <w:spacing w:val="-6"/>
        </w:rPr>
        <w:t> </w:t>
      </w:r>
      <w:r>
        <w:rPr>
          <w:color w:val="4471C4"/>
        </w:rPr>
        <w:t>to</w:t>
      </w:r>
      <w:r>
        <w:rPr>
          <w:color w:val="4471C4"/>
          <w:spacing w:val="-4"/>
        </w:rPr>
        <w:t> </w:t>
      </w:r>
      <w:r>
        <w:rPr>
          <w:color w:val="4471C4"/>
        </w:rPr>
        <w:t>calculate</w:t>
      </w:r>
      <w:r>
        <w:rPr>
          <w:color w:val="4471C4"/>
          <w:spacing w:val="-6"/>
        </w:rPr>
        <w:t> </w:t>
      </w:r>
      <w:r>
        <w:rPr>
          <w:color w:val="4471C4"/>
        </w:rPr>
        <w:t>Beta?</w:t>
      </w:r>
    </w:p>
    <w:p>
      <w:pPr>
        <w:pStyle w:val="Heading3"/>
        <w:ind w:left="1800"/>
      </w:pPr>
      <w:r>
        <w:rPr/>
        <w:t>Beta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Covariance/</w:t>
      </w:r>
      <w:r>
        <w:rPr>
          <w:spacing w:val="-7"/>
        </w:rPr>
        <w:t> </w:t>
      </w:r>
      <w:r>
        <w:rPr/>
        <w:t>Variance</w:t>
      </w:r>
    </w:p>
    <w:p>
      <w:pPr>
        <w:pStyle w:val="BodyText"/>
        <w:spacing w:before="182"/>
        <w:ind w:left="1440"/>
      </w:pPr>
      <w:r>
        <w:rPr/>
        <w:t>Where:</w:t>
      </w:r>
    </w:p>
    <w:p>
      <w:pPr>
        <w:pStyle w:val="BodyText"/>
        <w:spacing w:line="403" w:lineRule="auto" w:before="180"/>
        <w:ind w:left="1440" w:right="4682"/>
      </w:pPr>
      <w:r>
        <w:rPr/>
        <w:t>Covariance = Measure of stocks return relative to that of the market</w:t>
      </w:r>
      <w:r>
        <w:rPr>
          <w:spacing w:val="-47"/>
        </w:rPr>
        <w:t> </w:t>
      </w:r>
      <w:r>
        <w:rPr/>
        <w:t>Variance=Measure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moves</w:t>
      </w:r>
      <w:r>
        <w:rPr>
          <w:spacing w:val="-5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mean</w:t>
      </w:r>
    </w:p>
    <w:p>
      <w:pPr>
        <w:pStyle w:val="BodyText"/>
      </w:pPr>
    </w:p>
    <w:p>
      <w:pPr>
        <w:pStyle w:val="Heading2"/>
        <w:spacing w:before="181"/>
      </w:pPr>
      <w:r>
        <w:rPr>
          <w:color w:val="4471C4"/>
        </w:rPr>
        <w:t>Why</w:t>
      </w:r>
      <w:r>
        <w:rPr>
          <w:color w:val="4471C4"/>
          <w:spacing w:val="-5"/>
        </w:rPr>
        <w:t> </w:t>
      </w:r>
      <w:r>
        <w:rPr>
          <w:color w:val="4471C4"/>
        </w:rPr>
        <w:t>is</w:t>
      </w:r>
      <w:r>
        <w:rPr>
          <w:color w:val="4471C4"/>
          <w:spacing w:val="-6"/>
        </w:rPr>
        <w:t> </w:t>
      </w:r>
      <w:r>
        <w:rPr>
          <w:color w:val="4471C4"/>
        </w:rPr>
        <w:t>CAPM</w:t>
      </w:r>
      <w:r>
        <w:rPr>
          <w:color w:val="4471C4"/>
          <w:spacing w:val="-4"/>
        </w:rPr>
        <w:t> </w:t>
      </w:r>
      <w:r>
        <w:rPr>
          <w:color w:val="4471C4"/>
        </w:rPr>
        <w:t>important?</w:t>
      </w:r>
    </w:p>
    <w:p>
      <w:pPr>
        <w:pStyle w:val="BodyText"/>
        <w:spacing w:before="183"/>
        <w:ind w:left="1440"/>
      </w:pPr>
      <w:r>
        <w:rPr/>
        <w:t>The</w:t>
      </w:r>
      <w:r>
        <w:rPr>
          <w:spacing w:val="-2"/>
        </w:rPr>
        <w:t> </w:t>
      </w:r>
      <w:r>
        <w:rPr/>
        <w:t>Capital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Pricing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(CAPM)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reasons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finance: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59" w:lineRule="auto" w:before="180" w:after="0"/>
        <w:ind w:left="2160" w:right="1516" w:hanging="360"/>
        <w:jc w:val="left"/>
        <w:rPr>
          <w:sz w:val="22"/>
        </w:rPr>
      </w:pPr>
      <w:r>
        <w:rPr>
          <w:b/>
          <w:sz w:val="24"/>
        </w:rPr>
        <w:t>Estimation of Expected Returns: </w:t>
      </w:r>
      <w:r>
        <w:rPr>
          <w:sz w:val="22"/>
        </w:rPr>
        <w:t>CAPM provides a framework for estimating the expected</w:t>
      </w:r>
      <w:r>
        <w:rPr>
          <w:spacing w:val="1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systematic</w:t>
      </w:r>
      <w:r>
        <w:rPr>
          <w:spacing w:val="-4"/>
          <w:sz w:val="22"/>
        </w:rPr>
        <w:t> </w:t>
      </w:r>
      <w:r>
        <w:rPr>
          <w:sz w:val="22"/>
        </w:rPr>
        <w:t>risk,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measured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beta.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crucial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investors</w:t>
      </w:r>
      <w:r>
        <w:rPr>
          <w:spacing w:val="-47"/>
          <w:sz w:val="22"/>
        </w:rPr>
        <w:t> </w:t>
      </w:r>
      <w:r>
        <w:rPr>
          <w:sz w:val="22"/>
        </w:rPr>
        <w:t>and financial analysts in making investment decisions and assessing the potential returns of</w:t>
      </w:r>
      <w:r>
        <w:rPr>
          <w:spacing w:val="1"/>
          <w:sz w:val="22"/>
        </w:rPr>
        <w:t> </w:t>
      </w:r>
      <w:r>
        <w:rPr>
          <w:sz w:val="22"/>
        </w:rPr>
        <w:t>various assets.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67" w:lineRule="exact" w:before="0" w:after="0"/>
        <w:ind w:left="2160" w:right="0" w:hanging="361"/>
        <w:jc w:val="left"/>
        <w:rPr>
          <w:sz w:val="22"/>
        </w:rPr>
      </w:pPr>
      <w:r>
        <w:rPr>
          <w:b/>
          <w:sz w:val="22"/>
        </w:rPr>
        <w:t>Cost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Capital:</w:t>
      </w:r>
      <w:r>
        <w:rPr>
          <w:b/>
          <w:spacing w:val="-4"/>
          <w:sz w:val="22"/>
        </w:rPr>
        <w:t> </w:t>
      </w:r>
      <w:r>
        <w:rPr>
          <w:sz w:val="22"/>
        </w:rPr>
        <w:t>CAPM</w:t>
      </w:r>
      <w:r>
        <w:rPr>
          <w:spacing w:val="-6"/>
          <w:sz w:val="22"/>
        </w:rPr>
        <w:t> </w:t>
      </w:r>
      <w:r>
        <w:rPr>
          <w:sz w:val="22"/>
        </w:rPr>
        <w:t>helps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determining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equity,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essential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calculating</w:t>
      </w:r>
    </w:p>
    <w:p>
      <w:pPr>
        <w:pStyle w:val="BodyText"/>
        <w:spacing w:before="22"/>
        <w:ind w:left="2160"/>
      </w:pP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capital</w:t>
      </w:r>
      <w:r>
        <w:rPr>
          <w:spacing w:val="-7"/>
        </w:rPr>
        <w:t> </w:t>
      </w:r>
      <w:r>
        <w:rPr/>
        <w:t>(WACC)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when</w:t>
      </w:r>
    </w:p>
    <w:p>
      <w:pPr>
        <w:spacing w:after="0"/>
        <w:sectPr>
          <w:pgSz w:w="12240" w:h="15840"/>
          <w:pgMar w:top="1500" w:bottom="280" w:left="0" w:right="0"/>
        </w:sectPr>
      </w:pPr>
    </w:p>
    <w:p>
      <w:pPr>
        <w:pStyle w:val="BodyText"/>
        <w:spacing w:line="259" w:lineRule="auto" w:before="39"/>
        <w:ind w:left="2160" w:right="1393"/>
      </w:pPr>
      <w:r>
        <w:rPr/>
        <w:t>evaluating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investments,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their cost</w:t>
      </w:r>
      <w:r>
        <w:rPr>
          <w:spacing w:val="-2"/>
        </w:rPr>
        <w:t> </w:t>
      </w:r>
      <w:r>
        <w:rPr/>
        <w:t>of capital.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1" w:after="0"/>
        <w:ind w:left="2160" w:right="0" w:hanging="361"/>
        <w:jc w:val="left"/>
        <w:rPr>
          <w:sz w:val="22"/>
        </w:rPr>
      </w:pPr>
      <w:r>
        <w:rPr>
          <w:b/>
          <w:sz w:val="24"/>
        </w:rPr>
        <w:t>Portfolio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CAPM</w:t>
      </w:r>
      <w:r>
        <w:rPr>
          <w:spacing w:val="-8"/>
          <w:sz w:val="22"/>
        </w:rPr>
        <w:t> </w:t>
      </w:r>
      <w:r>
        <w:rPr>
          <w:sz w:val="22"/>
        </w:rPr>
        <w:t>aids</w:t>
      </w:r>
      <w:r>
        <w:rPr>
          <w:spacing w:val="-6"/>
          <w:sz w:val="22"/>
        </w:rPr>
        <w:t> </w:t>
      </w:r>
      <w:r>
        <w:rPr>
          <w:sz w:val="22"/>
        </w:rPr>
        <w:t>portfolio</w:t>
      </w:r>
      <w:r>
        <w:rPr>
          <w:spacing w:val="-7"/>
          <w:sz w:val="22"/>
        </w:rPr>
        <w:t> </w:t>
      </w:r>
      <w:r>
        <w:rPr>
          <w:sz w:val="22"/>
        </w:rPr>
        <w:t>managers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constructing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optimizing</w:t>
      </w:r>
    </w:p>
    <w:p>
      <w:pPr>
        <w:pStyle w:val="BodyText"/>
        <w:spacing w:line="259" w:lineRule="auto" w:before="22"/>
        <w:ind w:left="2160" w:right="1393"/>
      </w:pPr>
      <w:r>
        <w:rPr/>
        <w:t>portfolios. By using CAPM, portfolio managers can determine the appropriate mix of assets that</w:t>
      </w:r>
      <w:r>
        <w:rPr>
          <w:spacing w:val="1"/>
        </w:rPr>
        <w:t> </w:t>
      </w:r>
      <w:r>
        <w:rPr/>
        <w:t>maximizes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minimizes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desired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56" w:lineRule="auto" w:before="0" w:after="0"/>
        <w:ind w:left="2160" w:right="1613" w:hanging="360"/>
        <w:jc w:val="left"/>
        <w:rPr>
          <w:sz w:val="22"/>
        </w:rPr>
      </w:pPr>
      <w:r>
        <w:rPr>
          <w:b/>
          <w:sz w:val="24"/>
        </w:rPr>
        <w:t>Risk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CAPM</w:t>
      </w:r>
      <w:r>
        <w:rPr>
          <w:spacing w:val="-5"/>
          <w:sz w:val="22"/>
        </w:rPr>
        <w:t> </w:t>
      </w:r>
      <w:r>
        <w:rPr>
          <w:sz w:val="22"/>
        </w:rPr>
        <w:t>assists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managing</w:t>
      </w:r>
      <w:r>
        <w:rPr>
          <w:spacing w:val="-4"/>
          <w:sz w:val="22"/>
        </w:rPr>
        <w:t> </w:t>
      </w:r>
      <w:r>
        <w:rPr>
          <w:sz w:val="22"/>
        </w:rPr>
        <w:t>systematic</w:t>
      </w:r>
      <w:r>
        <w:rPr>
          <w:spacing w:val="-2"/>
          <w:sz w:val="22"/>
        </w:rPr>
        <w:t> </w:t>
      </w:r>
      <w:r>
        <w:rPr>
          <w:sz w:val="22"/>
        </w:rPr>
        <w:t>risk,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risk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diversified</w:t>
      </w:r>
      <w:r>
        <w:rPr>
          <w:spacing w:val="-3"/>
          <w:sz w:val="22"/>
        </w:rPr>
        <w:t> </w:t>
      </w:r>
      <w:r>
        <w:rPr>
          <w:sz w:val="22"/>
        </w:rPr>
        <w:t>away.</w:t>
      </w:r>
      <w:r>
        <w:rPr>
          <w:spacing w:val="-3"/>
          <w:sz w:val="22"/>
        </w:rPr>
        <w:t> </w:t>
      </w:r>
      <w:r>
        <w:rPr>
          <w:sz w:val="22"/>
        </w:rPr>
        <w:t>Investors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CAPM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are</w:t>
      </w:r>
    </w:p>
    <w:p>
      <w:pPr>
        <w:pStyle w:val="BodyText"/>
        <w:spacing w:before="4"/>
        <w:ind w:left="2160"/>
      </w:pPr>
      <w:r>
        <w:rPr/>
        <w:t>undervalued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overvalued</w:t>
      </w:r>
      <w:r>
        <w:rPr>
          <w:spacing w:val="-8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risk.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59" w:lineRule="auto" w:before="22" w:after="0"/>
        <w:ind w:left="2160" w:right="1598" w:hanging="360"/>
        <w:jc w:val="left"/>
        <w:rPr>
          <w:sz w:val="22"/>
        </w:rPr>
      </w:pPr>
      <w:r>
        <w:rPr>
          <w:b/>
          <w:sz w:val="24"/>
        </w:rPr>
        <w:t>Benchmarking: </w:t>
      </w:r>
      <w:r>
        <w:rPr>
          <w:sz w:val="22"/>
        </w:rPr>
        <w:t>CAPM provides a benchmark against which the performance of investments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portfolios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evaluated.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comparing</w:t>
      </w:r>
      <w:r>
        <w:rPr>
          <w:spacing w:val="-5"/>
          <w:sz w:val="22"/>
        </w:rPr>
        <w:t> </w:t>
      </w:r>
      <w:r>
        <w:rPr>
          <w:sz w:val="22"/>
        </w:rPr>
        <w:t>actual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expected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predicted</w:t>
      </w:r>
      <w:r>
        <w:rPr>
          <w:spacing w:val="-47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CAPM,</w:t>
      </w:r>
      <w:r>
        <w:rPr>
          <w:spacing w:val="-3"/>
          <w:sz w:val="22"/>
        </w:rPr>
        <w:t> </w:t>
      </w:r>
      <w:r>
        <w:rPr>
          <w:sz w:val="22"/>
        </w:rPr>
        <w:t>investors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assess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investments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determine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</w:p>
    <w:p>
      <w:pPr>
        <w:pStyle w:val="BodyText"/>
        <w:spacing w:line="267" w:lineRule="exact"/>
        <w:ind w:left="2160"/>
      </w:pP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adequately</w:t>
      </w:r>
      <w:r>
        <w:rPr>
          <w:spacing w:val="-4"/>
        </w:rPr>
        <w:t> </w:t>
      </w:r>
      <w:r>
        <w:rPr/>
        <w:t>compensated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taken.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59" w:lineRule="auto" w:before="23" w:after="0"/>
        <w:ind w:left="2160" w:right="1457" w:hanging="360"/>
        <w:jc w:val="left"/>
        <w:rPr>
          <w:sz w:val="22"/>
        </w:rPr>
      </w:pPr>
      <w:r>
        <w:rPr>
          <w:b/>
          <w:sz w:val="24"/>
        </w:rPr>
        <w:t>Academic Research: </w:t>
      </w:r>
      <w:r>
        <w:rPr>
          <w:sz w:val="22"/>
        </w:rPr>
        <w:t>CAPM has been widely studied and serves as a foundational model in</w:t>
      </w:r>
      <w:r>
        <w:rPr>
          <w:spacing w:val="1"/>
          <w:sz w:val="22"/>
        </w:rPr>
        <w:t> </w:t>
      </w:r>
      <w:r>
        <w:rPr>
          <w:sz w:val="22"/>
        </w:rPr>
        <w:t>financial</w:t>
      </w:r>
      <w:r>
        <w:rPr>
          <w:spacing w:val="-5"/>
          <w:sz w:val="22"/>
        </w:rPr>
        <w:t> </w:t>
      </w:r>
      <w:r>
        <w:rPr>
          <w:sz w:val="22"/>
        </w:rPr>
        <w:t>economics.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contributed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modern</w:t>
      </w:r>
      <w:r>
        <w:rPr>
          <w:spacing w:val="-3"/>
          <w:sz w:val="22"/>
        </w:rPr>
        <w:t> </w:t>
      </w:r>
      <w:r>
        <w:rPr>
          <w:sz w:val="22"/>
        </w:rPr>
        <w:t>portfolio</w:t>
      </w:r>
      <w:r>
        <w:rPr>
          <w:spacing w:val="-2"/>
          <w:sz w:val="22"/>
        </w:rPr>
        <w:t> </w:t>
      </w:r>
      <w:r>
        <w:rPr>
          <w:sz w:val="22"/>
        </w:rPr>
        <w:t>theory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asset</w:t>
      </w:r>
      <w:r>
        <w:rPr>
          <w:spacing w:val="-47"/>
          <w:sz w:val="22"/>
        </w:rPr>
        <w:t> </w:t>
      </w:r>
      <w:r>
        <w:rPr>
          <w:sz w:val="22"/>
        </w:rPr>
        <w:t>pricing</w:t>
      </w:r>
      <w:r>
        <w:rPr>
          <w:spacing w:val="-2"/>
          <w:sz w:val="22"/>
        </w:rPr>
        <w:t> </w:t>
      </w:r>
      <w:r>
        <w:rPr>
          <w:sz w:val="22"/>
        </w:rPr>
        <w:t>models,</w:t>
      </w:r>
      <w:r>
        <w:rPr>
          <w:spacing w:val="-1"/>
          <w:sz w:val="22"/>
        </w:rPr>
        <w:t> </w:t>
      </w:r>
      <w:r>
        <w:rPr>
          <w:sz w:val="22"/>
        </w:rPr>
        <w:t>leading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-1"/>
          <w:sz w:val="22"/>
        </w:rPr>
        <w:t> </w:t>
      </w:r>
      <w:r>
        <w:rPr>
          <w:sz w:val="22"/>
        </w:rPr>
        <w:t>advancements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practice.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92" w:lineRule="exact" w:before="0" w:after="0"/>
        <w:ind w:left="2160" w:right="0" w:hanging="361"/>
        <w:jc w:val="left"/>
        <w:rPr>
          <w:sz w:val="22"/>
        </w:rPr>
      </w:pPr>
      <w:r>
        <w:rPr>
          <w:b/>
          <w:sz w:val="24"/>
        </w:rPr>
        <w:t>Regulatory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Purposes: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cases,</w:t>
      </w:r>
      <w:r>
        <w:rPr>
          <w:spacing w:val="-4"/>
          <w:sz w:val="22"/>
        </w:rPr>
        <w:t> </w:t>
      </w:r>
      <w:r>
        <w:rPr>
          <w:sz w:val="22"/>
        </w:rPr>
        <w:t>CAPM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similar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regulatory</w:t>
      </w:r>
    </w:p>
    <w:p>
      <w:pPr>
        <w:pStyle w:val="BodyText"/>
        <w:spacing w:line="259" w:lineRule="auto" w:before="24"/>
        <w:ind w:left="2160" w:right="1393"/>
      </w:pPr>
      <w:r>
        <w:rPr/>
        <w:t>purposes,</w:t>
      </w:r>
      <w:r>
        <w:rPr>
          <w:spacing w:val="-4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regulated</w:t>
      </w:r>
      <w:r>
        <w:rPr>
          <w:spacing w:val="-4"/>
        </w:rPr>
        <w:t> </w:t>
      </w:r>
      <w:r>
        <w:rPr/>
        <w:t>utilities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riskiness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institutions'</w:t>
      </w:r>
      <w:r>
        <w:rPr>
          <w:spacing w:val="-1"/>
        </w:rPr>
        <w:t> </w:t>
      </w:r>
      <w:r>
        <w:rPr/>
        <w:t>assets.</w:t>
      </w:r>
    </w:p>
    <w:p>
      <w:pPr>
        <w:pStyle w:val="BodyText"/>
        <w:spacing w:line="259" w:lineRule="auto" w:before="159"/>
        <w:ind w:left="1440" w:right="1393"/>
      </w:pPr>
      <w:r>
        <w:rPr/>
        <w:t>Overall,</w:t>
      </w:r>
      <w:r>
        <w:rPr>
          <w:spacing w:val="-8"/>
        </w:rPr>
        <w:t> </w:t>
      </w:r>
      <w:r>
        <w:rPr/>
        <w:t>CAPM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46"/>
        </w:rPr>
        <w:t> </w:t>
      </w:r>
      <w:r>
        <w:rPr/>
        <w:t>risk and return in financial markets, which is fundamental to investment decision-making, portfolio</w:t>
      </w:r>
      <w:r>
        <w:rPr>
          <w:spacing w:val="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analysis.</w:t>
      </w:r>
    </w:p>
    <w:p>
      <w:pPr>
        <w:pStyle w:val="Heading1"/>
        <w:spacing w:before="160"/>
      </w:pPr>
      <w:r>
        <w:rPr>
          <w:color w:val="4471C4"/>
        </w:rPr>
        <w:t>Problem:</w:t>
      </w:r>
    </w:p>
    <w:p>
      <w:pPr>
        <w:pStyle w:val="Heading3"/>
        <w:spacing w:before="186"/>
      </w:pPr>
      <w:r>
        <w:rPr/>
        <w:t>Calculating</w:t>
      </w:r>
      <w:r>
        <w:rPr>
          <w:spacing w:val="-6"/>
        </w:rPr>
        <w:t> </w:t>
      </w:r>
      <w:r>
        <w:rPr/>
        <w:t>Beta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Apple</w:t>
      </w:r>
    </w:p>
    <w:p>
      <w:pPr>
        <w:pStyle w:val="BodyText"/>
        <w:spacing w:line="259" w:lineRule="auto" w:before="182"/>
        <w:ind w:left="1440" w:right="1493" w:firstLine="719"/>
      </w:pPr>
      <w:r>
        <w:rPr/>
        <w:t>An</w:t>
      </w:r>
      <w:r>
        <w:rPr>
          <w:spacing w:val="-5"/>
        </w:rPr>
        <w:t> </w:t>
      </w:r>
      <w:r>
        <w:rPr/>
        <w:t>investor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beta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Apple</w:t>
      </w:r>
      <w:r>
        <w:rPr>
          <w:spacing w:val="-4"/>
        </w:rPr>
        <w:t> </w:t>
      </w:r>
      <w:r>
        <w:rPr/>
        <w:t>(AAPL)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SPDR</w:t>
      </w:r>
      <w:r>
        <w:rPr>
          <w:spacing w:val="-2"/>
        </w:rPr>
        <w:t> </w:t>
      </w:r>
      <w:r>
        <w:rPr/>
        <w:t>S&amp;P</w:t>
      </w:r>
      <w:r>
        <w:rPr>
          <w:spacing w:val="-3"/>
        </w:rPr>
        <w:t> </w:t>
      </w:r>
      <w:r>
        <w:rPr/>
        <w:t>500</w:t>
      </w:r>
      <w:r>
        <w:rPr>
          <w:spacing w:val="-47"/>
        </w:rPr>
        <w:t> </w:t>
      </w:r>
      <w:r>
        <w:rPr/>
        <w:t>ETF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(SPY).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recent</w:t>
      </w:r>
      <w:r>
        <w:rPr>
          <w:spacing w:val="-3"/>
        </w:rPr>
        <w:t> </w:t>
      </w:r>
      <w:r>
        <w:rPr/>
        <w:t>five-year</w:t>
      </w:r>
      <w:r>
        <w:rPr>
          <w:spacing w:val="-1"/>
        </w:rPr>
        <w:t> </w:t>
      </w:r>
      <w:r>
        <w:rPr/>
        <w:t>data.</w:t>
      </w:r>
      <w:r>
        <w:rPr>
          <w:spacing w:val="-4"/>
        </w:rPr>
        <w:t> </w:t>
      </w:r>
      <w:r>
        <w:rPr/>
        <w:t>Let's</w:t>
      </w:r>
      <w:r>
        <w:rPr>
          <w:spacing w:val="-2"/>
        </w:rPr>
        <w:t> </w:t>
      </w:r>
      <w:r>
        <w:rPr/>
        <w:t>calculate Beta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Excel.</w:t>
      </w:r>
    </w:p>
    <w:p>
      <w:pPr>
        <w:pStyle w:val="BodyText"/>
        <w:ind w:left="1395"/>
        <w:rPr>
          <w:sz w:val="20"/>
        </w:rPr>
      </w:pPr>
      <w:r>
        <w:rPr>
          <w:sz w:val="20"/>
        </w:rPr>
        <w:drawing>
          <wp:inline distT="0" distB="0" distL="0" distR="0">
            <wp:extent cx="5957481" cy="307238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1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00" w:bottom="280" w:left="0" w:right="0"/>
        </w:sectPr>
      </w:pPr>
    </w:p>
    <w:p>
      <w:pPr>
        <w:spacing w:before="40"/>
        <w:ind w:left="1440" w:right="0" w:firstLine="0"/>
        <w:jc w:val="left"/>
        <w:rPr>
          <w:b/>
          <w:sz w:val="24"/>
        </w:rPr>
      </w:pPr>
      <w:r>
        <w:rPr>
          <w:b/>
          <w:sz w:val="24"/>
        </w:rPr>
        <w:t>Calculating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CAPM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Stocks</w:t>
      </w:r>
    </w:p>
    <w:p>
      <w:pPr>
        <w:pStyle w:val="BodyText"/>
        <w:spacing w:line="259" w:lineRule="auto" w:before="182"/>
        <w:ind w:left="1440" w:right="1393" w:firstLine="719"/>
      </w:pPr>
      <w:r>
        <w:rPr/>
        <w:t>An</w:t>
      </w:r>
      <w:r>
        <w:rPr>
          <w:spacing w:val="-6"/>
        </w:rPr>
        <w:t> </w:t>
      </w:r>
      <w:r>
        <w:rPr/>
        <w:t>investor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looking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return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stocks.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return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/>
        <w:t>3% and the expected market rate of return is 9%. What is the expected rate of return of the following 3</w:t>
      </w:r>
      <w:r>
        <w:rPr>
          <w:spacing w:val="1"/>
        </w:rPr>
        <w:t> </w:t>
      </w:r>
      <w:r>
        <w:rPr/>
        <w:t>stocks</w:t>
      </w:r>
    </w:p>
    <w:p>
      <w:pPr>
        <w:pStyle w:val="BodyText"/>
        <w:spacing w:before="8"/>
        <w:rPr>
          <w:sz w:val="14"/>
        </w:rPr>
      </w:pPr>
    </w:p>
    <w:tbl>
      <w:tblPr>
        <w:tblCellSpacing w:w="9" w:type="dxa"/>
        <w:tblW w:w="0" w:type="auto"/>
        <w:jc w:val="left"/>
        <w:tblInd w:w="1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2"/>
        <w:gridCol w:w="3252"/>
      </w:tblGrid>
      <w:tr>
        <w:trPr>
          <w:trHeight w:val="827" w:hRule="atLeast"/>
        </w:trPr>
        <w:tc>
          <w:tcPr>
            <w:tcW w:w="3252" w:type="dxa"/>
            <w:tcBorders>
              <w:top w:val="nil"/>
              <w:left w:val="nil"/>
            </w:tcBorders>
            <w:shd w:val="clear" w:color="auto" w:fill="EAEEF7"/>
          </w:tcPr>
          <w:p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Amount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Invested</w:t>
            </w:r>
          </w:p>
        </w:tc>
        <w:tc>
          <w:tcPr>
            <w:tcW w:w="3252" w:type="dxa"/>
            <w:tcBorders>
              <w:top w:val="nil"/>
              <w:right w:val="nil"/>
            </w:tcBorders>
            <w:shd w:val="clear" w:color="auto" w:fill="EAEEF7"/>
          </w:tcPr>
          <w:p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00"/>
                <w:sz w:val="22"/>
              </w:rPr>
              <w:t>β</w:t>
            </w:r>
          </w:p>
        </w:tc>
      </w:tr>
      <w:tr>
        <w:trPr>
          <w:trHeight w:val="827" w:hRule="atLeast"/>
        </w:trPr>
        <w:tc>
          <w:tcPr>
            <w:tcW w:w="3252" w:type="dxa"/>
            <w:tcBorders>
              <w:left w:val="nil"/>
            </w:tcBorders>
            <w:shd w:val="clear" w:color="auto" w:fill="EAEEF7"/>
          </w:tcPr>
          <w:p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>
            <w:pPr>
              <w:pStyle w:val="TableParagraph"/>
              <w:tabs>
                <w:tab w:pos="913" w:val="left" w:leader="none"/>
              </w:tabs>
              <w:ind w:left="5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$</w:t>
              <w:tab/>
              <w:t>350,000.00</w:t>
            </w:r>
          </w:p>
        </w:tc>
        <w:tc>
          <w:tcPr>
            <w:tcW w:w="3252" w:type="dxa"/>
            <w:tcBorders>
              <w:right w:val="nil"/>
            </w:tcBorders>
            <w:shd w:val="clear" w:color="auto" w:fill="EAEEF7"/>
          </w:tcPr>
          <w:p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3252" w:type="dxa"/>
            <w:tcBorders>
              <w:left w:val="nil"/>
            </w:tcBorders>
            <w:shd w:val="clear" w:color="auto" w:fill="EAEEF7"/>
          </w:tcPr>
          <w:p>
            <w:pPr>
              <w:pStyle w:val="TableParagraph"/>
              <w:spacing w:before="4"/>
              <w:rPr>
                <w:rFonts w:ascii="Calibri"/>
                <w:sz w:val="32"/>
              </w:rPr>
            </w:pPr>
          </w:p>
          <w:p>
            <w:pPr>
              <w:pStyle w:val="TableParagraph"/>
              <w:tabs>
                <w:tab w:pos="913" w:val="left" w:leader="none"/>
              </w:tabs>
              <w:spacing w:before="1"/>
              <w:ind w:left="5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$</w:t>
              <w:tab/>
              <w:t>250,000.00</w:t>
            </w:r>
          </w:p>
        </w:tc>
        <w:tc>
          <w:tcPr>
            <w:tcW w:w="3252" w:type="dxa"/>
            <w:tcBorders>
              <w:right w:val="nil"/>
            </w:tcBorders>
            <w:shd w:val="clear" w:color="auto" w:fill="EAEEF7"/>
          </w:tcPr>
          <w:p>
            <w:pPr>
              <w:pStyle w:val="TableParagraph"/>
              <w:spacing w:before="4"/>
              <w:rPr>
                <w:rFonts w:ascii="Calibri"/>
                <w:sz w:val="32"/>
              </w:rPr>
            </w:pPr>
          </w:p>
          <w:p>
            <w:pPr>
              <w:pStyle w:val="TableParagraph"/>
              <w:spacing w:before="1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0.2</w:t>
            </w:r>
          </w:p>
        </w:tc>
      </w:tr>
      <w:tr>
        <w:trPr>
          <w:trHeight w:val="827" w:hRule="atLeast"/>
        </w:trPr>
        <w:tc>
          <w:tcPr>
            <w:tcW w:w="3252" w:type="dxa"/>
            <w:tcBorders>
              <w:left w:val="nil"/>
              <w:bottom w:val="nil"/>
            </w:tcBorders>
            <w:shd w:val="clear" w:color="auto" w:fill="EAEEF7"/>
          </w:tcPr>
          <w:p>
            <w:pPr>
              <w:pStyle w:val="TableParagraph"/>
              <w:spacing w:before="4"/>
              <w:rPr>
                <w:rFonts w:ascii="Calibri"/>
                <w:sz w:val="32"/>
              </w:rPr>
            </w:pPr>
          </w:p>
          <w:p>
            <w:pPr>
              <w:pStyle w:val="TableParagraph"/>
              <w:tabs>
                <w:tab w:pos="913" w:val="left" w:leader="none"/>
              </w:tabs>
              <w:ind w:left="5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$</w:t>
              <w:tab/>
              <w:t>400,000.00</w:t>
            </w:r>
          </w:p>
        </w:tc>
        <w:tc>
          <w:tcPr>
            <w:tcW w:w="3252" w:type="dxa"/>
            <w:tcBorders>
              <w:bottom w:val="nil"/>
              <w:right w:val="nil"/>
            </w:tcBorders>
            <w:shd w:val="clear" w:color="auto" w:fill="EAEEF7"/>
          </w:tcPr>
          <w:p>
            <w:pPr>
              <w:pStyle w:val="TableParagraph"/>
              <w:spacing w:before="4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609600</wp:posOffset>
            </wp:positionH>
            <wp:positionV relativeFrom="paragraph">
              <wp:posOffset>145452</wp:posOffset>
            </wp:positionV>
            <wp:extent cx="5910047" cy="461943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47" cy="461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00" w:bottom="280" w:left="0" w:right="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>
          <w:color w:val="4471C4"/>
        </w:rPr>
        <w:t>Conclusion:</w:t>
      </w:r>
    </w:p>
    <w:p>
      <w:pPr>
        <w:pStyle w:val="BodyText"/>
        <w:spacing w:line="259" w:lineRule="auto" w:before="188"/>
        <w:ind w:left="1440" w:right="1393" w:firstLine="719"/>
      </w:pPr>
      <w:r>
        <w:rPr/>
        <w:t>In</w:t>
      </w:r>
      <w:r>
        <w:rPr>
          <w:spacing w:val="-4"/>
        </w:rPr>
        <w:t> </w:t>
      </w:r>
      <w:r>
        <w:rPr/>
        <w:t>conclusion,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Capital</w:t>
      </w:r>
      <w:r>
        <w:rPr>
          <w:spacing w:val="-2"/>
        </w:rPr>
        <w:t> </w:t>
      </w:r>
      <w:r>
        <w:rPr/>
        <w:t>Asset</w:t>
      </w:r>
      <w:r>
        <w:rPr>
          <w:spacing w:val="-2"/>
        </w:rPr>
        <w:t> </w:t>
      </w:r>
      <w:r>
        <w:rPr/>
        <w:t>Pricing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(CAPM)</w:t>
      </w:r>
      <w:r>
        <w:rPr>
          <w:spacing w:val="-4"/>
        </w:rPr>
        <w:t> </w:t>
      </w:r>
      <w:r>
        <w:rPr/>
        <w:t>stands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pillar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realm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theory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practice,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valuable</w:t>
      </w:r>
      <w:r>
        <w:rPr>
          <w:spacing w:val="-4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risk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</w:p>
    <w:p>
      <w:pPr>
        <w:pStyle w:val="BodyText"/>
        <w:spacing w:line="259" w:lineRule="auto"/>
        <w:ind w:left="1440" w:right="1393"/>
      </w:pPr>
      <w:r>
        <w:rPr/>
        <w:t>in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decision-making.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foundational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CAPM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estimating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returns,</w:t>
      </w:r>
      <w:r>
        <w:rPr>
          <w:spacing w:val="-7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capital,</w:t>
      </w:r>
      <w:r>
        <w:rPr>
          <w:spacing w:val="-4"/>
        </w:rPr>
        <w:t> </w:t>
      </w:r>
      <w:r>
        <w:rPr/>
        <w:t>optimizing</w:t>
      </w:r>
    </w:p>
    <w:p>
      <w:pPr>
        <w:pStyle w:val="BodyText"/>
        <w:spacing w:line="259" w:lineRule="auto"/>
        <w:ind w:left="1440" w:right="1393"/>
      </w:pPr>
      <w:r>
        <w:rPr/>
        <w:t>portfolios, managing risk, and benchmarking investment performance. Despite its simplifying</w:t>
      </w:r>
      <w:r>
        <w:rPr>
          <w:spacing w:val="1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CAPM</w:t>
      </w:r>
      <w:r>
        <w:rPr>
          <w:spacing w:val="-4"/>
        </w:rPr>
        <w:t> </w:t>
      </w:r>
      <w:r>
        <w:rPr/>
        <w:t>remains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widely</w:t>
      </w:r>
      <w:r>
        <w:rPr>
          <w:spacing w:val="-8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finance,</w:t>
      </w:r>
      <w:r>
        <w:rPr>
          <w:spacing w:val="-3"/>
        </w:rPr>
        <w:t> </w:t>
      </w:r>
      <w:r>
        <w:rPr/>
        <w:t>serving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cornerstone</w:t>
      </w:r>
      <w:r>
        <w:rPr>
          <w:spacing w:val="-3"/>
        </w:rPr>
        <w:t> </w:t>
      </w:r>
      <w:r>
        <w:rPr/>
        <w:t>for</w:t>
      </w:r>
      <w:r>
        <w:rPr>
          <w:spacing w:val="-47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risk</w:t>
      </w:r>
      <w:r>
        <w:rPr>
          <w:spacing w:val="-4"/>
        </w:rPr>
        <w:t> </w:t>
      </w:r>
      <w:r>
        <w:rPr/>
        <w:t>assessment,</w:t>
      </w:r>
      <w:r>
        <w:rPr>
          <w:spacing w:val="-4"/>
        </w:rPr>
        <w:t> </w:t>
      </w:r>
      <w:r>
        <w:rPr/>
        <w:t>regulatory</w:t>
      </w:r>
      <w:r>
        <w:rPr>
          <w:spacing w:val="-4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guiding</w:t>
      </w:r>
      <w:r>
        <w:rPr>
          <w:spacing w:val="-5"/>
        </w:rPr>
        <w:t> </w:t>
      </w:r>
      <w:r>
        <w:rPr/>
        <w:t>investors</w:t>
      </w:r>
    </w:p>
    <w:p>
      <w:pPr>
        <w:pStyle w:val="BodyText"/>
        <w:spacing w:line="259" w:lineRule="auto"/>
        <w:ind w:left="1440" w:right="1493"/>
      </w:pPr>
      <w:r>
        <w:rPr/>
        <w:t>in</w:t>
      </w:r>
      <w:r>
        <w:rPr>
          <w:spacing w:val="-6"/>
        </w:rPr>
        <w:t> </w:t>
      </w:r>
      <w:r>
        <w:rPr/>
        <w:t>navigating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markets.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seminal</w:t>
      </w:r>
      <w:r>
        <w:rPr>
          <w:spacing w:val="-3"/>
        </w:rPr>
        <w:t> </w:t>
      </w:r>
      <w:r>
        <w:rPr/>
        <w:t>model,</w:t>
      </w:r>
      <w:r>
        <w:rPr>
          <w:spacing w:val="-4"/>
        </w:rPr>
        <w:t> </w:t>
      </w:r>
      <w:r>
        <w:rPr/>
        <w:t>CAPM</w:t>
      </w:r>
      <w:r>
        <w:rPr>
          <w:spacing w:val="-4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influence</w:t>
      </w:r>
      <w:r>
        <w:rPr>
          <w:spacing w:val="-47"/>
        </w:rPr>
        <w:t> </w:t>
      </w:r>
      <w:r>
        <w:rPr/>
        <w:t>both theory and practice, shaping the landscape of modern finance and contributing to ongoing</w:t>
      </w:r>
      <w:r>
        <w:rPr>
          <w:spacing w:val="1"/>
        </w:rPr>
        <w:t> </w:t>
      </w:r>
      <w:r>
        <w:rPr/>
        <w:t>advancements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field.</w:t>
      </w:r>
    </w:p>
    <w:sectPr>
      <w:pgSz w:w="12240" w:h="15840"/>
      <w:pgMar w:top="1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70" w:hanging="365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4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/>
      <w:ind w:left="14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3"/>
      <w:ind w:left="144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Laiba Shokat</dc:creator>
  <dcterms:created xsi:type="dcterms:W3CDTF">2024-08-08T14:48:21Z</dcterms:created>
  <dcterms:modified xsi:type="dcterms:W3CDTF">2024-08-08T14:48:21Z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