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A196" w14:textId="08423116" w:rsidR="000464EA" w:rsidRPr="00DB4B31" w:rsidRDefault="000464EA" w:rsidP="000464EA">
      <w:pPr>
        <w:ind w:firstLine="720"/>
        <w:jc w:val="both"/>
        <w:rPr>
          <w:rFonts w:ascii="Times New Roman" w:hAnsi="Times New Roman" w:cs="Times New Roman"/>
          <w:b/>
          <w:bCs/>
          <w:i/>
          <w:iCs/>
          <w:sz w:val="32"/>
          <w:szCs w:val="32"/>
          <w:u w:val="single"/>
        </w:rPr>
      </w:pPr>
      <w:r w:rsidRPr="00DB4B31">
        <w:rPr>
          <w:rFonts w:ascii="Times New Roman" w:hAnsi="Times New Roman" w:cs="Times New Roman"/>
          <w:b/>
          <w:bCs/>
          <w:i/>
          <w:iCs/>
          <w:sz w:val="32"/>
          <w:szCs w:val="32"/>
          <w:u w:val="single"/>
        </w:rPr>
        <w:t>Financial Statement Analysis Project ACCT 5307-002</w:t>
      </w:r>
    </w:p>
    <w:p w14:paraId="6E61C3B3" w14:textId="5BEA8F46" w:rsidR="000464EA" w:rsidRPr="00DB4B31" w:rsidRDefault="000464EA" w:rsidP="000464EA">
      <w:pPr>
        <w:ind w:left="2880" w:firstLine="720"/>
        <w:jc w:val="both"/>
        <w:rPr>
          <w:rFonts w:ascii="Times New Roman" w:hAnsi="Times New Roman" w:cs="Times New Roman"/>
          <w:b/>
          <w:bCs/>
          <w:i/>
          <w:iCs/>
          <w:sz w:val="32"/>
          <w:szCs w:val="32"/>
        </w:rPr>
      </w:pPr>
      <w:r w:rsidRPr="00DB4B31">
        <w:rPr>
          <w:rFonts w:ascii="Times New Roman" w:hAnsi="Times New Roman" w:cs="Times New Roman"/>
          <w:b/>
          <w:bCs/>
          <w:i/>
          <w:iCs/>
          <w:sz w:val="32"/>
          <w:szCs w:val="32"/>
        </w:rPr>
        <w:t>Group- 1</w:t>
      </w:r>
    </w:p>
    <w:p w14:paraId="5087611F" w14:textId="6050FE85" w:rsidR="00DB4B31" w:rsidRPr="00E72BBE" w:rsidRDefault="00DB4B31" w:rsidP="00DB4B31">
      <w:pPr>
        <w:ind w:firstLine="720"/>
        <w:jc w:val="both"/>
        <w:rPr>
          <w:rFonts w:ascii="Times New Roman" w:hAnsi="Times New Roman" w:cs="Times New Roman"/>
          <w:b/>
          <w:bCs/>
          <w:i/>
          <w:iCs/>
          <w:sz w:val="28"/>
          <w:szCs w:val="28"/>
        </w:rPr>
      </w:pPr>
      <w:r w:rsidRPr="00E72BBE">
        <w:rPr>
          <w:rFonts w:ascii="Times New Roman" w:hAnsi="Times New Roman" w:cs="Times New Roman"/>
          <w:b/>
          <w:bCs/>
          <w:i/>
          <w:iCs/>
          <w:sz w:val="28"/>
          <w:szCs w:val="28"/>
        </w:rPr>
        <w:t>Marriott International and Hilton Worldwide Holdings Inc</w:t>
      </w:r>
    </w:p>
    <w:p w14:paraId="0CD41C0A" w14:textId="5244606C" w:rsidR="0091596D" w:rsidRPr="00E72BBE" w:rsidRDefault="0091596D" w:rsidP="00D91BDF">
      <w:pPr>
        <w:jc w:val="both"/>
        <w:rPr>
          <w:rFonts w:ascii="Times New Roman" w:hAnsi="Times New Roman" w:cs="Times New Roman"/>
          <w:b/>
          <w:bCs/>
        </w:rPr>
      </w:pPr>
      <w:r w:rsidRPr="00C01436">
        <w:rPr>
          <w:rFonts w:ascii="Times New Roman" w:hAnsi="Times New Roman" w:cs="Times New Roman"/>
          <w:b/>
          <w:bCs/>
          <w:sz w:val="28"/>
          <w:szCs w:val="28"/>
          <w:u w:val="single"/>
        </w:rPr>
        <w:t>Introduction</w:t>
      </w:r>
      <w:r w:rsidRPr="00E72BBE">
        <w:rPr>
          <w:rFonts w:ascii="Times New Roman" w:hAnsi="Times New Roman" w:cs="Times New Roman"/>
          <w:b/>
          <w:bCs/>
        </w:rPr>
        <w:t>:</w:t>
      </w:r>
      <w:r w:rsidR="00CE1058" w:rsidRPr="00E72BBE">
        <w:rPr>
          <w:rFonts w:ascii="Times New Roman" w:hAnsi="Times New Roman" w:cs="Times New Roman"/>
        </w:rPr>
        <w:t xml:space="preserve"> Financial analysis plays an important role in finding stability, economic trends, profitability, sustainability, and strength of earning potential for a company. This project contains </w:t>
      </w:r>
      <w:r w:rsidR="00C01436">
        <w:rPr>
          <w:rFonts w:ascii="Times New Roman" w:hAnsi="Times New Roman" w:cs="Times New Roman"/>
        </w:rPr>
        <w:t>meaningful</w:t>
      </w:r>
      <w:r w:rsidR="00CE1058" w:rsidRPr="00E72BBE">
        <w:rPr>
          <w:rFonts w:ascii="Times New Roman" w:hAnsi="Times New Roman" w:cs="Times New Roman"/>
        </w:rPr>
        <w:t xml:space="preserve"> </w:t>
      </w:r>
      <w:r w:rsidR="00A46EEA">
        <w:rPr>
          <w:rFonts w:ascii="Times New Roman" w:hAnsi="Times New Roman" w:cs="Times New Roman"/>
        </w:rPr>
        <w:t xml:space="preserve">interpretation with </w:t>
      </w:r>
      <w:r w:rsidR="00CE1058" w:rsidRPr="00E72BBE">
        <w:rPr>
          <w:rFonts w:ascii="Times New Roman" w:hAnsi="Times New Roman" w:cs="Times New Roman"/>
        </w:rPr>
        <w:t>actual ratio record for</w:t>
      </w:r>
      <w:r w:rsidR="00A46EEA">
        <w:rPr>
          <w:rFonts w:ascii="Times New Roman" w:hAnsi="Times New Roman" w:cs="Times New Roman"/>
        </w:rPr>
        <w:t xml:space="preserve"> two</w:t>
      </w:r>
      <w:r w:rsidR="00CE1058" w:rsidRPr="00E72BBE">
        <w:rPr>
          <w:rFonts w:ascii="Times New Roman" w:hAnsi="Times New Roman" w:cs="Times New Roman"/>
        </w:rPr>
        <w:t xml:space="preserve"> well-known </w:t>
      </w:r>
      <w:r w:rsidR="00A46EEA">
        <w:rPr>
          <w:rFonts w:ascii="Times New Roman" w:hAnsi="Times New Roman" w:cs="Times New Roman"/>
        </w:rPr>
        <w:t xml:space="preserve">companies from </w:t>
      </w:r>
      <w:r w:rsidR="00CE1058" w:rsidRPr="00E72BBE">
        <w:rPr>
          <w:rFonts w:ascii="Times New Roman" w:hAnsi="Times New Roman" w:cs="Times New Roman"/>
        </w:rPr>
        <w:t xml:space="preserve">hospitality industry called ‘Marriott International’ </w:t>
      </w:r>
      <w:r w:rsidR="00A46EEA">
        <w:rPr>
          <w:rFonts w:ascii="Times New Roman" w:hAnsi="Times New Roman" w:cs="Times New Roman"/>
        </w:rPr>
        <w:t xml:space="preserve">and </w:t>
      </w:r>
      <w:r w:rsidR="00CE1058" w:rsidRPr="00E72BBE">
        <w:rPr>
          <w:rFonts w:ascii="Times New Roman" w:hAnsi="Times New Roman" w:cs="Times New Roman"/>
        </w:rPr>
        <w:t>‘Hilton Worldwide Holdings Inc’</w:t>
      </w:r>
      <w:r w:rsidR="00A46EEA">
        <w:rPr>
          <w:rFonts w:ascii="Times New Roman" w:hAnsi="Times New Roman" w:cs="Times New Roman"/>
        </w:rPr>
        <w:t>(competitor)</w:t>
      </w:r>
      <w:r w:rsidR="00CE1058" w:rsidRPr="00E72BBE">
        <w:rPr>
          <w:rFonts w:ascii="Times New Roman" w:hAnsi="Times New Roman" w:cs="Times New Roman"/>
        </w:rPr>
        <w:t>. Further we will discuss the ratio calculation</w:t>
      </w:r>
      <w:r w:rsidR="00A46EEA">
        <w:rPr>
          <w:rFonts w:ascii="Times New Roman" w:hAnsi="Times New Roman" w:cs="Times New Roman"/>
        </w:rPr>
        <w:t xml:space="preserve">, values and proper explanation of these ratios </w:t>
      </w:r>
      <w:r w:rsidR="00CE1058" w:rsidRPr="00E72BBE">
        <w:rPr>
          <w:rFonts w:ascii="Times New Roman" w:hAnsi="Times New Roman" w:cs="Times New Roman"/>
        </w:rPr>
        <w:t>for both the companies.</w:t>
      </w:r>
    </w:p>
    <w:p w14:paraId="6F1E3C99" w14:textId="5362BFC3" w:rsidR="00E163E1" w:rsidRPr="00C01436" w:rsidRDefault="00455214" w:rsidP="00D91BDF">
      <w:pPr>
        <w:jc w:val="both"/>
        <w:rPr>
          <w:rFonts w:ascii="Times New Roman" w:hAnsi="Times New Roman" w:cs="Times New Roman"/>
          <w:b/>
          <w:bCs/>
          <w:sz w:val="28"/>
          <w:szCs w:val="28"/>
          <w:u w:val="single"/>
        </w:rPr>
      </w:pPr>
      <w:r w:rsidRPr="00C01436">
        <w:rPr>
          <w:rFonts w:ascii="Times New Roman" w:hAnsi="Times New Roman" w:cs="Times New Roman"/>
          <w:b/>
          <w:bCs/>
          <w:sz w:val="28"/>
          <w:szCs w:val="28"/>
          <w:u w:val="single"/>
        </w:rPr>
        <w:t>Return Ratios:</w:t>
      </w:r>
    </w:p>
    <w:p w14:paraId="627528E0" w14:textId="7210FE82" w:rsidR="00455214" w:rsidRPr="00E72BBE" w:rsidRDefault="00455214" w:rsidP="00D91BDF">
      <w:pPr>
        <w:jc w:val="both"/>
        <w:rPr>
          <w:rFonts w:ascii="Times New Roman" w:hAnsi="Times New Roman" w:cs="Times New Roman"/>
        </w:rPr>
      </w:pPr>
      <w:r w:rsidRPr="00C01436">
        <w:rPr>
          <w:rFonts w:ascii="Times New Roman" w:hAnsi="Times New Roman" w:cs="Times New Roman"/>
          <w:b/>
          <w:bCs/>
          <w:u w:val="single"/>
        </w:rPr>
        <w:t>Return of Equity:</w:t>
      </w:r>
      <w:r w:rsidR="007516B1" w:rsidRPr="00E72BBE">
        <w:rPr>
          <w:rFonts w:ascii="Times New Roman" w:hAnsi="Times New Roman" w:cs="Times New Roman"/>
        </w:rPr>
        <w:t xml:space="preserve"> Return on equity is a significant ratio to measure the financial performance of any company. </w:t>
      </w:r>
      <w:r w:rsidRPr="00E72BBE">
        <w:rPr>
          <w:rFonts w:ascii="Times New Roman" w:hAnsi="Times New Roman" w:cs="Times New Roman"/>
        </w:rPr>
        <w:t xml:space="preserve">Marriott International’s ROE </w:t>
      </w:r>
      <w:r w:rsidR="00814B6A" w:rsidRPr="00E72BBE">
        <w:rPr>
          <w:rFonts w:ascii="Times New Roman" w:hAnsi="Times New Roman" w:cs="Times New Roman"/>
        </w:rPr>
        <w:t>wa</w:t>
      </w:r>
      <w:r w:rsidRPr="00E72BBE">
        <w:rPr>
          <w:rFonts w:ascii="Times New Roman" w:hAnsi="Times New Roman" w:cs="Times New Roman"/>
        </w:rPr>
        <w:t xml:space="preserve">s negative </w:t>
      </w:r>
      <w:r w:rsidR="00814B6A" w:rsidRPr="00E72BBE">
        <w:rPr>
          <w:rFonts w:ascii="Times New Roman" w:hAnsi="Times New Roman" w:cs="Times New Roman"/>
        </w:rPr>
        <w:t xml:space="preserve">over the past 5 years except for 2019 </w:t>
      </w:r>
      <w:r w:rsidRPr="00E72BBE">
        <w:rPr>
          <w:rFonts w:ascii="Times New Roman" w:hAnsi="Times New Roman" w:cs="Times New Roman"/>
        </w:rPr>
        <w:t>which shows that the company is not generating any returns on the investment it received from its shareholders.</w:t>
      </w:r>
      <w:r w:rsidR="00814B6A" w:rsidRPr="00E72BBE">
        <w:rPr>
          <w:rFonts w:ascii="Times New Roman" w:hAnsi="Times New Roman" w:cs="Times New Roman"/>
        </w:rPr>
        <w:t xml:space="preserve"> One of the main reasons behind this would be from 2016 to 2018 Marriott’s shareholder’s equity was negative indicating </w:t>
      </w:r>
      <w:r w:rsidR="008F1838" w:rsidRPr="00E72BBE">
        <w:rPr>
          <w:rFonts w:ascii="Times New Roman" w:hAnsi="Times New Roman" w:cs="Times New Roman"/>
        </w:rPr>
        <w:t>the company's liabilities exceed its assets. During 2019, the company made</w:t>
      </w:r>
      <w:r w:rsidR="00651B9C" w:rsidRPr="00E72BBE">
        <w:rPr>
          <w:rFonts w:ascii="Times New Roman" w:hAnsi="Times New Roman" w:cs="Times New Roman"/>
        </w:rPr>
        <w:t xml:space="preserve"> $.993 for</w:t>
      </w:r>
      <w:r w:rsidR="008F1838" w:rsidRPr="00E72BBE">
        <w:rPr>
          <w:rFonts w:ascii="Times New Roman" w:hAnsi="Times New Roman" w:cs="Times New Roman"/>
        </w:rPr>
        <w:t xml:space="preserve"> every dollar of common shareholder’s </w:t>
      </w:r>
      <w:hyperlink r:id="rId5" w:tgtFrame="_blank" w:history="1">
        <w:r w:rsidR="008F1838" w:rsidRPr="00E72BBE">
          <w:rPr>
            <w:rFonts w:ascii="Times New Roman" w:hAnsi="Times New Roman" w:cs="Times New Roman"/>
          </w:rPr>
          <w:t>equity</w:t>
        </w:r>
      </w:hyperlink>
      <w:r w:rsidR="008F1838" w:rsidRPr="00E72BBE">
        <w:rPr>
          <w:rFonts w:ascii="Times New Roman" w:hAnsi="Times New Roman" w:cs="Times New Roman"/>
        </w:rPr>
        <w:t>.</w:t>
      </w:r>
      <w:r w:rsidR="00B71347" w:rsidRPr="00E72BBE">
        <w:rPr>
          <w:rFonts w:ascii="Times New Roman" w:hAnsi="Times New Roman" w:cs="Times New Roman"/>
        </w:rPr>
        <w:t xml:space="preserve"> In 2020, the company incurred a loss as a result ROE became negative again.</w:t>
      </w:r>
    </w:p>
    <w:p w14:paraId="7EADAB02" w14:textId="79CBB58E" w:rsidR="00B71347" w:rsidRPr="00E72BBE" w:rsidRDefault="00B71347" w:rsidP="00D91BDF">
      <w:pPr>
        <w:jc w:val="both"/>
        <w:rPr>
          <w:rFonts w:ascii="Times New Roman" w:hAnsi="Times New Roman" w:cs="Times New Roman"/>
        </w:rPr>
      </w:pPr>
      <w:r w:rsidRPr="00E72BBE">
        <w:rPr>
          <w:rFonts w:ascii="Times New Roman" w:hAnsi="Times New Roman" w:cs="Times New Roman"/>
        </w:rPr>
        <w:t>Hilton’s ROE is showing an increasing trend from 2016 to 2</w:t>
      </w:r>
      <w:r w:rsidR="00957664" w:rsidRPr="00E72BBE">
        <w:rPr>
          <w:rFonts w:ascii="Times New Roman" w:hAnsi="Times New Roman" w:cs="Times New Roman"/>
        </w:rPr>
        <w:t>019 but then fell in 2020</w:t>
      </w:r>
      <w:r w:rsidR="00F95AF2" w:rsidRPr="00E72BBE">
        <w:rPr>
          <w:rFonts w:ascii="Times New Roman" w:hAnsi="Times New Roman" w:cs="Times New Roman"/>
        </w:rPr>
        <w:t xml:space="preserve"> to 0.735 as the company incurred a loss</w:t>
      </w:r>
      <w:r w:rsidR="007516B1" w:rsidRPr="00E72BBE">
        <w:rPr>
          <w:rFonts w:ascii="Times New Roman" w:hAnsi="Times New Roman" w:cs="Times New Roman"/>
        </w:rPr>
        <w:t xml:space="preserve"> in this year</w:t>
      </w:r>
      <w:r w:rsidR="00F95AF2" w:rsidRPr="00E72BBE">
        <w:rPr>
          <w:rFonts w:ascii="Times New Roman" w:hAnsi="Times New Roman" w:cs="Times New Roman"/>
        </w:rPr>
        <w:t xml:space="preserve">. </w:t>
      </w:r>
      <w:r w:rsidR="007516B1" w:rsidRPr="00E72BBE">
        <w:rPr>
          <w:rFonts w:ascii="Times New Roman" w:hAnsi="Times New Roman" w:cs="Times New Roman"/>
        </w:rPr>
        <w:t>O</w:t>
      </w:r>
      <w:r w:rsidR="00F95AF2" w:rsidRPr="00E72BBE">
        <w:rPr>
          <w:rFonts w:ascii="Times New Roman" w:hAnsi="Times New Roman" w:cs="Times New Roman"/>
        </w:rPr>
        <w:t>ne of the main factor</w:t>
      </w:r>
      <w:r w:rsidR="007516B1" w:rsidRPr="00E72BBE">
        <w:rPr>
          <w:rFonts w:ascii="Times New Roman" w:hAnsi="Times New Roman" w:cs="Times New Roman"/>
        </w:rPr>
        <w:t>s</w:t>
      </w:r>
      <w:r w:rsidR="00F95AF2" w:rsidRPr="00E72BBE">
        <w:rPr>
          <w:rFonts w:ascii="Times New Roman" w:hAnsi="Times New Roman" w:cs="Times New Roman"/>
        </w:rPr>
        <w:t xml:space="preserve"> behind this increasing trend would be Hilton’s decreasing shareholder’s equity over the years</w:t>
      </w:r>
      <w:r w:rsidR="007516B1" w:rsidRPr="00E72BBE">
        <w:rPr>
          <w:rFonts w:ascii="Times New Roman" w:hAnsi="Times New Roman" w:cs="Times New Roman"/>
        </w:rPr>
        <w:t xml:space="preserve">. If we see the graph then we can say that there is a spike in Hilton’s ROE in the year of 2019 which is mainly due to decrease average shareholder’s equity. </w:t>
      </w:r>
      <w:r w:rsidR="0064372D" w:rsidRPr="00E72BBE">
        <w:rPr>
          <w:rFonts w:ascii="Times New Roman" w:hAnsi="Times New Roman" w:cs="Times New Roman"/>
        </w:rPr>
        <w:t>Compared to Marriott International, Hilton Worldwide Holdings Ltd is giving us a better indication of company performance by showing a positive increasing trend in their return on equity.</w:t>
      </w:r>
      <w:r w:rsidR="000B4CCD" w:rsidRPr="00E72BBE">
        <w:rPr>
          <w:rFonts w:ascii="Times New Roman" w:hAnsi="Times New Roman" w:cs="Times New Roman"/>
        </w:rPr>
        <w:t xml:space="preserve"> Equity investors would be interested to investing into Hilton Worldwide Holdings Ltd compared to Marriott International.</w:t>
      </w:r>
    </w:p>
    <w:p w14:paraId="17010F4F" w14:textId="27072DB9" w:rsidR="0035212A" w:rsidRPr="00E72BBE" w:rsidRDefault="0035212A" w:rsidP="00D91BDF">
      <w:pPr>
        <w:jc w:val="both"/>
        <w:rPr>
          <w:rFonts w:ascii="Times New Roman" w:hAnsi="Times New Roman" w:cs="Times New Roman"/>
        </w:rPr>
      </w:pPr>
      <w:r w:rsidRPr="00E72BBE">
        <w:rPr>
          <w:rFonts w:ascii="Times New Roman" w:hAnsi="Times New Roman" w:cs="Times New Roman"/>
          <w:noProof/>
        </w:rPr>
        <w:drawing>
          <wp:inline distT="0" distB="0" distL="0" distR="0" wp14:anchorId="5971D844" wp14:editId="7F27DBE3">
            <wp:extent cx="4552950" cy="1670050"/>
            <wp:effectExtent l="0" t="0" r="0" b="6350"/>
            <wp:docPr id="1" name="Chart 1">
              <a:extLst xmlns:a="http://schemas.openxmlformats.org/drawingml/2006/main">
                <a:ext uri="{FF2B5EF4-FFF2-40B4-BE49-F238E27FC236}">
                  <a16:creationId xmlns:a16="http://schemas.microsoft.com/office/drawing/2014/main" id="{204CA00C-C119-4844-9383-559147D81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E55B43" w14:textId="39F9ABBC" w:rsidR="009011A6" w:rsidRPr="00E72BBE" w:rsidRDefault="00957664" w:rsidP="00D91BDF">
      <w:pPr>
        <w:jc w:val="both"/>
        <w:rPr>
          <w:rFonts w:ascii="Times New Roman" w:hAnsi="Times New Roman" w:cs="Times New Roman"/>
        </w:rPr>
      </w:pPr>
      <w:r w:rsidRPr="00C01436">
        <w:rPr>
          <w:rFonts w:ascii="Times New Roman" w:hAnsi="Times New Roman" w:cs="Times New Roman"/>
          <w:b/>
          <w:bCs/>
          <w:u w:val="single"/>
        </w:rPr>
        <w:t>Return on Assets (ROA):</w:t>
      </w:r>
      <w:r w:rsidR="00A27B61" w:rsidRPr="00E72BBE">
        <w:rPr>
          <w:rFonts w:ascii="Times New Roman" w:hAnsi="Times New Roman" w:cs="Times New Roman"/>
        </w:rPr>
        <w:t xml:space="preserve"> Return on assets indicates how profitable a company is relative to the resources or assets it owns or controls. In terms of business operation, higher this ratio is the better the company is doing to produce profit compared to its assets. </w:t>
      </w:r>
      <w:r w:rsidR="009011A6" w:rsidRPr="00E72BBE">
        <w:rPr>
          <w:rFonts w:ascii="Times New Roman" w:hAnsi="Times New Roman" w:cs="Times New Roman"/>
        </w:rPr>
        <w:t xml:space="preserve">Marriott International is showing an increasing trend in ROA from 2016 to 2018 and then a decreasing trend for 2019 to 2020 which can be described as company’s net income has decreased for </w:t>
      </w:r>
      <w:r w:rsidR="000B4CCD" w:rsidRPr="00E72BBE">
        <w:rPr>
          <w:rFonts w:ascii="Times New Roman" w:hAnsi="Times New Roman" w:cs="Times New Roman"/>
        </w:rPr>
        <w:t>recent</w:t>
      </w:r>
      <w:r w:rsidR="009011A6" w:rsidRPr="00E72BBE">
        <w:rPr>
          <w:rFonts w:ascii="Times New Roman" w:hAnsi="Times New Roman" w:cs="Times New Roman"/>
        </w:rPr>
        <w:t xml:space="preserve"> years.</w:t>
      </w:r>
    </w:p>
    <w:p w14:paraId="526D623A" w14:textId="1D3A3F64" w:rsidR="00957664" w:rsidRPr="00E72BBE" w:rsidRDefault="00A27B61" w:rsidP="00D91BDF">
      <w:pPr>
        <w:jc w:val="both"/>
        <w:rPr>
          <w:rFonts w:ascii="Times New Roman" w:hAnsi="Times New Roman" w:cs="Times New Roman"/>
        </w:rPr>
      </w:pPr>
      <w:r w:rsidRPr="00E72BBE">
        <w:rPr>
          <w:rFonts w:ascii="Times New Roman" w:hAnsi="Times New Roman" w:cs="Times New Roman"/>
        </w:rPr>
        <w:t>For</w:t>
      </w:r>
      <w:r w:rsidR="009011A6" w:rsidRPr="00E72BBE">
        <w:rPr>
          <w:rFonts w:ascii="Times New Roman" w:hAnsi="Times New Roman" w:cs="Times New Roman"/>
        </w:rPr>
        <w:t xml:space="preserve"> Hilton</w:t>
      </w:r>
      <w:r w:rsidRPr="00E72BBE">
        <w:rPr>
          <w:rFonts w:ascii="Times New Roman" w:hAnsi="Times New Roman" w:cs="Times New Roman"/>
        </w:rPr>
        <w:t>, this ratio is</w:t>
      </w:r>
      <w:r w:rsidR="000B4CCD" w:rsidRPr="00E72BBE">
        <w:rPr>
          <w:rFonts w:ascii="Times New Roman" w:hAnsi="Times New Roman" w:cs="Times New Roman"/>
        </w:rPr>
        <w:t xml:space="preserve"> showing</w:t>
      </w:r>
      <w:r w:rsidRPr="00E72BBE">
        <w:rPr>
          <w:rFonts w:ascii="Times New Roman" w:hAnsi="Times New Roman" w:cs="Times New Roman"/>
        </w:rPr>
        <w:t xml:space="preserve"> fluctuat</w:t>
      </w:r>
      <w:r w:rsidR="000B4CCD" w:rsidRPr="00E72BBE">
        <w:rPr>
          <w:rFonts w:ascii="Times New Roman" w:hAnsi="Times New Roman" w:cs="Times New Roman"/>
        </w:rPr>
        <w:t>ions</w:t>
      </w:r>
      <w:r w:rsidRPr="00E72BBE">
        <w:rPr>
          <w:rFonts w:ascii="Times New Roman" w:hAnsi="Times New Roman" w:cs="Times New Roman"/>
        </w:rPr>
        <w:t xml:space="preserve"> from 2016 to 2019</w:t>
      </w:r>
      <w:r w:rsidR="000B4CCD" w:rsidRPr="00E72BBE">
        <w:rPr>
          <w:rFonts w:ascii="Times New Roman" w:hAnsi="Times New Roman" w:cs="Times New Roman"/>
        </w:rPr>
        <w:t xml:space="preserve">, initially it increased in 2017 but in 2018 it fell from 6.2% to 5.4% but again in 2019 it raised up to 6.1%. But </w:t>
      </w:r>
      <w:r w:rsidRPr="00E72BBE">
        <w:rPr>
          <w:rFonts w:ascii="Times New Roman" w:hAnsi="Times New Roman" w:cs="Times New Roman"/>
        </w:rPr>
        <w:t xml:space="preserve">then it became negative in 2020 </w:t>
      </w:r>
      <w:r w:rsidR="009011A6" w:rsidRPr="00E72BBE">
        <w:rPr>
          <w:rFonts w:ascii="Times New Roman" w:hAnsi="Times New Roman" w:cs="Times New Roman"/>
        </w:rPr>
        <w:lastRenderedPageBreak/>
        <w:t>explaining the loss incurred in the year of 2020.</w:t>
      </w:r>
      <w:r w:rsidR="000B4CCD" w:rsidRPr="00E72BBE">
        <w:rPr>
          <w:rFonts w:ascii="Times New Roman" w:hAnsi="Times New Roman" w:cs="Times New Roman"/>
        </w:rPr>
        <w:t xml:space="preserve"> ROA is showing quite similar kind of trend for both the</w:t>
      </w:r>
      <w:r w:rsidR="00CE1058" w:rsidRPr="00E72BBE">
        <w:rPr>
          <w:rFonts w:ascii="Times New Roman" w:hAnsi="Times New Roman" w:cs="Times New Roman"/>
        </w:rPr>
        <w:t xml:space="preserve"> </w:t>
      </w:r>
      <w:r w:rsidR="000B4CCD" w:rsidRPr="00E72BBE">
        <w:rPr>
          <w:rFonts w:ascii="Times New Roman" w:hAnsi="Times New Roman" w:cs="Times New Roman"/>
        </w:rPr>
        <w:t>companies. As both of them belong to the hospitality industry and in 2020 due to the pandemic, both the companies have faced severe loses in net earnings which is self-explanatory.</w:t>
      </w:r>
    </w:p>
    <w:p w14:paraId="0184D245" w14:textId="0528B4AF" w:rsidR="00957664" w:rsidRPr="00E72BBE" w:rsidRDefault="00957664" w:rsidP="00D91BDF">
      <w:pPr>
        <w:jc w:val="both"/>
        <w:rPr>
          <w:rFonts w:ascii="Times New Roman" w:hAnsi="Times New Roman" w:cs="Times New Roman"/>
        </w:rPr>
      </w:pPr>
      <w:r w:rsidRPr="00C01436">
        <w:rPr>
          <w:rFonts w:ascii="Times New Roman" w:hAnsi="Times New Roman" w:cs="Times New Roman"/>
          <w:b/>
          <w:bCs/>
          <w:u w:val="single"/>
        </w:rPr>
        <w:t>Return on Net Operating Assets (RNOA):</w:t>
      </w:r>
      <w:r w:rsidR="00AA0F87" w:rsidRPr="00E72BBE">
        <w:rPr>
          <w:rFonts w:ascii="Times New Roman" w:hAnsi="Times New Roman" w:cs="Times New Roman"/>
          <w:b/>
          <w:bCs/>
        </w:rPr>
        <w:t xml:space="preserve"> </w:t>
      </w:r>
      <w:r w:rsidR="00AA0F87" w:rsidRPr="00E72BBE">
        <w:rPr>
          <w:rFonts w:ascii="Times New Roman" w:hAnsi="Times New Roman" w:cs="Times New Roman"/>
        </w:rPr>
        <w:t>We are unable to calculate this ratio.</w:t>
      </w:r>
    </w:p>
    <w:p w14:paraId="58FC7A27" w14:textId="0AAFD690" w:rsidR="00957664" w:rsidRPr="00E72BBE" w:rsidRDefault="00957664" w:rsidP="00D91BDF">
      <w:pPr>
        <w:jc w:val="both"/>
        <w:rPr>
          <w:rFonts w:ascii="Times New Roman" w:hAnsi="Times New Roman" w:cs="Times New Roman"/>
          <w:color w:val="202124"/>
          <w:shd w:val="clear" w:color="auto" w:fill="FFFFFF"/>
        </w:rPr>
      </w:pPr>
      <w:r w:rsidRPr="00C01436">
        <w:rPr>
          <w:rFonts w:ascii="Times New Roman" w:hAnsi="Times New Roman" w:cs="Times New Roman"/>
          <w:b/>
          <w:bCs/>
          <w:u w:val="single"/>
        </w:rPr>
        <w:t>Return on Financial Leverage (ROFL):</w:t>
      </w:r>
      <w:r w:rsidR="001757FE" w:rsidRPr="00E72BBE">
        <w:rPr>
          <w:rFonts w:ascii="Times New Roman" w:hAnsi="Times New Roman" w:cs="Times New Roman"/>
          <w:b/>
          <w:bCs/>
        </w:rPr>
        <w:t xml:space="preserve"> </w:t>
      </w:r>
      <w:r w:rsidR="001757FE" w:rsidRPr="00E72BBE">
        <w:rPr>
          <w:rFonts w:ascii="Times New Roman" w:hAnsi="Times New Roman" w:cs="Times New Roman"/>
          <w:color w:val="202124"/>
          <w:shd w:val="clear" w:color="auto" w:fill="FFFFFF"/>
        </w:rPr>
        <w:t>The financial leverage ratios measure the overall debt load of a company and compare it with the assets or equity. For Marriott International, this ratio is showing negative value from 2016 to 2018</w:t>
      </w:r>
      <w:r w:rsidR="00D41886" w:rsidRPr="00E72BBE">
        <w:rPr>
          <w:rFonts w:ascii="Times New Roman" w:hAnsi="Times New Roman" w:cs="Times New Roman"/>
          <w:color w:val="202124"/>
          <w:shd w:val="clear" w:color="auto" w:fill="FFFFFF"/>
        </w:rPr>
        <w:t xml:space="preserve"> indicating that it earns less profit on the money it has borrowed than the interest paid for the use of that borrowed money</w:t>
      </w:r>
      <w:r w:rsidR="001757FE" w:rsidRPr="00E72BBE">
        <w:rPr>
          <w:rFonts w:ascii="Times New Roman" w:hAnsi="Times New Roman" w:cs="Times New Roman"/>
          <w:color w:val="202124"/>
          <w:shd w:val="clear" w:color="auto" w:fill="FFFFFF"/>
        </w:rPr>
        <w:t xml:space="preserve">. During 2019, </w:t>
      </w:r>
      <w:r w:rsidR="00D41886" w:rsidRPr="00E72BBE">
        <w:rPr>
          <w:rFonts w:ascii="Times New Roman" w:hAnsi="Times New Roman" w:cs="Times New Roman"/>
          <w:color w:val="202124"/>
          <w:shd w:val="clear" w:color="auto" w:fill="FFFFFF"/>
        </w:rPr>
        <w:t>this ratio becomes positive but in 2020, ROFL falls and becomes negative directing that Marriott is not making enough money compared to the money it has borrowed than the interest paid for the use of that borrowed money.</w:t>
      </w:r>
    </w:p>
    <w:p w14:paraId="7A7DA28E" w14:textId="3CE8DCCB" w:rsidR="00D91BDF" w:rsidRPr="00E72BBE" w:rsidRDefault="00D41886" w:rsidP="00D91BDF">
      <w:pPr>
        <w:jc w:val="both"/>
        <w:rPr>
          <w:rFonts w:ascii="Times New Roman" w:hAnsi="Times New Roman" w:cs="Times New Roman"/>
          <w:color w:val="202124"/>
          <w:shd w:val="clear" w:color="auto" w:fill="FFFFFF"/>
        </w:rPr>
      </w:pPr>
      <w:r w:rsidRPr="00E72BBE">
        <w:rPr>
          <w:rFonts w:ascii="Times New Roman" w:hAnsi="Times New Roman" w:cs="Times New Roman"/>
          <w:color w:val="202124"/>
          <w:shd w:val="clear" w:color="auto" w:fill="FFFFFF"/>
        </w:rPr>
        <w:t>For Hilton worldwide Holdings limited, this return on financial leverage is showing a significant increasing trend f</w:t>
      </w:r>
      <w:r w:rsidR="00DF5A27" w:rsidRPr="00E72BBE">
        <w:rPr>
          <w:rFonts w:ascii="Times New Roman" w:hAnsi="Times New Roman" w:cs="Times New Roman"/>
          <w:color w:val="202124"/>
          <w:shd w:val="clear" w:color="auto" w:fill="FFFFFF"/>
        </w:rPr>
        <w:t>ro</w:t>
      </w:r>
      <w:r w:rsidRPr="00E72BBE">
        <w:rPr>
          <w:rFonts w:ascii="Times New Roman" w:hAnsi="Times New Roman" w:cs="Times New Roman"/>
          <w:color w:val="202124"/>
          <w:shd w:val="clear" w:color="auto" w:fill="FFFFFF"/>
        </w:rPr>
        <w:t>m 2016 to 2019 and then in 2020 this ratio became negative which mi</w:t>
      </w:r>
      <w:r w:rsidR="00DF5A27" w:rsidRPr="00E72BBE">
        <w:rPr>
          <w:rFonts w:ascii="Times New Roman" w:hAnsi="Times New Roman" w:cs="Times New Roman"/>
          <w:color w:val="202124"/>
          <w:shd w:val="clear" w:color="auto" w:fill="FFFFFF"/>
        </w:rPr>
        <w:t xml:space="preserve">ght be a direct impact of pandemic. This positive increasing trend tells us that Hilton was making more profit corresponding to the amount it has borrowed and the interest amount paid for the use of that borrowed money from 2016 to 2019 before pandemic hit the hospitality industry. Comparing both Marriott and Hilton’s ROFL, we can conclude that </w:t>
      </w:r>
      <w:r w:rsidR="00D91BDF" w:rsidRPr="00E72BBE">
        <w:rPr>
          <w:rFonts w:ascii="Times New Roman" w:hAnsi="Times New Roman" w:cs="Times New Roman"/>
          <w:color w:val="202124"/>
          <w:shd w:val="clear" w:color="auto" w:fill="FFFFFF"/>
        </w:rPr>
        <w:t>creditors</w:t>
      </w:r>
      <w:r w:rsidR="00DF5A27" w:rsidRPr="00E72BBE">
        <w:rPr>
          <w:rFonts w:ascii="Times New Roman" w:hAnsi="Times New Roman" w:cs="Times New Roman"/>
          <w:color w:val="202124"/>
          <w:shd w:val="clear" w:color="auto" w:fill="FFFFFF"/>
        </w:rPr>
        <w:t xml:space="preserve"> would be more prone to lend money to Hilton compared to </w:t>
      </w:r>
      <w:r w:rsidR="00AA0F87" w:rsidRPr="00E72BBE">
        <w:rPr>
          <w:rFonts w:ascii="Times New Roman" w:hAnsi="Times New Roman" w:cs="Times New Roman"/>
          <w:color w:val="202124"/>
          <w:shd w:val="clear" w:color="auto" w:fill="FFFFFF"/>
        </w:rPr>
        <w:t>Marriott International.</w:t>
      </w:r>
    </w:p>
    <w:p w14:paraId="4C6B1D6E" w14:textId="7B450893" w:rsidR="00CE1058" w:rsidRPr="00E72BBE" w:rsidRDefault="00CE1058" w:rsidP="00D91BDF">
      <w:pPr>
        <w:jc w:val="both"/>
        <w:rPr>
          <w:rFonts w:ascii="Times New Roman" w:hAnsi="Times New Roman" w:cs="Times New Roman"/>
          <w:color w:val="202124"/>
          <w:shd w:val="clear" w:color="auto" w:fill="FFFFFF"/>
        </w:rPr>
      </w:pPr>
      <w:r w:rsidRPr="00E72BBE">
        <w:rPr>
          <w:rFonts w:ascii="Times New Roman" w:hAnsi="Times New Roman" w:cs="Times New Roman"/>
          <w:noProof/>
        </w:rPr>
        <w:drawing>
          <wp:inline distT="0" distB="0" distL="0" distR="0" wp14:anchorId="2266ED49" wp14:editId="4EFAAA52">
            <wp:extent cx="4603750" cy="1593850"/>
            <wp:effectExtent l="0" t="0" r="6350" b="6350"/>
            <wp:docPr id="7" name="Chart 7">
              <a:extLst xmlns:a="http://schemas.openxmlformats.org/drawingml/2006/main">
                <a:ext uri="{FF2B5EF4-FFF2-40B4-BE49-F238E27FC236}">
                  <a16:creationId xmlns:a16="http://schemas.microsoft.com/office/drawing/2014/main" id="{024B68AC-5D72-4BBA-922C-0C5789957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D96C0A" w14:textId="7378A57E" w:rsidR="00D91BDF" w:rsidRPr="00C01436" w:rsidRDefault="00D91BDF" w:rsidP="00D91BDF">
      <w:pPr>
        <w:jc w:val="both"/>
        <w:rPr>
          <w:rFonts w:ascii="Times New Roman" w:hAnsi="Times New Roman" w:cs="Times New Roman"/>
          <w:b/>
          <w:bCs/>
          <w:color w:val="202124"/>
          <w:sz w:val="28"/>
          <w:szCs w:val="28"/>
          <w:u w:val="single"/>
          <w:shd w:val="clear" w:color="auto" w:fill="FFFFFF"/>
        </w:rPr>
      </w:pPr>
      <w:r w:rsidRPr="00C01436">
        <w:rPr>
          <w:rFonts w:ascii="Times New Roman" w:hAnsi="Times New Roman" w:cs="Times New Roman"/>
          <w:b/>
          <w:bCs/>
          <w:color w:val="202124"/>
          <w:sz w:val="28"/>
          <w:szCs w:val="28"/>
          <w:u w:val="single"/>
          <w:shd w:val="clear" w:color="auto" w:fill="FFFFFF"/>
        </w:rPr>
        <w:t>Profitability Ratios:</w:t>
      </w:r>
    </w:p>
    <w:p w14:paraId="69063ED0" w14:textId="77777777" w:rsidR="00D81AB1" w:rsidRPr="00E72BBE" w:rsidRDefault="00D91BDF" w:rsidP="00D91BDF">
      <w:pPr>
        <w:jc w:val="both"/>
        <w:rPr>
          <w:rFonts w:ascii="Times New Roman" w:hAnsi="Times New Roman" w:cs="Times New Roman"/>
        </w:rPr>
      </w:pPr>
      <w:r w:rsidRPr="00C01436">
        <w:rPr>
          <w:rFonts w:ascii="Times New Roman" w:hAnsi="Times New Roman" w:cs="Times New Roman"/>
          <w:b/>
          <w:bCs/>
          <w:color w:val="202124"/>
          <w:u w:val="single"/>
          <w:shd w:val="clear" w:color="auto" w:fill="FFFFFF"/>
        </w:rPr>
        <w:t>Profit Margin (PM):</w:t>
      </w:r>
      <w:r w:rsidRPr="00E72BBE">
        <w:rPr>
          <w:rFonts w:ascii="Times New Roman" w:hAnsi="Times New Roman" w:cs="Times New Roman"/>
        </w:rPr>
        <w:t xml:space="preserve"> This ratio compares profit to sales and tells us how well the company is handling its finances overall. It’s always expressed as a percentage. Marriott’</w:t>
      </w:r>
      <w:r w:rsidR="0091596D" w:rsidRPr="00E72BBE">
        <w:rPr>
          <w:rFonts w:ascii="Times New Roman" w:hAnsi="Times New Roman" w:cs="Times New Roman"/>
        </w:rPr>
        <w:t>s</w:t>
      </w:r>
      <w:r w:rsidRPr="00E72BBE">
        <w:rPr>
          <w:rFonts w:ascii="Times New Roman" w:hAnsi="Times New Roman" w:cs="Times New Roman"/>
        </w:rPr>
        <w:t xml:space="preserve"> profit margin ratio </w:t>
      </w:r>
      <w:r w:rsidR="0091596D" w:rsidRPr="00E72BBE">
        <w:rPr>
          <w:rFonts w:ascii="Times New Roman" w:hAnsi="Times New Roman" w:cs="Times New Roman"/>
        </w:rPr>
        <w:t xml:space="preserve">was </w:t>
      </w:r>
      <w:r w:rsidRPr="00E72BBE">
        <w:rPr>
          <w:rFonts w:ascii="Times New Roman" w:hAnsi="Times New Roman" w:cs="Times New Roman"/>
        </w:rPr>
        <w:t>9</w:t>
      </w:r>
      <w:r w:rsidR="0091596D" w:rsidRPr="00E72BBE">
        <w:rPr>
          <w:rFonts w:ascii="Times New Roman" w:hAnsi="Times New Roman" w:cs="Times New Roman"/>
        </w:rPr>
        <w:t>.</w:t>
      </w:r>
      <w:r w:rsidRPr="00E72BBE">
        <w:rPr>
          <w:rFonts w:ascii="Times New Roman" w:hAnsi="Times New Roman" w:cs="Times New Roman"/>
        </w:rPr>
        <w:t>2</w:t>
      </w:r>
      <w:r w:rsidR="0091596D" w:rsidRPr="00E72BBE">
        <w:rPr>
          <w:rFonts w:ascii="Times New Roman" w:hAnsi="Times New Roman" w:cs="Times New Roman"/>
        </w:rPr>
        <w:t>%</w:t>
      </w:r>
      <w:r w:rsidRPr="00E72BBE">
        <w:rPr>
          <w:rFonts w:ascii="Times New Roman" w:hAnsi="Times New Roman" w:cs="Times New Roman"/>
        </w:rPr>
        <w:t xml:space="preserve"> in 2016 and 12</w:t>
      </w:r>
      <w:r w:rsidR="0091596D" w:rsidRPr="00E72BBE">
        <w:rPr>
          <w:rFonts w:ascii="Times New Roman" w:hAnsi="Times New Roman" w:cs="Times New Roman"/>
        </w:rPr>
        <w:t>.</w:t>
      </w:r>
      <w:r w:rsidRPr="00E72BBE">
        <w:rPr>
          <w:rFonts w:ascii="Times New Roman" w:hAnsi="Times New Roman" w:cs="Times New Roman"/>
        </w:rPr>
        <w:t>2</w:t>
      </w:r>
      <w:r w:rsidR="0091596D" w:rsidRPr="00E72BBE">
        <w:rPr>
          <w:rFonts w:ascii="Times New Roman" w:hAnsi="Times New Roman" w:cs="Times New Roman"/>
        </w:rPr>
        <w:t>%</w:t>
      </w:r>
      <w:r w:rsidRPr="00E72BBE">
        <w:rPr>
          <w:rFonts w:ascii="Times New Roman" w:hAnsi="Times New Roman" w:cs="Times New Roman"/>
        </w:rPr>
        <w:t xml:space="preserve"> in 2017, 11</w:t>
      </w:r>
      <w:r w:rsidR="0091596D" w:rsidRPr="00E72BBE">
        <w:rPr>
          <w:rFonts w:ascii="Times New Roman" w:hAnsi="Times New Roman" w:cs="Times New Roman"/>
        </w:rPr>
        <w:t>.</w:t>
      </w:r>
      <w:r w:rsidRPr="00E72BBE">
        <w:rPr>
          <w:rFonts w:ascii="Times New Roman" w:hAnsi="Times New Roman" w:cs="Times New Roman"/>
        </w:rPr>
        <w:t>4</w:t>
      </w:r>
      <w:r w:rsidR="0091596D" w:rsidRPr="00E72BBE">
        <w:rPr>
          <w:rFonts w:ascii="Times New Roman" w:hAnsi="Times New Roman" w:cs="Times New Roman"/>
        </w:rPr>
        <w:t>%</w:t>
      </w:r>
      <w:r w:rsidRPr="00E72BBE">
        <w:rPr>
          <w:rFonts w:ascii="Times New Roman" w:hAnsi="Times New Roman" w:cs="Times New Roman"/>
        </w:rPr>
        <w:t xml:space="preserve"> in 2018, 8</w:t>
      </w:r>
      <w:r w:rsidR="0091596D" w:rsidRPr="00E72BBE">
        <w:rPr>
          <w:rFonts w:ascii="Times New Roman" w:hAnsi="Times New Roman" w:cs="Times New Roman"/>
        </w:rPr>
        <w:t>.</w:t>
      </w:r>
      <w:r w:rsidRPr="00E72BBE">
        <w:rPr>
          <w:rFonts w:ascii="Times New Roman" w:hAnsi="Times New Roman" w:cs="Times New Roman"/>
        </w:rPr>
        <w:t>6</w:t>
      </w:r>
      <w:r w:rsidR="0091596D" w:rsidRPr="00E72BBE">
        <w:rPr>
          <w:rFonts w:ascii="Times New Roman" w:hAnsi="Times New Roman" w:cs="Times New Roman"/>
        </w:rPr>
        <w:t>%</w:t>
      </w:r>
      <w:r w:rsidRPr="00E72BBE">
        <w:rPr>
          <w:rFonts w:ascii="Times New Roman" w:hAnsi="Times New Roman" w:cs="Times New Roman"/>
        </w:rPr>
        <w:t xml:space="preserve"> in 2019</w:t>
      </w:r>
      <w:r w:rsidR="0091596D" w:rsidRPr="00E72BBE">
        <w:rPr>
          <w:rFonts w:ascii="Times New Roman" w:hAnsi="Times New Roman" w:cs="Times New Roman"/>
        </w:rPr>
        <w:t xml:space="preserve"> and 0.</w:t>
      </w:r>
      <w:r w:rsidRPr="00E72BBE">
        <w:rPr>
          <w:rFonts w:ascii="Times New Roman" w:hAnsi="Times New Roman" w:cs="Times New Roman"/>
        </w:rPr>
        <w:t>8</w:t>
      </w:r>
      <w:r w:rsidR="0091596D" w:rsidRPr="00E72BBE">
        <w:rPr>
          <w:rFonts w:ascii="Times New Roman" w:hAnsi="Times New Roman" w:cs="Times New Roman"/>
        </w:rPr>
        <w:t>%</w:t>
      </w:r>
      <w:r w:rsidRPr="00E72BBE">
        <w:rPr>
          <w:rFonts w:ascii="Times New Roman" w:hAnsi="Times New Roman" w:cs="Times New Roman"/>
        </w:rPr>
        <w:t xml:space="preserve"> in</w:t>
      </w:r>
      <w:r w:rsidR="0091596D" w:rsidRPr="00E72BBE">
        <w:rPr>
          <w:rFonts w:ascii="Times New Roman" w:hAnsi="Times New Roman" w:cs="Times New Roman"/>
        </w:rPr>
        <w:t xml:space="preserve"> the</w:t>
      </w:r>
      <w:r w:rsidRPr="00E72BBE">
        <w:rPr>
          <w:rFonts w:ascii="Times New Roman" w:hAnsi="Times New Roman" w:cs="Times New Roman"/>
        </w:rPr>
        <w:t xml:space="preserve"> year</w:t>
      </w:r>
      <w:r w:rsidR="0091596D" w:rsidRPr="00E72BBE">
        <w:rPr>
          <w:rFonts w:ascii="Times New Roman" w:hAnsi="Times New Roman" w:cs="Times New Roman"/>
        </w:rPr>
        <w:t xml:space="preserve"> of </w:t>
      </w:r>
      <w:r w:rsidRPr="00E72BBE">
        <w:rPr>
          <w:rFonts w:ascii="Times New Roman" w:hAnsi="Times New Roman" w:cs="Times New Roman"/>
        </w:rPr>
        <w:t>2020</w:t>
      </w:r>
      <w:r w:rsidR="0091596D" w:rsidRPr="00E72BBE">
        <w:rPr>
          <w:rFonts w:ascii="Times New Roman" w:hAnsi="Times New Roman" w:cs="Times New Roman"/>
        </w:rPr>
        <w:t>.</w:t>
      </w:r>
      <w:r w:rsidRPr="00E72BBE">
        <w:rPr>
          <w:rFonts w:ascii="Times New Roman" w:hAnsi="Times New Roman" w:cs="Times New Roman"/>
        </w:rPr>
        <w:t xml:space="preserve"> </w:t>
      </w:r>
      <w:r w:rsidR="0091596D" w:rsidRPr="00E72BBE">
        <w:rPr>
          <w:rFonts w:ascii="Times New Roman" w:hAnsi="Times New Roman" w:cs="Times New Roman"/>
        </w:rPr>
        <w:t>T</w:t>
      </w:r>
      <w:r w:rsidRPr="00E72BBE">
        <w:rPr>
          <w:rFonts w:ascii="Times New Roman" w:hAnsi="Times New Roman" w:cs="Times New Roman"/>
        </w:rPr>
        <w:t xml:space="preserve">he company </w:t>
      </w:r>
      <w:r w:rsidR="0091596D" w:rsidRPr="00E72BBE">
        <w:rPr>
          <w:rFonts w:ascii="Times New Roman" w:hAnsi="Times New Roman" w:cs="Times New Roman"/>
        </w:rPr>
        <w:t xml:space="preserve">is </w:t>
      </w:r>
      <w:r w:rsidRPr="00E72BBE">
        <w:rPr>
          <w:rFonts w:ascii="Times New Roman" w:hAnsi="Times New Roman" w:cs="Times New Roman"/>
        </w:rPr>
        <w:t>show</w:t>
      </w:r>
      <w:r w:rsidR="0091596D" w:rsidRPr="00E72BBE">
        <w:rPr>
          <w:rFonts w:ascii="Times New Roman" w:hAnsi="Times New Roman" w:cs="Times New Roman"/>
        </w:rPr>
        <w:t>ing</w:t>
      </w:r>
      <w:r w:rsidRPr="00E72BBE">
        <w:rPr>
          <w:rFonts w:ascii="Times New Roman" w:hAnsi="Times New Roman" w:cs="Times New Roman"/>
        </w:rPr>
        <w:t xml:space="preserve"> increment every year till 2019 </w:t>
      </w:r>
      <w:r w:rsidR="0091596D" w:rsidRPr="00E72BBE">
        <w:rPr>
          <w:rFonts w:ascii="Times New Roman" w:hAnsi="Times New Roman" w:cs="Times New Roman"/>
        </w:rPr>
        <w:t>but l</w:t>
      </w:r>
      <w:r w:rsidRPr="00E72BBE">
        <w:rPr>
          <w:rFonts w:ascii="Times New Roman" w:hAnsi="Times New Roman" w:cs="Times New Roman"/>
        </w:rPr>
        <w:t xml:space="preserve">ater the profit margin has decreased. </w:t>
      </w:r>
    </w:p>
    <w:p w14:paraId="664BBB56" w14:textId="77777777" w:rsidR="00D91BDF" w:rsidRPr="00E72BBE" w:rsidRDefault="0091596D" w:rsidP="00D91BDF">
      <w:pPr>
        <w:jc w:val="both"/>
        <w:rPr>
          <w:rFonts w:ascii="Times New Roman" w:hAnsi="Times New Roman" w:cs="Times New Roman"/>
        </w:rPr>
      </w:pPr>
      <w:r w:rsidRPr="00E72BBE">
        <w:rPr>
          <w:rFonts w:ascii="Times New Roman" w:hAnsi="Times New Roman" w:cs="Times New Roman"/>
        </w:rPr>
        <w:t>H</w:t>
      </w:r>
      <w:r w:rsidR="00D91BDF" w:rsidRPr="00E72BBE">
        <w:rPr>
          <w:rFonts w:ascii="Times New Roman" w:hAnsi="Times New Roman" w:cs="Times New Roman"/>
        </w:rPr>
        <w:t xml:space="preserve">ilton </w:t>
      </w:r>
      <w:r w:rsidRPr="00E72BBE">
        <w:rPr>
          <w:rFonts w:ascii="Times New Roman" w:hAnsi="Times New Roman" w:cs="Times New Roman"/>
        </w:rPr>
        <w:t>W</w:t>
      </w:r>
      <w:r w:rsidR="00D91BDF" w:rsidRPr="00E72BBE">
        <w:rPr>
          <w:rFonts w:ascii="Times New Roman" w:hAnsi="Times New Roman" w:cs="Times New Roman"/>
        </w:rPr>
        <w:t xml:space="preserve">orldwide </w:t>
      </w:r>
      <w:r w:rsidRPr="00E72BBE">
        <w:rPr>
          <w:rFonts w:ascii="Times New Roman" w:hAnsi="Times New Roman" w:cs="Times New Roman"/>
        </w:rPr>
        <w:t>H</w:t>
      </w:r>
      <w:r w:rsidR="00D91BDF" w:rsidRPr="00E72BBE">
        <w:rPr>
          <w:rFonts w:ascii="Times New Roman" w:hAnsi="Times New Roman" w:cs="Times New Roman"/>
        </w:rPr>
        <w:t xml:space="preserve">oldings </w:t>
      </w:r>
      <w:r w:rsidRPr="00E72BBE">
        <w:rPr>
          <w:rFonts w:ascii="Times New Roman" w:hAnsi="Times New Roman" w:cs="Times New Roman"/>
        </w:rPr>
        <w:t>Inc</w:t>
      </w:r>
      <w:r w:rsidR="00D91BDF" w:rsidRPr="00E72BBE">
        <w:rPr>
          <w:rFonts w:ascii="Times New Roman" w:hAnsi="Times New Roman" w:cs="Times New Roman"/>
        </w:rPr>
        <w:t xml:space="preserve"> ha</w:t>
      </w:r>
      <w:r w:rsidRPr="00E72BBE">
        <w:rPr>
          <w:rFonts w:ascii="Times New Roman" w:hAnsi="Times New Roman" w:cs="Times New Roman"/>
        </w:rPr>
        <w:t>s</w:t>
      </w:r>
      <w:r w:rsidR="00D91BDF" w:rsidRPr="00E72BBE">
        <w:rPr>
          <w:rFonts w:ascii="Times New Roman" w:hAnsi="Times New Roman" w:cs="Times New Roman"/>
        </w:rPr>
        <w:t xml:space="preserve"> </w:t>
      </w:r>
      <w:r w:rsidRPr="00E72BBE">
        <w:rPr>
          <w:rFonts w:ascii="Times New Roman" w:hAnsi="Times New Roman" w:cs="Times New Roman"/>
        </w:rPr>
        <w:t xml:space="preserve">a </w:t>
      </w:r>
      <w:r w:rsidR="00D91BDF" w:rsidRPr="00E72BBE">
        <w:rPr>
          <w:rFonts w:ascii="Times New Roman" w:hAnsi="Times New Roman" w:cs="Times New Roman"/>
        </w:rPr>
        <w:t>profit margin</w:t>
      </w:r>
      <w:r w:rsidRPr="00E72BBE">
        <w:rPr>
          <w:rFonts w:ascii="Times New Roman" w:hAnsi="Times New Roman" w:cs="Times New Roman"/>
        </w:rPr>
        <w:t xml:space="preserve"> of</w:t>
      </w:r>
      <w:r w:rsidR="00D91BDF" w:rsidRPr="00E72BBE">
        <w:rPr>
          <w:rFonts w:ascii="Times New Roman" w:hAnsi="Times New Roman" w:cs="Times New Roman"/>
        </w:rPr>
        <w:t xml:space="preserve"> </w:t>
      </w:r>
      <w:r w:rsidRPr="00E72BBE">
        <w:rPr>
          <w:rFonts w:ascii="Times New Roman" w:hAnsi="Times New Roman" w:cs="Times New Roman"/>
        </w:rPr>
        <w:t>12.</w:t>
      </w:r>
      <w:r w:rsidR="00D91BDF" w:rsidRPr="00E72BBE">
        <w:rPr>
          <w:rFonts w:ascii="Times New Roman" w:hAnsi="Times New Roman" w:cs="Times New Roman"/>
        </w:rPr>
        <w:t>8</w:t>
      </w:r>
      <w:r w:rsidRPr="00E72BBE">
        <w:rPr>
          <w:rFonts w:ascii="Times New Roman" w:hAnsi="Times New Roman" w:cs="Times New Roman"/>
        </w:rPr>
        <w:t>%</w:t>
      </w:r>
      <w:r w:rsidR="00D91BDF" w:rsidRPr="00E72BBE">
        <w:rPr>
          <w:rFonts w:ascii="Times New Roman" w:hAnsi="Times New Roman" w:cs="Times New Roman"/>
        </w:rPr>
        <w:t xml:space="preserve"> in 2016, 15</w:t>
      </w:r>
      <w:r w:rsidRPr="00E72BBE">
        <w:rPr>
          <w:rFonts w:ascii="Times New Roman" w:hAnsi="Times New Roman" w:cs="Times New Roman"/>
        </w:rPr>
        <w:t>.</w:t>
      </w:r>
      <w:r w:rsidR="00D91BDF" w:rsidRPr="00E72BBE">
        <w:rPr>
          <w:rFonts w:ascii="Times New Roman" w:hAnsi="Times New Roman" w:cs="Times New Roman"/>
        </w:rPr>
        <w:t>0</w:t>
      </w:r>
      <w:r w:rsidRPr="00E72BBE">
        <w:rPr>
          <w:rFonts w:ascii="Times New Roman" w:hAnsi="Times New Roman" w:cs="Times New Roman"/>
        </w:rPr>
        <w:t>%</w:t>
      </w:r>
      <w:r w:rsidR="00D91BDF" w:rsidRPr="00E72BBE">
        <w:rPr>
          <w:rFonts w:ascii="Times New Roman" w:hAnsi="Times New Roman" w:cs="Times New Roman"/>
        </w:rPr>
        <w:t xml:space="preserve"> in 2017, 16</w:t>
      </w:r>
      <w:r w:rsidRPr="00E72BBE">
        <w:rPr>
          <w:rFonts w:ascii="Times New Roman" w:hAnsi="Times New Roman" w:cs="Times New Roman"/>
        </w:rPr>
        <w:t>.</w:t>
      </w:r>
      <w:r w:rsidR="00D91BDF" w:rsidRPr="00E72BBE">
        <w:rPr>
          <w:rFonts w:ascii="Times New Roman" w:hAnsi="Times New Roman" w:cs="Times New Roman"/>
        </w:rPr>
        <w:t>1</w:t>
      </w:r>
      <w:r w:rsidRPr="00E72BBE">
        <w:rPr>
          <w:rFonts w:ascii="Times New Roman" w:hAnsi="Times New Roman" w:cs="Times New Roman"/>
        </w:rPr>
        <w:t>%</w:t>
      </w:r>
      <w:r w:rsidR="00D91BDF" w:rsidRPr="00E72BBE">
        <w:rPr>
          <w:rFonts w:ascii="Times New Roman" w:hAnsi="Times New Roman" w:cs="Times New Roman"/>
        </w:rPr>
        <w:t xml:space="preserve"> in 2018, 16</w:t>
      </w:r>
      <w:r w:rsidRPr="00E72BBE">
        <w:rPr>
          <w:rFonts w:ascii="Times New Roman" w:hAnsi="Times New Roman" w:cs="Times New Roman"/>
        </w:rPr>
        <w:t>.</w:t>
      </w:r>
      <w:r w:rsidR="00D91BDF" w:rsidRPr="00E72BBE">
        <w:rPr>
          <w:rFonts w:ascii="Times New Roman" w:hAnsi="Times New Roman" w:cs="Times New Roman"/>
        </w:rPr>
        <w:t>7</w:t>
      </w:r>
      <w:r w:rsidRPr="00E72BBE">
        <w:rPr>
          <w:rFonts w:ascii="Times New Roman" w:hAnsi="Times New Roman" w:cs="Times New Roman"/>
        </w:rPr>
        <w:t>%</w:t>
      </w:r>
      <w:r w:rsidR="00D91BDF" w:rsidRPr="00E72BBE">
        <w:rPr>
          <w:rFonts w:ascii="Times New Roman" w:hAnsi="Times New Roman" w:cs="Times New Roman"/>
        </w:rPr>
        <w:t xml:space="preserve"> in</w:t>
      </w:r>
      <w:r w:rsidR="00D81AB1" w:rsidRPr="00E72BBE">
        <w:rPr>
          <w:rFonts w:ascii="Times New Roman" w:hAnsi="Times New Roman" w:cs="Times New Roman"/>
        </w:rPr>
        <w:t xml:space="preserve"> </w:t>
      </w:r>
      <w:r w:rsidR="00D91BDF" w:rsidRPr="00E72BBE">
        <w:rPr>
          <w:rFonts w:ascii="Times New Roman" w:hAnsi="Times New Roman" w:cs="Times New Roman"/>
        </w:rPr>
        <w:t>2019, -</w:t>
      </w:r>
      <w:r w:rsidRPr="00E72BBE">
        <w:rPr>
          <w:rFonts w:ascii="Times New Roman" w:hAnsi="Times New Roman" w:cs="Times New Roman"/>
        </w:rPr>
        <w:t>9.</w:t>
      </w:r>
      <w:r w:rsidR="00D91BDF" w:rsidRPr="00E72BBE">
        <w:rPr>
          <w:rFonts w:ascii="Times New Roman" w:hAnsi="Times New Roman" w:cs="Times New Roman"/>
        </w:rPr>
        <w:t>7</w:t>
      </w:r>
      <w:r w:rsidRPr="00E72BBE">
        <w:rPr>
          <w:rFonts w:ascii="Times New Roman" w:hAnsi="Times New Roman" w:cs="Times New Roman"/>
        </w:rPr>
        <w:t>%</w:t>
      </w:r>
      <w:r w:rsidR="00D91BDF" w:rsidRPr="00E72BBE">
        <w:rPr>
          <w:rFonts w:ascii="Times New Roman" w:hAnsi="Times New Roman" w:cs="Times New Roman"/>
        </w:rPr>
        <w:t xml:space="preserve"> in year </w:t>
      </w:r>
      <w:r w:rsidRPr="00E72BBE">
        <w:rPr>
          <w:rFonts w:ascii="Times New Roman" w:hAnsi="Times New Roman" w:cs="Times New Roman"/>
        </w:rPr>
        <w:t xml:space="preserve">of </w:t>
      </w:r>
      <w:r w:rsidR="00D91BDF" w:rsidRPr="00E72BBE">
        <w:rPr>
          <w:rFonts w:ascii="Times New Roman" w:hAnsi="Times New Roman" w:cs="Times New Roman"/>
        </w:rPr>
        <w:t>2020</w:t>
      </w:r>
      <w:r w:rsidRPr="00E72BBE">
        <w:rPr>
          <w:rFonts w:ascii="Times New Roman" w:hAnsi="Times New Roman" w:cs="Times New Roman"/>
        </w:rPr>
        <w:t>. Hilton</w:t>
      </w:r>
      <w:r w:rsidR="00D91BDF" w:rsidRPr="00E72BBE">
        <w:rPr>
          <w:rFonts w:ascii="Times New Roman" w:hAnsi="Times New Roman" w:cs="Times New Roman"/>
        </w:rPr>
        <w:t xml:space="preserve"> shows </w:t>
      </w:r>
      <w:r w:rsidRPr="00E72BBE">
        <w:rPr>
          <w:rFonts w:ascii="Times New Roman" w:hAnsi="Times New Roman" w:cs="Times New Roman"/>
        </w:rPr>
        <w:t>an upward trend</w:t>
      </w:r>
      <w:r w:rsidR="00D91BDF" w:rsidRPr="00E72BBE">
        <w:rPr>
          <w:rFonts w:ascii="Times New Roman" w:hAnsi="Times New Roman" w:cs="Times New Roman"/>
        </w:rPr>
        <w:t xml:space="preserve"> from 2016 to 2019 later in 2020</w:t>
      </w:r>
      <w:r w:rsidRPr="00E72BBE">
        <w:rPr>
          <w:rFonts w:ascii="Times New Roman" w:hAnsi="Times New Roman" w:cs="Times New Roman"/>
        </w:rPr>
        <w:t xml:space="preserve">, </w:t>
      </w:r>
      <w:r w:rsidR="00D91BDF" w:rsidRPr="00E72BBE">
        <w:rPr>
          <w:rFonts w:ascii="Times New Roman" w:hAnsi="Times New Roman" w:cs="Times New Roman"/>
        </w:rPr>
        <w:t>company</w:t>
      </w:r>
      <w:r w:rsidRPr="00E72BBE">
        <w:rPr>
          <w:rFonts w:ascii="Times New Roman" w:hAnsi="Times New Roman" w:cs="Times New Roman"/>
        </w:rPr>
        <w:t xml:space="preserve">’s </w:t>
      </w:r>
      <w:r w:rsidR="00D91BDF" w:rsidRPr="00E72BBE">
        <w:rPr>
          <w:rFonts w:ascii="Times New Roman" w:hAnsi="Times New Roman" w:cs="Times New Roman"/>
        </w:rPr>
        <w:t>profit margin is</w:t>
      </w:r>
      <w:r w:rsidR="00D81AB1" w:rsidRPr="00E72BBE">
        <w:rPr>
          <w:rFonts w:ascii="Times New Roman" w:hAnsi="Times New Roman" w:cs="Times New Roman"/>
        </w:rPr>
        <w:t xml:space="preserve"> showing</w:t>
      </w:r>
      <w:r w:rsidR="00D91BDF" w:rsidRPr="00E72BBE">
        <w:rPr>
          <w:rFonts w:ascii="Times New Roman" w:hAnsi="Times New Roman" w:cs="Times New Roman"/>
        </w:rPr>
        <w:t xml:space="preserve"> negative </w:t>
      </w:r>
      <w:r w:rsidR="00D81AB1" w:rsidRPr="00E72BBE">
        <w:rPr>
          <w:rFonts w:ascii="Times New Roman" w:hAnsi="Times New Roman" w:cs="Times New Roman"/>
        </w:rPr>
        <w:t>due to loss incurred in that parti</w:t>
      </w:r>
      <w:r w:rsidR="00CE1058" w:rsidRPr="00E72BBE">
        <w:rPr>
          <w:rFonts w:ascii="Times New Roman" w:hAnsi="Times New Roman" w:cs="Times New Roman"/>
        </w:rPr>
        <w:t>c</w:t>
      </w:r>
      <w:r w:rsidR="00D81AB1" w:rsidRPr="00E72BBE">
        <w:rPr>
          <w:rFonts w:ascii="Times New Roman" w:hAnsi="Times New Roman" w:cs="Times New Roman"/>
        </w:rPr>
        <w:t>ular year.</w:t>
      </w:r>
    </w:p>
    <w:p w14:paraId="5AAA8D16" w14:textId="7DB04419" w:rsidR="00CE1058" w:rsidRPr="00E72BBE" w:rsidRDefault="00CE1058" w:rsidP="00D91BDF">
      <w:pPr>
        <w:jc w:val="both"/>
        <w:rPr>
          <w:rFonts w:ascii="Times New Roman" w:hAnsi="Times New Roman" w:cs="Times New Roman"/>
        </w:rPr>
      </w:pPr>
      <w:r w:rsidRPr="00E72BBE">
        <w:rPr>
          <w:rFonts w:ascii="Times New Roman" w:hAnsi="Times New Roman" w:cs="Times New Roman"/>
          <w:noProof/>
        </w:rPr>
        <w:lastRenderedPageBreak/>
        <w:drawing>
          <wp:inline distT="0" distB="0" distL="0" distR="0" wp14:anchorId="6E315DED" wp14:editId="799C5252">
            <wp:extent cx="3917950" cy="1657350"/>
            <wp:effectExtent l="0" t="0" r="6350" b="0"/>
            <wp:docPr id="8" name="Chart 8">
              <a:extLst xmlns:a="http://schemas.openxmlformats.org/drawingml/2006/main">
                <a:ext uri="{FF2B5EF4-FFF2-40B4-BE49-F238E27FC236}">
                  <a16:creationId xmlns:a16="http://schemas.microsoft.com/office/drawing/2014/main" id="{5D2F874C-F2A7-4E8C-93E5-8A1C65C529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63EA41" w14:textId="5BBBAF39" w:rsidR="00D81AB1" w:rsidRPr="00E72BBE" w:rsidRDefault="00D91BDF" w:rsidP="0091596D">
      <w:pPr>
        <w:jc w:val="both"/>
        <w:rPr>
          <w:rFonts w:ascii="Times New Roman" w:hAnsi="Times New Roman" w:cs="Times New Roman"/>
        </w:rPr>
      </w:pPr>
      <w:r w:rsidRPr="00C01436">
        <w:rPr>
          <w:rFonts w:ascii="Times New Roman" w:hAnsi="Times New Roman" w:cs="Times New Roman"/>
          <w:b/>
          <w:bCs/>
          <w:u w:val="single"/>
        </w:rPr>
        <w:t>Net Operating Profit After Tax</w:t>
      </w:r>
      <w:r w:rsidR="00D81AB1" w:rsidRPr="00C01436">
        <w:rPr>
          <w:rFonts w:ascii="Times New Roman" w:hAnsi="Times New Roman" w:cs="Times New Roman"/>
          <w:b/>
          <w:bCs/>
          <w:u w:val="single"/>
        </w:rPr>
        <w:t xml:space="preserve"> </w:t>
      </w:r>
      <w:r w:rsidRPr="00C01436">
        <w:rPr>
          <w:rFonts w:ascii="Times New Roman" w:hAnsi="Times New Roman" w:cs="Times New Roman"/>
          <w:b/>
          <w:bCs/>
          <w:u w:val="single"/>
        </w:rPr>
        <w:t>(NOPAT):</w:t>
      </w:r>
      <w:r w:rsidRPr="00E72BBE">
        <w:rPr>
          <w:rFonts w:ascii="Times New Roman" w:hAnsi="Times New Roman" w:cs="Times New Roman"/>
        </w:rPr>
        <w:t xml:space="preserve"> </w:t>
      </w:r>
      <w:r w:rsidR="00D81AB1" w:rsidRPr="00E72BBE">
        <w:rPr>
          <w:rFonts w:ascii="Times New Roman" w:hAnsi="Times New Roman" w:cs="Times New Roman"/>
        </w:rPr>
        <w:t>This ratio</w:t>
      </w:r>
      <w:r w:rsidRPr="00E72BBE">
        <w:rPr>
          <w:rFonts w:ascii="Times New Roman" w:hAnsi="Times New Roman" w:cs="Times New Roman"/>
        </w:rPr>
        <w:t xml:space="preserve"> helps investors to determine how well one company is performing </w:t>
      </w:r>
      <w:r w:rsidR="00D81AB1" w:rsidRPr="00E72BBE">
        <w:rPr>
          <w:rFonts w:ascii="Times New Roman" w:hAnsi="Times New Roman" w:cs="Times New Roman"/>
        </w:rPr>
        <w:t>in correspondence to</w:t>
      </w:r>
      <w:r w:rsidRPr="00E72BBE">
        <w:rPr>
          <w:rFonts w:ascii="Times New Roman" w:hAnsi="Times New Roman" w:cs="Times New Roman"/>
        </w:rPr>
        <w:t xml:space="preserve"> another</w:t>
      </w:r>
      <w:r w:rsidR="00D81AB1" w:rsidRPr="00E72BBE">
        <w:rPr>
          <w:rFonts w:ascii="Times New Roman" w:hAnsi="Times New Roman" w:cs="Times New Roman"/>
        </w:rPr>
        <w:t xml:space="preserve"> company</w:t>
      </w:r>
      <w:r w:rsidRPr="00E72BBE">
        <w:rPr>
          <w:rFonts w:ascii="Times New Roman" w:hAnsi="Times New Roman" w:cs="Times New Roman"/>
        </w:rPr>
        <w:t xml:space="preserve"> in the same industry. Marriott</w:t>
      </w:r>
      <w:r w:rsidR="00D81AB1" w:rsidRPr="00E72BBE">
        <w:rPr>
          <w:rFonts w:ascii="Times New Roman" w:hAnsi="Times New Roman" w:cs="Times New Roman"/>
        </w:rPr>
        <w:t xml:space="preserve">’s NOPAT for 2016 is </w:t>
      </w:r>
      <w:r w:rsidRPr="00E72BBE">
        <w:rPr>
          <w:rFonts w:ascii="Times New Roman" w:hAnsi="Times New Roman" w:cs="Times New Roman"/>
        </w:rPr>
        <w:t>623.140</w:t>
      </w:r>
      <w:r w:rsidR="00D81AB1" w:rsidRPr="00E72BBE">
        <w:rPr>
          <w:rFonts w:ascii="Times New Roman" w:hAnsi="Times New Roman" w:cs="Times New Roman"/>
        </w:rPr>
        <w:t xml:space="preserve">, for 2017 it is </w:t>
      </w:r>
      <w:r w:rsidRPr="00E72BBE">
        <w:rPr>
          <w:rFonts w:ascii="Times New Roman" w:hAnsi="Times New Roman" w:cs="Times New Roman"/>
        </w:rPr>
        <w:t xml:space="preserve">1231.480, </w:t>
      </w:r>
      <w:r w:rsidR="00D81AB1" w:rsidRPr="00E72BBE">
        <w:rPr>
          <w:rFonts w:ascii="Times New Roman" w:hAnsi="Times New Roman" w:cs="Times New Roman"/>
        </w:rPr>
        <w:t xml:space="preserve">for 2018 it is </w:t>
      </w:r>
      <w:r w:rsidRPr="00E72BBE">
        <w:rPr>
          <w:rFonts w:ascii="Times New Roman" w:hAnsi="Times New Roman" w:cs="Times New Roman"/>
        </w:rPr>
        <w:t xml:space="preserve">1638.400, </w:t>
      </w:r>
      <w:r w:rsidR="00D81AB1" w:rsidRPr="00E72BBE">
        <w:rPr>
          <w:rFonts w:ascii="Times New Roman" w:hAnsi="Times New Roman" w:cs="Times New Roman"/>
        </w:rPr>
        <w:t xml:space="preserve">for 2019 it is </w:t>
      </w:r>
      <w:r w:rsidRPr="00E72BBE">
        <w:rPr>
          <w:rFonts w:ascii="Times New Roman" w:hAnsi="Times New Roman" w:cs="Times New Roman"/>
        </w:rPr>
        <w:t xml:space="preserve">961.740, </w:t>
      </w:r>
      <w:r w:rsidR="00D81AB1" w:rsidRPr="00E72BBE">
        <w:rPr>
          <w:rFonts w:ascii="Times New Roman" w:hAnsi="Times New Roman" w:cs="Times New Roman"/>
        </w:rPr>
        <w:t xml:space="preserve">for 2020 it is </w:t>
      </w:r>
      <w:r w:rsidRPr="00E72BBE">
        <w:rPr>
          <w:rFonts w:ascii="Times New Roman" w:hAnsi="Times New Roman" w:cs="Times New Roman"/>
        </w:rPr>
        <w:t>-618.550</w:t>
      </w:r>
      <w:r w:rsidR="00D81AB1" w:rsidRPr="00E72BBE">
        <w:rPr>
          <w:rFonts w:ascii="Times New Roman" w:hAnsi="Times New Roman" w:cs="Times New Roman"/>
        </w:rPr>
        <w:t>. T</w:t>
      </w:r>
      <w:r w:rsidRPr="00E72BBE">
        <w:rPr>
          <w:rFonts w:ascii="Times New Roman" w:hAnsi="Times New Roman" w:cs="Times New Roman"/>
        </w:rPr>
        <w:t>he company</w:t>
      </w:r>
      <w:r w:rsidR="00D81AB1" w:rsidRPr="00E72BBE">
        <w:rPr>
          <w:rFonts w:ascii="Times New Roman" w:hAnsi="Times New Roman" w:cs="Times New Roman"/>
        </w:rPr>
        <w:t xml:space="preserve"> is showing an increasing trend from 2016 to </w:t>
      </w:r>
      <w:r w:rsidRPr="00E72BBE">
        <w:rPr>
          <w:rFonts w:ascii="Times New Roman" w:hAnsi="Times New Roman" w:cs="Times New Roman"/>
        </w:rPr>
        <w:t>2019</w:t>
      </w:r>
      <w:r w:rsidR="00D81AB1" w:rsidRPr="00E72BBE">
        <w:rPr>
          <w:rFonts w:ascii="Times New Roman" w:hAnsi="Times New Roman" w:cs="Times New Roman"/>
        </w:rPr>
        <w:t xml:space="preserve"> and in 2020 it </w:t>
      </w:r>
      <w:r w:rsidRPr="00E72BBE">
        <w:rPr>
          <w:rFonts w:ascii="Times New Roman" w:hAnsi="Times New Roman" w:cs="Times New Roman"/>
        </w:rPr>
        <w:t>has decreased</w:t>
      </w:r>
      <w:r w:rsidR="00D81AB1" w:rsidRPr="00E72BBE">
        <w:rPr>
          <w:rFonts w:ascii="Times New Roman" w:hAnsi="Times New Roman" w:cs="Times New Roman"/>
        </w:rPr>
        <w:t xml:space="preserve"> and became negative which we believe due to the pandemic</w:t>
      </w:r>
      <w:r w:rsidRPr="00E72BBE">
        <w:rPr>
          <w:rFonts w:ascii="Times New Roman" w:hAnsi="Times New Roman" w:cs="Times New Roman"/>
        </w:rPr>
        <w:t xml:space="preserve">. </w:t>
      </w:r>
    </w:p>
    <w:p w14:paraId="42BF0A65" w14:textId="262C5B47" w:rsidR="00D91BDF" w:rsidRPr="00E72BBE" w:rsidRDefault="00D81AB1" w:rsidP="0091596D">
      <w:pPr>
        <w:jc w:val="both"/>
        <w:rPr>
          <w:rFonts w:ascii="Times New Roman" w:hAnsi="Times New Roman" w:cs="Times New Roman"/>
        </w:rPr>
      </w:pPr>
      <w:r w:rsidRPr="00E72BBE">
        <w:rPr>
          <w:rFonts w:ascii="Times New Roman" w:hAnsi="Times New Roman" w:cs="Times New Roman"/>
        </w:rPr>
        <w:t>H</w:t>
      </w:r>
      <w:r w:rsidR="00D91BDF" w:rsidRPr="00E72BBE">
        <w:rPr>
          <w:rFonts w:ascii="Times New Roman" w:hAnsi="Times New Roman" w:cs="Times New Roman"/>
        </w:rPr>
        <w:t xml:space="preserve">ilton </w:t>
      </w:r>
      <w:r w:rsidRPr="00E72BBE">
        <w:rPr>
          <w:rFonts w:ascii="Times New Roman" w:hAnsi="Times New Roman" w:cs="Times New Roman"/>
        </w:rPr>
        <w:t>W</w:t>
      </w:r>
      <w:r w:rsidR="00D91BDF" w:rsidRPr="00E72BBE">
        <w:rPr>
          <w:rFonts w:ascii="Times New Roman" w:hAnsi="Times New Roman" w:cs="Times New Roman"/>
        </w:rPr>
        <w:t xml:space="preserve">orldwide </w:t>
      </w:r>
      <w:r w:rsidRPr="00E72BBE">
        <w:rPr>
          <w:rFonts w:ascii="Times New Roman" w:hAnsi="Times New Roman" w:cs="Times New Roman"/>
        </w:rPr>
        <w:t>H</w:t>
      </w:r>
      <w:r w:rsidR="00D91BDF" w:rsidRPr="00E72BBE">
        <w:rPr>
          <w:rFonts w:ascii="Times New Roman" w:hAnsi="Times New Roman" w:cs="Times New Roman"/>
        </w:rPr>
        <w:t xml:space="preserve">oldings </w:t>
      </w:r>
      <w:r w:rsidRPr="00E72BBE">
        <w:rPr>
          <w:rFonts w:ascii="Times New Roman" w:hAnsi="Times New Roman" w:cs="Times New Roman"/>
        </w:rPr>
        <w:t>I</w:t>
      </w:r>
      <w:r w:rsidR="00D91BDF" w:rsidRPr="00E72BBE">
        <w:rPr>
          <w:rFonts w:ascii="Times New Roman" w:hAnsi="Times New Roman" w:cs="Times New Roman"/>
        </w:rPr>
        <w:t>nc h</w:t>
      </w:r>
      <w:r w:rsidRPr="00E72BBE">
        <w:rPr>
          <w:rFonts w:ascii="Times New Roman" w:hAnsi="Times New Roman" w:cs="Times New Roman"/>
        </w:rPr>
        <w:t>as a NOPAT of 623.140</w:t>
      </w:r>
      <w:r w:rsidR="00D91BDF" w:rsidRPr="00E72BBE">
        <w:rPr>
          <w:rFonts w:ascii="Times New Roman" w:hAnsi="Times New Roman" w:cs="Times New Roman"/>
        </w:rPr>
        <w:t xml:space="preserve"> </w:t>
      </w:r>
      <w:r w:rsidRPr="00E72BBE">
        <w:rPr>
          <w:rFonts w:ascii="Times New Roman" w:hAnsi="Times New Roman" w:cs="Times New Roman"/>
        </w:rPr>
        <w:t>in</w:t>
      </w:r>
      <w:r w:rsidR="00D91BDF" w:rsidRPr="00E72BBE">
        <w:rPr>
          <w:rFonts w:ascii="Times New Roman" w:hAnsi="Times New Roman" w:cs="Times New Roman"/>
        </w:rPr>
        <w:t xml:space="preserve"> 2016, 1231.480 in 2017, 1638.400 in 2018, 961.740 in 2019, -618.550 in 2020 show</w:t>
      </w:r>
      <w:r w:rsidRPr="00E72BBE">
        <w:rPr>
          <w:rFonts w:ascii="Times New Roman" w:hAnsi="Times New Roman" w:cs="Times New Roman"/>
        </w:rPr>
        <w:t>ing</w:t>
      </w:r>
      <w:r w:rsidR="00D91BDF" w:rsidRPr="00E72BBE">
        <w:rPr>
          <w:rFonts w:ascii="Times New Roman" w:hAnsi="Times New Roman" w:cs="Times New Roman"/>
        </w:rPr>
        <w:t xml:space="preserve"> increment from 2016 to 201</w:t>
      </w:r>
      <w:r w:rsidR="005F786B" w:rsidRPr="00E72BBE">
        <w:rPr>
          <w:rFonts w:ascii="Times New Roman" w:hAnsi="Times New Roman" w:cs="Times New Roman"/>
        </w:rPr>
        <w:t>9</w:t>
      </w:r>
      <w:r w:rsidR="00D91BDF" w:rsidRPr="00E72BBE">
        <w:rPr>
          <w:rFonts w:ascii="Times New Roman" w:hAnsi="Times New Roman" w:cs="Times New Roman"/>
        </w:rPr>
        <w:t xml:space="preserve"> </w:t>
      </w:r>
      <w:r w:rsidR="005F786B" w:rsidRPr="00E72BBE">
        <w:rPr>
          <w:rFonts w:ascii="Times New Roman" w:hAnsi="Times New Roman" w:cs="Times New Roman"/>
        </w:rPr>
        <w:t>and during 2020</w:t>
      </w:r>
      <w:r w:rsidR="00D91BDF" w:rsidRPr="00E72BBE">
        <w:rPr>
          <w:rFonts w:ascii="Times New Roman" w:hAnsi="Times New Roman" w:cs="Times New Roman"/>
        </w:rPr>
        <w:t xml:space="preserve"> net operating profi</w:t>
      </w:r>
      <w:r w:rsidR="005F786B" w:rsidRPr="00E72BBE">
        <w:rPr>
          <w:rFonts w:ascii="Times New Roman" w:hAnsi="Times New Roman" w:cs="Times New Roman"/>
        </w:rPr>
        <w:t>t after taxes becomes</w:t>
      </w:r>
      <w:r w:rsidR="00D91BDF" w:rsidRPr="00E72BBE">
        <w:rPr>
          <w:rFonts w:ascii="Times New Roman" w:hAnsi="Times New Roman" w:cs="Times New Roman"/>
        </w:rPr>
        <w:t xml:space="preserve"> negative </w:t>
      </w:r>
      <w:r w:rsidR="005F786B" w:rsidRPr="00E72BBE">
        <w:rPr>
          <w:rFonts w:ascii="Times New Roman" w:hAnsi="Times New Roman" w:cs="Times New Roman"/>
        </w:rPr>
        <w:t>due to loss incurred in that year.</w:t>
      </w:r>
    </w:p>
    <w:p w14:paraId="0EB685F7" w14:textId="3F88024D" w:rsidR="008F3CE7" w:rsidRPr="00E72BBE" w:rsidRDefault="008F3CE7" w:rsidP="0091596D">
      <w:pPr>
        <w:jc w:val="both"/>
        <w:rPr>
          <w:rFonts w:ascii="Times New Roman" w:hAnsi="Times New Roman" w:cs="Times New Roman"/>
        </w:rPr>
      </w:pPr>
      <w:r w:rsidRPr="00E72BBE">
        <w:rPr>
          <w:rFonts w:ascii="Times New Roman" w:hAnsi="Times New Roman" w:cs="Times New Roman"/>
          <w:noProof/>
        </w:rPr>
        <w:drawing>
          <wp:inline distT="0" distB="0" distL="0" distR="0" wp14:anchorId="5FCD1977" wp14:editId="464B7723">
            <wp:extent cx="4546600" cy="1689100"/>
            <wp:effectExtent l="0" t="0" r="6350" b="6350"/>
            <wp:docPr id="9" name="Chart 9">
              <a:extLst xmlns:a="http://schemas.openxmlformats.org/drawingml/2006/main">
                <a:ext uri="{FF2B5EF4-FFF2-40B4-BE49-F238E27FC236}">
                  <a16:creationId xmlns:a16="http://schemas.microsoft.com/office/drawing/2014/main" id="{C4827DBC-7E81-4B73-A1AA-0B4D91CB3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FE9DEF" w14:textId="2A9B62DC" w:rsidR="00D91BDF" w:rsidRPr="00E72BBE" w:rsidRDefault="00D91BDF" w:rsidP="00D91BDF">
      <w:pPr>
        <w:jc w:val="both"/>
        <w:rPr>
          <w:rFonts w:ascii="Times New Roman" w:hAnsi="Times New Roman" w:cs="Times New Roman"/>
        </w:rPr>
      </w:pPr>
      <w:r w:rsidRPr="00C01436">
        <w:rPr>
          <w:rFonts w:ascii="Times New Roman" w:hAnsi="Times New Roman" w:cs="Times New Roman"/>
          <w:b/>
          <w:bCs/>
          <w:u w:val="single"/>
        </w:rPr>
        <w:t>Gross Profit Margin</w:t>
      </w:r>
      <w:r w:rsidR="008F3CE7" w:rsidRPr="00C01436">
        <w:rPr>
          <w:rFonts w:ascii="Times New Roman" w:hAnsi="Times New Roman" w:cs="Times New Roman"/>
          <w:b/>
          <w:bCs/>
          <w:u w:val="single"/>
        </w:rPr>
        <w:t xml:space="preserve"> </w:t>
      </w:r>
      <w:r w:rsidRPr="00C01436">
        <w:rPr>
          <w:rFonts w:ascii="Times New Roman" w:hAnsi="Times New Roman" w:cs="Times New Roman"/>
          <w:b/>
          <w:bCs/>
          <w:u w:val="single"/>
        </w:rPr>
        <w:t>(GPM):</w:t>
      </w:r>
      <w:r w:rsidRPr="00E72BBE">
        <w:rPr>
          <w:rFonts w:ascii="Times New Roman" w:hAnsi="Times New Roman" w:cs="Times New Roman"/>
        </w:rPr>
        <w:t xml:space="preserve"> This </w:t>
      </w:r>
      <w:r w:rsidRPr="00E72BBE">
        <w:rPr>
          <w:rFonts w:ascii="Times New Roman" w:hAnsi="Times New Roman" w:cs="Times New Roman"/>
          <w:color w:val="000000"/>
          <w:shd w:val="clear" w:color="auto" w:fill="FFFFFF"/>
        </w:rPr>
        <w:t xml:space="preserve">is the percentage of revenue a company has left over after paying direct costs of </w:t>
      </w:r>
      <w:r w:rsidR="005F786B" w:rsidRPr="00E72BBE">
        <w:rPr>
          <w:rFonts w:ascii="Times New Roman" w:hAnsi="Times New Roman" w:cs="Times New Roman"/>
          <w:color w:val="000000"/>
          <w:shd w:val="clear" w:color="auto" w:fill="FFFFFF"/>
        </w:rPr>
        <w:t>producing</w:t>
      </w:r>
      <w:r w:rsidRPr="00E72BBE">
        <w:rPr>
          <w:rFonts w:ascii="Times New Roman" w:hAnsi="Times New Roman" w:cs="Times New Roman"/>
          <w:color w:val="000000"/>
          <w:shd w:val="clear" w:color="auto" w:fill="FFFFFF"/>
        </w:rPr>
        <w:t xml:space="preserve"> goods. </w:t>
      </w:r>
      <w:r w:rsidRPr="00E72BBE">
        <w:rPr>
          <w:rFonts w:ascii="Times New Roman" w:hAnsi="Times New Roman" w:cs="Times New Roman"/>
        </w:rPr>
        <w:t>Marriott</w:t>
      </w:r>
      <w:r w:rsidR="005F786B" w:rsidRPr="00E72BBE">
        <w:rPr>
          <w:rFonts w:ascii="Times New Roman" w:hAnsi="Times New Roman" w:cs="Times New Roman"/>
        </w:rPr>
        <w:t>’s</w:t>
      </w:r>
      <w:r w:rsidRPr="00E72BBE">
        <w:rPr>
          <w:rFonts w:ascii="Times New Roman" w:hAnsi="Times New Roman" w:cs="Times New Roman"/>
        </w:rPr>
        <w:t xml:space="preserve"> gross profit margin</w:t>
      </w:r>
      <w:r w:rsidR="00132671" w:rsidRPr="00E72BBE">
        <w:rPr>
          <w:rFonts w:ascii="Times New Roman" w:hAnsi="Times New Roman" w:cs="Times New Roman"/>
        </w:rPr>
        <w:t xml:space="preserve"> was</w:t>
      </w:r>
      <w:r w:rsidRPr="00E72BBE">
        <w:rPr>
          <w:rFonts w:ascii="Times New Roman" w:hAnsi="Times New Roman" w:cs="Times New Roman"/>
        </w:rPr>
        <w:t xml:space="preserve"> 0.232 in 2016</w:t>
      </w:r>
      <w:r w:rsidR="00132671" w:rsidRPr="00E72BBE">
        <w:rPr>
          <w:rFonts w:ascii="Times New Roman" w:hAnsi="Times New Roman" w:cs="Times New Roman"/>
        </w:rPr>
        <w:t>,</w:t>
      </w:r>
      <w:r w:rsidRPr="00E72BBE">
        <w:rPr>
          <w:rFonts w:ascii="Times New Roman" w:hAnsi="Times New Roman" w:cs="Times New Roman"/>
        </w:rPr>
        <w:t xml:space="preserve"> 0.255 in 2017, 0.240 in 2018, 0.216 in 2019</w:t>
      </w:r>
      <w:r w:rsidR="00132671" w:rsidRPr="00E72BBE">
        <w:rPr>
          <w:rFonts w:ascii="Times New Roman" w:hAnsi="Times New Roman" w:cs="Times New Roman"/>
        </w:rPr>
        <w:t xml:space="preserve"> and</w:t>
      </w:r>
      <w:r w:rsidRPr="00E72BBE">
        <w:rPr>
          <w:rFonts w:ascii="Times New Roman" w:hAnsi="Times New Roman" w:cs="Times New Roman"/>
        </w:rPr>
        <w:t xml:space="preserve"> 0.202 in 2020</w:t>
      </w:r>
      <w:r w:rsidR="00132671" w:rsidRPr="00E72BBE">
        <w:rPr>
          <w:rFonts w:ascii="Times New Roman" w:hAnsi="Times New Roman" w:cs="Times New Roman"/>
        </w:rPr>
        <w:t xml:space="preserve">. This ratio also shows a rising trend every year till </w:t>
      </w:r>
      <w:r w:rsidRPr="00E72BBE">
        <w:rPr>
          <w:rFonts w:ascii="Times New Roman" w:hAnsi="Times New Roman" w:cs="Times New Roman"/>
        </w:rPr>
        <w:t xml:space="preserve">2019 </w:t>
      </w:r>
      <w:r w:rsidR="00132671" w:rsidRPr="00E72BBE">
        <w:rPr>
          <w:rFonts w:ascii="Times New Roman" w:hAnsi="Times New Roman" w:cs="Times New Roman"/>
        </w:rPr>
        <w:t>and then</w:t>
      </w:r>
      <w:r w:rsidRPr="00E72BBE">
        <w:rPr>
          <w:rFonts w:ascii="Times New Roman" w:hAnsi="Times New Roman" w:cs="Times New Roman"/>
        </w:rPr>
        <w:t xml:space="preserve"> </w:t>
      </w:r>
      <w:r w:rsidR="00132671" w:rsidRPr="00E72BBE">
        <w:rPr>
          <w:rFonts w:ascii="Times New Roman" w:hAnsi="Times New Roman" w:cs="Times New Roman"/>
        </w:rPr>
        <w:t xml:space="preserve">in the year of 2020, this ratio </w:t>
      </w:r>
      <w:r w:rsidRPr="00E72BBE">
        <w:rPr>
          <w:rFonts w:ascii="Times New Roman" w:hAnsi="Times New Roman" w:cs="Times New Roman"/>
        </w:rPr>
        <w:t xml:space="preserve">has decreased. </w:t>
      </w:r>
      <w:r w:rsidR="00132671" w:rsidRPr="00E72BBE">
        <w:rPr>
          <w:rFonts w:ascii="Times New Roman" w:hAnsi="Times New Roman" w:cs="Times New Roman"/>
        </w:rPr>
        <w:t xml:space="preserve">Hilton </w:t>
      </w:r>
      <w:r w:rsidRPr="00E72BBE">
        <w:rPr>
          <w:rFonts w:ascii="Times New Roman" w:hAnsi="Times New Roman" w:cs="Times New Roman"/>
        </w:rPr>
        <w:t>doesn’t have c</w:t>
      </w:r>
      <w:r w:rsidR="00132671" w:rsidRPr="00E72BBE">
        <w:rPr>
          <w:rFonts w:ascii="Times New Roman" w:hAnsi="Times New Roman" w:cs="Times New Roman"/>
        </w:rPr>
        <w:t>ost of goods sold</w:t>
      </w:r>
      <w:r w:rsidRPr="00E72BBE">
        <w:rPr>
          <w:rFonts w:ascii="Times New Roman" w:hAnsi="Times New Roman" w:cs="Times New Roman"/>
        </w:rPr>
        <w:t xml:space="preserve"> so we couldn’t calculate this ratio.</w:t>
      </w:r>
    </w:p>
    <w:p w14:paraId="682AD866" w14:textId="439486EA" w:rsidR="00D91BDF" w:rsidRPr="00C01436" w:rsidRDefault="00D91BDF" w:rsidP="00D91BDF">
      <w:pPr>
        <w:jc w:val="both"/>
        <w:rPr>
          <w:rFonts w:ascii="Times New Roman" w:hAnsi="Times New Roman" w:cs="Times New Roman"/>
          <w:b/>
          <w:bCs/>
          <w:sz w:val="28"/>
          <w:szCs w:val="28"/>
          <w:u w:val="single"/>
        </w:rPr>
      </w:pPr>
      <w:r w:rsidRPr="00C01436">
        <w:rPr>
          <w:rFonts w:ascii="Times New Roman" w:hAnsi="Times New Roman" w:cs="Times New Roman"/>
          <w:b/>
          <w:bCs/>
          <w:sz w:val="28"/>
          <w:szCs w:val="28"/>
          <w:u w:val="single"/>
        </w:rPr>
        <w:t>Turnover Ratios</w:t>
      </w:r>
      <w:r w:rsidR="00C01436" w:rsidRPr="00C01436">
        <w:rPr>
          <w:rFonts w:ascii="Times New Roman" w:hAnsi="Times New Roman" w:cs="Times New Roman"/>
          <w:b/>
          <w:bCs/>
          <w:sz w:val="28"/>
          <w:szCs w:val="28"/>
          <w:u w:val="single"/>
        </w:rPr>
        <w:t>:</w:t>
      </w:r>
    </w:p>
    <w:p w14:paraId="3812CC63" w14:textId="4A3DF6CC" w:rsidR="00D91BDF" w:rsidRPr="00E72BBE" w:rsidRDefault="00D91BDF" w:rsidP="00D91BDF">
      <w:pPr>
        <w:jc w:val="both"/>
        <w:rPr>
          <w:rFonts w:ascii="Times New Roman" w:hAnsi="Times New Roman" w:cs="Times New Roman"/>
          <w:b/>
          <w:bCs/>
        </w:rPr>
      </w:pPr>
      <w:r w:rsidRPr="00C01436">
        <w:rPr>
          <w:rFonts w:ascii="Times New Roman" w:hAnsi="Times New Roman" w:cs="Times New Roman"/>
          <w:b/>
          <w:bCs/>
          <w:u w:val="single"/>
        </w:rPr>
        <w:t>Asset Turnover:</w:t>
      </w:r>
      <w:r w:rsidRPr="00E72BBE">
        <w:rPr>
          <w:rFonts w:ascii="Times New Roman" w:hAnsi="Times New Roman" w:cs="Times New Roman"/>
          <w:b/>
          <w:bCs/>
        </w:rPr>
        <w:t xml:space="preserve"> </w:t>
      </w:r>
      <w:r w:rsidRPr="00E72BBE">
        <w:rPr>
          <w:rFonts w:ascii="Times New Roman" w:hAnsi="Times New Roman" w:cs="Times New Roman"/>
        </w:rPr>
        <w:t xml:space="preserve"> It indicates how effectively companies are using their assets to generate sales. It also helps investors to understand this. Marriott International </w:t>
      </w:r>
      <w:r w:rsidRPr="00E72BBE">
        <w:rPr>
          <w:rFonts w:ascii="Times New Roman" w:eastAsia="Times New Roman" w:hAnsi="Times New Roman" w:cs="Times New Roman"/>
          <w:color w:val="000000" w:themeColor="text1"/>
          <w:shd w:val="clear" w:color="auto" w:fill="FFFFFF"/>
        </w:rPr>
        <w:t>reported </w:t>
      </w:r>
      <w:r w:rsidRPr="00E72BBE">
        <w:rPr>
          <w:rFonts w:ascii="Times New Roman" w:hAnsi="Times New Roman" w:cs="Times New Roman"/>
        </w:rPr>
        <w:t xml:space="preserve">its Asset Turnover Ratio of 1.020 in the year 2016 </w:t>
      </w:r>
      <w:r w:rsidRPr="00E72BBE">
        <w:rPr>
          <w:rFonts w:ascii="Times New Roman" w:eastAsia="Times New Roman" w:hAnsi="Times New Roman" w:cs="Times New Roman"/>
          <w:color w:val="000000" w:themeColor="text1"/>
          <w:shd w:val="clear" w:color="auto" w:fill="FFFFFF"/>
        </w:rPr>
        <w:t xml:space="preserve">and then went on to record 0.851, 0.871, and 0.860 respectively every year, and settled at 0.425 in 2020. </w:t>
      </w:r>
    </w:p>
    <w:p w14:paraId="356554BA" w14:textId="53B77B80" w:rsidR="00D91BDF" w:rsidRPr="00E72BBE" w:rsidRDefault="00D91BDF" w:rsidP="00D91BDF">
      <w:pPr>
        <w:jc w:val="both"/>
        <w:rPr>
          <w:rFonts w:ascii="Times New Roman" w:eastAsia="Times New Roman" w:hAnsi="Times New Roman" w:cs="Times New Roman"/>
          <w:color w:val="000000" w:themeColor="text1"/>
          <w:shd w:val="clear" w:color="auto" w:fill="FFFFFF"/>
        </w:rPr>
      </w:pPr>
      <w:r w:rsidRPr="00E72BBE">
        <w:rPr>
          <w:rFonts w:ascii="Times New Roman" w:eastAsia="Times New Roman" w:hAnsi="Times New Roman" w:cs="Times New Roman"/>
          <w:color w:val="000000" w:themeColor="text1"/>
          <w:shd w:val="clear" w:color="auto" w:fill="FFFFFF"/>
        </w:rPr>
        <w:t>Hilton Worldwide Holdings Ltd started with a ratio of 0.284 in the year 2016 and later it had a slight increase of 0.451, 0.629, 0.653 in the respective year till 2019 and in 2020 it got dropped down to 0.272.  Th</w:t>
      </w:r>
      <w:r w:rsidR="00132671" w:rsidRPr="00E72BBE">
        <w:rPr>
          <w:rFonts w:ascii="Times New Roman" w:eastAsia="Times New Roman" w:hAnsi="Times New Roman" w:cs="Times New Roman"/>
          <w:color w:val="000000" w:themeColor="text1"/>
          <w:shd w:val="clear" w:color="auto" w:fill="FFFFFF"/>
        </w:rPr>
        <w:t>is ratio provides us the information</w:t>
      </w:r>
      <w:r w:rsidRPr="00E72BBE">
        <w:rPr>
          <w:rFonts w:ascii="Times New Roman" w:eastAsia="Times New Roman" w:hAnsi="Times New Roman" w:cs="Times New Roman"/>
          <w:color w:val="000000" w:themeColor="text1"/>
          <w:shd w:val="clear" w:color="auto" w:fill="FFFFFF"/>
        </w:rPr>
        <w:t xml:space="preserve"> that Marriott International has always been </w:t>
      </w:r>
      <w:r w:rsidR="00132671" w:rsidRPr="00E72BBE">
        <w:rPr>
          <w:rFonts w:ascii="Times New Roman" w:eastAsia="Times New Roman" w:hAnsi="Times New Roman" w:cs="Times New Roman"/>
          <w:color w:val="000000" w:themeColor="text1"/>
          <w:shd w:val="clear" w:color="auto" w:fill="FFFFFF"/>
        </w:rPr>
        <w:t xml:space="preserve">performing </w:t>
      </w:r>
      <w:r w:rsidRPr="00E72BBE">
        <w:rPr>
          <w:rFonts w:ascii="Times New Roman" w:eastAsia="Times New Roman" w:hAnsi="Times New Roman" w:cs="Times New Roman"/>
          <w:color w:val="000000" w:themeColor="text1"/>
          <w:shd w:val="clear" w:color="auto" w:fill="FFFFFF"/>
        </w:rPr>
        <w:t xml:space="preserve">good in generating the sales from assets </w:t>
      </w:r>
      <w:r w:rsidR="00132671" w:rsidRPr="00E72BBE">
        <w:rPr>
          <w:rFonts w:ascii="Times New Roman" w:eastAsia="Times New Roman" w:hAnsi="Times New Roman" w:cs="Times New Roman"/>
          <w:color w:val="000000" w:themeColor="text1"/>
          <w:shd w:val="clear" w:color="auto" w:fill="FFFFFF"/>
        </w:rPr>
        <w:t>compared to</w:t>
      </w:r>
      <w:r w:rsidRPr="00E72BBE">
        <w:rPr>
          <w:rFonts w:ascii="Times New Roman" w:eastAsia="Times New Roman" w:hAnsi="Times New Roman" w:cs="Times New Roman"/>
          <w:color w:val="000000" w:themeColor="text1"/>
          <w:shd w:val="clear" w:color="auto" w:fill="FFFFFF"/>
        </w:rPr>
        <w:t xml:space="preserve"> the Hilton Worldwide Holdings Ltd. </w:t>
      </w:r>
    </w:p>
    <w:p w14:paraId="4109BFCE" w14:textId="07107F09" w:rsidR="00B567C2" w:rsidRPr="00E72BBE" w:rsidRDefault="00B567C2" w:rsidP="00D91BDF">
      <w:pPr>
        <w:jc w:val="both"/>
        <w:rPr>
          <w:rFonts w:ascii="Times New Roman" w:eastAsia="Times New Roman" w:hAnsi="Times New Roman" w:cs="Times New Roman"/>
          <w:color w:val="000000" w:themeColor="text1"/>
          <w:shd w:val="clear" w:color="auto" w:fill="FFFFFF"/>
        </w:rPr>
      </w:pPr>
      <w:r w:rsidRPr="00E72BBE">
        <w:rPr>
          <w:rFonts w:ascii="Times New Roman" w:hAnsi="Times New Roman" w:cs="Times New Roman"/>
          <w:noProof/>
        </w:rPr>
        <w:lastRenderedPageBreak/>
        <w:drawing>
          <wp:inline distT="0" distB="0" distL="0" distR="0" wp14:anchorId="49BAC3E1" wp14:editId="35FF4FDF">
            <wp:extent cx="4400550" cy="1441450"/>
            <wp:effectExtent l="0" t="0" r="0" b="6350"/>
            <wp:docPr id="10" name="Chart 10">
              <a:extLst xmlns:a="http://schemas.openxmlformats.org/drawingml/2006/main">
                <a:ext uri="{FF2B5EF4-FFF2-40B4-BE49-F238E27FC236}">
                  <a16:creationId xmlns:a16="http://schemas.microsoft.com/office/drawing/2014/main" id="{68C01285-BCC6-4A3C-B819-13D3EF952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E62E40" w14:textId="38616E26" w:rsidR="004719C3" w:rsidRPr="00E72BBE" w:rsidRDefault="004719C3" w:rsidP="00D91BDF">
      <w:pPr>
        <w:jc w:val="both"/>
        <w:rPr>
          <w:rFonts w:ascii="Times New Roman" w:eastAsia="Times New Roman" w:hAnsi="Times New Roman" w:cs="Times New Roman"/>
          <w:color w:val="000000" w:themeColor="text1"/>
          <w:shd w:val="clear" w:color="auto" w:fill="FFFFFF"/>
        </w:rPr>
      </w:pPr>
      <w:r w:rsidRPr="00E72BBE">
        <w:rPr>
          <w:rFonts w:ascii="Times New Roman" w:eastAsia="Times New Roman" w:hAnsi="Times New Roman" w:cs="Times New Roman"/>
          <w:b/>
          <w:bCs/>
          <w:color w:val="000000" w:themeColor="text1"/>
          <w:shd w:val="clear" w:color="auto" w:fill="FFFFFF"/>
        </w:rPr>
        <w:t xml:space="preserve">Inventory Turnover: </w:t>
      </w:r>
      <w:r w:rsidRPr="00E72BBE">
        <w:rPr>
          <w:rFonts w:ascii="Times New Roman" w:eastAsia="Times New Roman" w:hAnsi="Times New Roman" w:cs="Times New Roman"/>
          <w:color w:val="000000" w:themeColor="text1"/>
          <w:shd w:val="clear" w:color="auto" w:fill="FFFFFF"/>
        </w:rPr>
        <w:t>Marriott International and Hilton Worldwide Holdings Inc both belongs to the hospitality industry and they don’t have inventories so we are unable to calculates this ratio.</w:t>
      </w:r>
    </w:p>
    <w:p w14:paraId="0CCB6F5E" w14:textId="76A0BB91" w:rsidR="004719C3" w:rsidRPr="00E72BBE" w:rsidRDefault="004719C3" w:rsidP="00D91BDF">
      <w:pPr>
        <w:jc w:val="both"/>
        <w:rPr>
          <w:rFonts w:ascii="Times New Roman" w:eastAsia="Times New Roman" w:hAnsi="Times New Roman" w:cs="Times New Roman"/>
          <w:color w:val="000000" w:themeColor="text1"/>
          <w:shd w:val="clear" w:color="auto" w:fill="FFFFFF"/>
        </w:rPr>
      </w:pPr>
      <w:r w:rsidRPr="00C01436">
        <w:rPr>
          <w:rFonts w:ascii="Times New Roman" w:eastAsia="Times New Roman" w:hAnsi="Times New Roman" w:cs="Times New Roman"/>
          <w:b/>
          <w:bCs/>
          <w:color w:val="000000" w:themeColor="text1"/>
          <w:u w:val="single"/>
          <w:shd w:val="clear" w:color="auto" w:fill="FFFFFF"/>
        </w:rPr>
        <w:t>Length of Operating Cycle:</w:t>
      </w:r>
      <w:r w:rsidRPr="00E72BBE">
        <w:rPr>
          <w:rFonts w:ascii="Times New Roman" w:eastAsia="Times New Roman" w:hAnsi="Times New Roman" w:cs="Times New Roman"/>
          <w:b/>
          <w:bCs/>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 xml:space="preserve">Operating cycle for both Marriott International and Hilton </w:t>
      </w:r>
      <w:r w:rsidR="00F9654F" w:rsidRPr="00E72BBE">
        <w:rPr>
          <w:rFonts w:ascii="Times New Roman" w:eastAsia="Times New Roman" w:hAnsi="Times New Roman" w:cs="Times New Roman"/>
          <w:color w:val="000000" w:themeColor="text1"/>
          <w:shd w:val="clear" w:color="auto" w:fill="FFFFFF"/>
        </w:rPr>
        <w:t>Worldwide</w:t>
      </w:r>
      <w:r w:rsidRPr="00E72BBE">
        <w:rPr>
          <w:rFonts w:ascii="Times New Roman" w:eastAsia="Times New Roman" w:hAnsi="Times New Roman" w:cs="Times New Roman"/>
          <w:color w:val="000000" w:themeColor="text1"/>
          <w:shd w:val="clear" w:color="auto" w:fill="FFFFFF"/>
        </w:rPr>
        <w:t xml:space="preserve"> Holdings Inc are </w:t>
      </w:r>
      <w:r w:rsidR="00F9654F" w:rsidRPr="00E72BBE">
        <w:rPr>
          <w:rFonts w:ascii="Times New Roman" w:eastAsia="Times New Roman" w:hAnsi="Times New Roman" w:cs="Times New Roman"/>
          <w:color w:val="000000" w:themeColor="text1"/>
          <w:shd w:val="clear" w:color="auto" w:fill="FFFFFF"/>
        </w:rPr>
        <w:t>based on year.</w:t>
      </w:r>
    </w:p>
    <w:p w14:paraId="67149C95" w14:textId="51EE10BC" w:rsidR="00D91BDF" w:rsidRPr="00E72BBE" w:rsidRDefault="00D91BDF" w:rsidP="00D91BDF">
      <w:pPr>
        <w:jc w:val="both"/>
        <w:rPr>
          <w:rFonts w:ascii="Times New Roman" w:eastAsia="Times New Roman" w:hAnsi="Times New Roman" w:cs="Times New Roman"/>
        </w:rPr>
      </w:pPr>
      <w:r w:rsidRPr="00C01436">
        <w:rPr>
          <w:rFonts w:ascii="Times New Roman" w:eastAsia="Times New Roman" w:hAnsi="Times New Roman" w:cs="Times New Roman"/>
          <w:b/>
          <w:bCs/>
          <w:color w:val="000000" w:themeColor="text1"/>
          <w:u w:val="single"/>
          <w:shd w:val="clear" w:color="auto" w:fill="FFFFFF"/>
        </w:rPr>
        <w:t>AR Turnover (ART):</w:t>
      </w:r>
      <w:r w:rsidRPr="00E72BBE">
        <w:rPr>
          <w:rFonts w:ascii="Times New Roman" w:eastAsia="Times New Roman" w:hAnsi="Times New Roman" w:cs="Times New Roman"/>
          <w:b/>
          <w:bCs/>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Accounts receivable turnover is the number of times per year that a business collects its average accounts receivable.</w:t>
      </w:r>
      <w:r w:rsidR="00132671" w:rsidRPr="00E72BBE">
        <w:rPr>
          <w:rFonts w:ascii="Times New Roman" w:eastAsia="Times New Roman" w:hAnsi="Times New Roman" w:cs="Times New Roman"/>
          <w:color w:val="000000" w:themeColor="text1"/>
          <w:shd w:val="clear" w:color="auto" w:fill="FFFFFF"/>
        </w:rPr>
        <w:t xml:space="preserve"> We are </w:t>
      </w:r>
      <w:r w:rsidRPr="00E72BBE">
        <w:rPr>
          <w:rFonts w:ascii="Times New Roman" w:eastAsia="Times New Roman" w:hAnsi="Times New Roman" w:cs="Times New Roman"/>
          <w:color w:val="000000" w:themeColor="text1"/>
          <w:shd w:val="clear" w:color="auto" w:fill="FFFFFF"/>
        </w:rPr>
        <w:t>us</w:t>
      </w:r>
      <w:r w:rsidR="00132671" w:rsidRPr="00E72BBE">
        <w:rPr>
          <w:rFonts w:ascii="Times New Roman" w:eastAsia="Times New Roman" w:hAnsi="Times New Roman" w:cs="Times New Roman"/>
          <w:color w:val="000000" w:themeColor="text1"/>
          <w:shd w:val="clear" w:color="auto" w:fill="FFFFFF"/>
        </w:rPr>
        <w:t>ing this ratio</w:t>
      </w:r>
      <w:r w:rsidRPr="00E72BBE">
        <w:rPr>
          <w:rFonts w:ascii="Times New Roman" w:eastAsia="Times New Roman" w:hAnsi="Times New Roman" w:cs="Times New Roman"/>
          <w:color w:val="000000" w:themeColor="text1"/>
          <w:shd w:val="clear" w:color="auto" w:fill="FFFFFF"/>
        </w:rPr>
        <w:t xml:space="preserve"> to measure how efficiently companies collect on the credit that they provide </w:t>
      </w:r>
      <w:r w:rsidR="00132671" w:rsidRPr="00E72BBE">
        <w:rPr>
          <w:rFonts w:ascii="Times New Roman" w:eastAsia="Times New Roman" w:hAnsi="Times New Roman" w:cs="Times New Roman"/>
          <w:color w:val="000000" w:themeColor="text1"/>
          <w:shd w:val="clear" w:color="auto" w:fill="FFFFFF"/>
        </w:rPr>
        <w:t xml:space="preserve">to </w:t>
      </w:r>
      <w:r w:rsidRPr="00E72BBE">
        <w:rPr>
          <w:rFonts w:ascii="Times New Roman" w:eastAsia="Times New Roman" w:hAnsi="Times New Roman" w:cs="Times New Roman"/>
          <w:color w:val="000000" w:themeColor="text1"/>
          <w:shd w:val="clear" w:color="auto" w:fill="FFFFFF"/>
        </w:rPr>
        <w:t xml:space="preserve">their customers. </w:t>
      </w:r>
      <w:r w:rsidRPr="00E72BBE">
        <w:rPr>
          <w:rFonts w:ascii="Times New Roman" w:eastAsia="Times New Roman" w:hAnsi="Times New Roman" w:cs="Times New Roman"/>
        </w:rPr>
        <w:t xml:space="preserve">Marriott International reported the most elevated proportion of 11.013 in the year </w:t>
      </w:r>
      <w:r w:rsidR="00132671" w:rsidRPr="00E72BBE">
        <w:rPr>
          <w:rFonts w:ascii="Times New Roman" w:eastAsia="Times New Roman" w:hAnsi="Times New Roman" w:cs="Times New Roman"/>
        </w:rPr>
        <w:t xml:space="preserve">of </w:t>
      </w:r>
      <w:r w:rsidRPr="00E72BBE">
        <w:rPr>
          <w:rFonts w:ascii="Times New Roman" w:eastAsia="Times New Roman" w:hAnsi="Times New Roman" w:cs="Times New Roman"/>
        </w:rPr>
        <w:t xml:space="preserve">2016 and 11.097 in the year </w:t>
      </w:r>
      <w:r w:rsidR="00132671" w:rsidRPr="00E72BBE">
        <w:rPr>
          <w:rFonts w:ascii="Times New Roman" w:eastAsia="Times New Roman" w:hAnsi="Times New Roman" w:cs="Times New Roman"/>
        </w:rPr>
        <w:t xml:space="preserve">of </w:t>
      </w:r>
      <w:r w:rsidRPr="00E72BBE">
        <w:rPr>
          <w:rFonts w:ascii="Times New Roman" w:eastAsia="Times New Roman" w:hAnsi="Times New Roman" w:cs="Times New Roman"/>
        </w:rPr>
        <w:t xml:space="preserve">2017. From that point it slightly decreased to 10.067, 9.263, 5.079 each year till 2020. </w:t>
      </w:r>
    </w:p>
    <w:p w14:paraId="1924EF3C" w14:textId="44C0503A" w:rsidR="00D91BDF" w:rsidRPr="00E72BBE" w:rsidRDefault="00D91BDF" w:rsidP="00D91BDF">
      <w:pPr>
        <w:jc w:val="both"/>
        <w:rPr>
          <w:rFonts w:ascii="Times New Roman" w:eastAsia="Times New Roman" w:hAnsi="Times New Roman" w:cs="Times New Roman"/>
        </w:rPr>
      </w:pPr>
      <w:r w:rsidRPr="00E72BBE">
        <w:rPr>
          <w:rFonts w:ascii="Times New Roman" w:eastAsia="Times New Roman" w:hAnsi="Times New Roman" w:cs="Times New Roman"/>
        </w:rPr>
        <w:t>On the other hand, Hilton Worldwide Holdings Ltd beg</w:t>
      </w:r>
      <w:r w:rsidR="00132671" w:rsidRPr="00E72BBE">
        <w:rPr>
          <w:rFonts w:ascii="Times New Roman" w:eastAsia="Times New Roman" w:hAnsi="Times New Roman" w:cs="Times New Roman"/>
        </w:rPr>
        <w:t>a</w:t>
      </w:r>
      <w:r w:rsidRPr="00E72BBE">
        <w:rPr>
          <w:rFonts w:ascii="Times New Roman" w:eastAsia="Times New Roman" w:hAnsi="Times New Roman" w:cs="Times New Roman"/>
        </w:rPr>
        <w:t xml:space="preserve">n with the proportion </w:t>
      </w:r>
      <w:r w:rsidR="00132671" w:rsidRPr="00E72BBE">
        <w:rPr>
          <w:rFonts w:ascii="Times New Roman" w:eastAsia="Times New Roman" w:hAnsi="Times New Roman" w:cs="Times New Roman"/>
        </w:rPr>
        <w:t xml:space="preserve">of </w:t>
      </w:r>
      <w:r w:rsidRPr="00E72BBE">
        <w:rPr>
          <w:rFonts w:ascii="Times New Roman" w:eastAsia="Times New Roman" w:hAnsi="Times New Roman" w:cs="Times New Roman"/>
        </w:rPr>
        <w:t xml:space="preserve">7.849 </w:t>
      </w:r>
      <w:r w:rsidR="00132671" w:rsidRPr="00E72BBE">
        <w:rPr>
          <w:rFonts w:ascii="Times New Roman" w:eastAsia="Times New Roman" w:hAnsi="Times New Roman" w:cs="Times New Roman"/>
        </w:rPr>
        <w:t>in</w:t>
      </w:r>
      <w:r w:rsidRPr="00E72BBE">
        <w:rPr>
          <w:rFonts w:ascii="Times New Roman" w:eastAsia="Times New Roman" w:hAnsi="Times New Roman" w:cs="Times New Roman"/>
        </w:rPr>
        <w:t xml:space="preserve"> 2016. Then, there were many ups and downs in the coming years. The ratio suddenly got increased in the year </w:t>
      </w:r>
      <w:r w:rsidR="00132671" w:rsidRPr="00E72BBE">
        <w:rPr>
          <w:rFonts w:ascii="Times New Roman" w:eastAsia="Times New Roman" w:hAnsi="Times New Roman" w:cs="Times New Roman"/>
        </w:rPr>
        <w:t xml:space="preserve">of </w:t>
      </w:r>
      <w:r w:rsidRPr="00E72BBE">
        <w:rPr>
          <w:rFonts w:ascii="Times New Roman" w:eastAsia="Times New Roman" w:hAnsi="Times New Roman" w:cs="Times New Roman"/>
        </w:rPr>
        <w:t>2017 to 9.126, then again got decreased in 2018 to 8.292. In the recent year</w:t>
      </w:r>
      <w:r w:rsidR="00132671" w:rsidRPr="00E72BBE">
        <w:rPr>
          <w:rFonts w:ascii="Times New Roman" w:eastAsia="Times New Roman" w:hAnsi="Times New Roman" w:cs="Times New Roman"/>
        </w:rPr>
        <w:t>s of</w:t>
      </w:r>
      <w:r w:rsidRPr="00E72BBE">
        <w:rPr>
          <w:rFonts w:ascii="Times New Roman" w:eastAsia="Times New Roman" w:hAnsi="Times New Roman" w:cs="Times New Roman"/>
        </w:rPr>
        <w:t xml:space="preserve"> 2019 and 2020, Hilton recorded ART of 7.841 and 4.239 respectively. </w:t>
      </w:r>
      <w:r w:rsidR="002641D0" w:rsidRPr="00E72BBE">
        <w:rPr>
          <w:rFonts w:ascii="Times New Roman" w:eastAsia="Times New Roman" w:hAnsi="Times New Roman" w:cs="Times New Roman"/>
        </w:rPr>
        <w:t>In comparison with Hilton,</w:t>
      </w:r>
      <w:r w:rsidRPr="00E72BBE">
        <w:rPr>
          <w:rFonts w:ascii="Times New Roman" w:eastAsia="Times New Roman" w:hAnsi="Times New Roman" w:cs="Times New Roman"/>
        </w:rPr>
        <w:t xml:space="preserve"> Marriott International has a high accounts receivable turnover, which indicates an efficient business operation or tight credit policies of Marriot International</w:t>
      </w:r>
      <w:r w:rsidR="002641D0" w:rsidRPr="00E72BBE">
        <w:rPr>
          <w:rFonts w:ascii="Times New Roman" w:eastAsia="Times New Roman" w:hAnsi="Times New Roman" w:cs="Times New Roman"/>
        </w:rPr>
        <w:t xml:space="preserve"> in the year of 2020.</w:t>
      </w:r>
    </w:p>
    <w:p w14:paraId="20D29CDC" w14:textId="4F778889" w:rsidR="000C0714" w:rsidRPr="00E72BBE" w:rsidRDefault="000C0714" w:rsidP="00D91BDF">
      <w:pPr>
        <w:jc w:val="both"/>
        <w:rPr>
          <w:rFonts w:ascii="Times New Roman" w:eastAsia="Times New Roman" w:hAnsi="Times New Roman" w:cs="Times New Roman"/>
        </w:rPr>
      </w:pPr>
      <w:r w:rsidRPr="00E72BBE">
        <w:rPr>
          <w:rFonts w:ascii="Times New Roman" w:hAnsi="Times New Roman" w:cs="Times New Roman"/>
          <w:noProof/>
        </w:rPr>
        <w:drawing>
          <wp:inline distT="0" distB="0" distL="0" distR="0" wp14:anchorId="37BDD932" wp14:editId="30ADD0CE">
            <wp:extent cx="4368800" cy="1606550"/>
            <wp:effectExtent l="0" t="0" r="12700" b="12700"/>
            <wp:docPr id="11" name="Chart 11">
              <a:extLst xmlns:a="http://schemas.openxmlformats.org/drawingml/2006/main">
                <a:ext uri="{FF2B5EF4-FFF2-40B4-BE49-F238E27FC236}">
                  <a16:creationId xmlns:a16="http://schemas.microsoft.com/office/drawing/2014/main" id="{8990D359-AEAB-4769-9B74-97AE491CA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B867DD" w14:textId="55C5ACDA" w:rsidR="00E00C03" w:rsidRPr="00E72BBE" w:rsidRDefault="00D91BDF" w:rsidP="00E00C03">
      <w:pPr>
        <w:jc w:val="both"/>
        <w:rPr>
          <w:rFonts w:ascii="Times New Roman" w:eastAsia="Times New Roman" w:hAnsi="Times New Roman" w:cs="Times New Roman"/>
        </w:rPr>
      </w:pPr>
      <w:r w:rsidRPr="00C01436">
        <w:rPr>
          <w:rFonts w:ascii="Times New Roman" w:eastAsia="Times New Roman" w:hAnsi="Times New Roman" w:cs="Times New Roman"/>
          <w:b/>
          <w:bCs/>
          <w:u w:val="single"/>
        </w:rPr>
        <w:t>PPE Turnover (PPET):</w:t>
      </w:r>
      <w:r w:rsidR="002641D0" w:rsidRPr="00E72BBE">
        <w:rPr>
          <w:rFonts w:ascii="Times New Roman" w:eastAsia="Times New Roman" w:hAnsi="Times New Roman" w:cs="Times New Roman"/>
          <w:b/>
          <w:bCs/>
        </w:rPr>
        <w:t xml:space="preserve"> </w:t>
      </w:r>
      <w:r w:rsidRPr="00E72BBE">
        <w:rPr>
          <w:rFonts w:ascii="Times New Roman" w:eastAsia="Times New Roman" w:hAnsi="Times New Roman" w:cs="Times New Roman"/>
        </w:rPr>
        <w:t>PPE turnover ratio tells us, that how many dollars a particular company receives for each dollar invested in property, plant and equipment. Marriott International recorded its PPET of 9.160 in 2016 then</w:t>
      </w:r>
      <w:r w:rsidR="002641D0" w:rsidRPr="00E72BBE">
        <w:rPr>
          <w:rFonts w:ascii="Times New Roman" w:eastAsia="Times New Roman" w:hAnsi="Times New Roman" w:cs="Times New Roman"/>
        </w:rPr>
        <w:t xml:space="preserve">, </w:t>
      </w:r>
      <w:r w:rsidRPr="00E72BBE">
        <w:rPr>
          <w:rFonts w:ascii="Times New Roman" w:eastAsia="Times New Roman" w:hAnsi="Times New Roman" w:cs="Times New Roman"/>
        </w:rPr>
        <w:t>it</w:t>
      </w:r>
      <w:r w:rsidR="002641D0" w:rsidRPr="00E72BBE">
        <w:rPr>
          <w:rFonts w:ascii="Times New Roman" w:eastAsia="Times New Roman" w:hAnsi="Times New Roman" w:cs="Times New Roman"/>
        </w:rPr>
        <w:t xml:space="preserve"> is showing a steady rise from </w:t>
      </w:r>
      <w:r w:rsidRPr="00E72BBE">
        <w:rPr>
          <w:rFonts w:ascii="Times New Roman" w:eastAsia="Times New Roman" w:hAnsi="Times New Roman" w:cs="Times New Roman"/>
        </w:rPr>
        <w:t xml:space="preserve">year </w:t>
      </w:r>
      <w:r w:rsidR="002641D0" w:rsidRPr="00E72BBE">
        <w:rPr>
          <w:rFonts w:ascii="Times New Roman" w:eastAsia="Times New Roman" w:hAnsi="Times New Roman" w:cs="Times New Roman"/>
        </w:rPr>
        <w:t>to</w:t>
      </w:r>
      <w:r w:rsidRPr="00E72BBE">
        <w:rPr>
          <w:rFonts w:ascii="Times New Roman" w:eastAsia="Times New Roman" w:hAnsi="Times New Roman" w:cs="Times New Roman"/>
        </w:rPr>
        <w:t xml:space="preserve"> year till 2019 (9909 in 2017, 11.074 in 2018, 10.866 in the year 2019). In 2020</w:t>
      </w:r>
      <w:r w:rsidR="002641D0" w:rsidRPr="00E72BBE">
        <w:rPr>
          <w:rFonts w:ascii="Times New Roman" w:eastAsia="Times New Roman" w:hAnsi="Times New Roman" w:cs="Times New Roman"/>
        </w:rPr>
        <w:t>,</w:t>
      </w:r>
      <w:r w:rsidRPr="00E72BBE">
        <w:rPr>
          <w:rFonts w:ascii="Times New Roman" w:eastAsia="Times New Roman" w:hAnsi="Times New Roman" w:cs="Times New Roman"/>
        </w:rPr>
        <w:t xml:space="preserve"> </w:t>
      </w:r>
      <w:r w:rsidR="002641D0" w:rsidRPr="00E72BBE">
        <w:rPr>
          <w:rFonts w:ascii="Times New Roman" w:eastAsia="Times New Roman" w:hAnsi="Times New Roman" w:cs="Times New Roman"/>
        </w:rPr>
        <w:t>PPET</w:t>
      </w:r>
      <w:r w:rsidRPr="00E72BBE">
        <w:rPr>
          <w:rFonts w:ascii="Times New Roman" w:eastAsia="Times New Roman" w:hAnsi="Times New Roman" w:cs="Times New Roman"/>
        </w:rPr>
        <w:t xml:space="preserve"> got declined a bit to 6.185. On the othe</w:t>
      </w:r>
      <w:r w:rsidR="002641D0" w:rsidRPr="00E72BBE">
        <w:rPr>
          <w:rFonts w:ascii="Times New Roman" w:eastAsia="Times New Roman" w:hAnsi="Times New Roman" w:cs="Times New Roman"/>
        </w:rPr>
        <w:t>r side</w:t>
      </w:r>
      <w:r w:rsidRPr="00E72BBE">
        <w:rPr>
          <w:rFonts w:ascii="Times New Roman" w:eastAsia="Times New Roman" w:hAnsi="Times New Roman" w:cs="Times New Roman"/>
        </w:rPr>
        <w:t xml:space="preserve">, </w:t>
      </w:r>
      <w:r w:rsidRPr="00E72BBE">
        <w:rPr>
          <w:rFonts w:ascii="Times New Roman" w:eastAsia="Times New Roman" w:hAnsi="Times New Roman" w:cs="Times New Roman"/>
          <w:color w:val="000000" w:themeColor="text1"/>
          <w:shd w:val="clear" w:color="auto" w:fill="FFFFFF"/>
        </w:rPr>
        <w:t>Hilton Worldwide Holdings Ltd shows the leas</w:t>
      </w:r>
      <w:r w:rsidR="002641D0" w:rsidRPr="00E72BBE">
        <w:rPr>
          <w:rFonts w:ascii="Times New Roman" w:eastAsia="Times New Roman" w:hAnsi="Times New Roman" w:cs="Times New Roman"/>
          <w:color w:val="000000" w:themeColor="text1"/>
          <w:shd w:val="clear" w:color="auto" w:fill="FFFFFF"/>
        </w:rPr>
        <w:t>t r</w:t>
      </w:r>
      <w:r w:rsidRPr="00E72BBE">
        <w:rPr>
          <w:rFonts w:ascii="Times New Roman" w:eastAsia="Times New Roman" w:hAnsi="Times New Roman" w:cs="Times New Roman"/>
          <w:color w:val="000000" w:themeColor="text1"/>
          <w:shd w:val="clear" w:color="auto" w:fill="FFFFFF"/>
        </w:rPr>
        <w:t>atio of 1.619 in the beginning year, though later they showed a tremendous growth while recoding 161.770 in 2017, 37.108 in 2018, 25. 307 in 2019 and 11.865 in 2020. Marriott International had somewhat slow PPET progress</w:t>
      </w:r>
      <w:r w:rsidR="002641D0" w:rsidRPr="00E72BBE">
        <w:rPr>
          <w:rFonts w:ascii="Times New Roman" w:eastAsia="Times New Roman" w:hAnsi="Times New Roman" w:cs="Times New Roman"/>
          <w:color w:val="000000" w:themeColor="text1"/>
          <w:shd w:val="clear" w:color="auto" w:fill="FFFFFF"/>
        </w:rPr>
        <w:t xml:space="preserve"> which is </w:t>
      </w:r>
      <w:r w:rsidRPr="00E72BBE">
        <w:rPr>
          <w:rFonts w:ascii="Times New Roman" w:eastAsia="Times New Roman" w:hAnsi="Times New Roman" w:cs="Times New Roman"/>
          <w:color w:val="000000" w:themeColor="text1"/>
          <w:shd w:val="clear" w:color="auto" w:fill="FFFFFF"/>
        </w:rPr>
        <w:t>stable</w:t>
      </w:r>
      <w:r w:rsidR="002641D0" w:rsidRPr="00E72BBE">
        <w:rPr>
          <w:rFonts w:ascii="Times New Roman" w:eastAsia="Times New Roman" w:hAnsi="Times New Roman" w:cs="Times New Roman"/>
          <w:color w:val="000000" w:themeColor="text1"/>
          <w:shd w:val="clear" w:color="auto" w:fill="FFFFFF"/>
        </w:rPr>
        <w:t xml:space="preserve"> compared to Hilton.</w:t>
      </w:r>
    </w:p>
    <w:p w14:paraId="62B85EE4" w14:textId="4DA54891" w:rsidR="00D91BDF" w:rsidRPr="00C01436" w:rsidRDefault="00D91BDF" w:rsidP="00E00C03">
      <w:pPr>
        <w:jc w:val="both"/>
        <w:rPr>
          <w:rFonts w:ascii="Times New Roman" w:eastAsia="Times New Roman" w:hAnsi="Times New Roman" w:cs="Times New Roman"/>
          <w:b/>
          <w:bCs/>
          <w:color w:val="000000" w:themeColor="text1"/>
          <w:sz w:val="28"/>
          <w:szCs w:val="28"/>
          <w:u w:val="single"/>
          <w:shd w:val="clear" w:color="auto" w:fill="FFFFFF"/>
        </w:rPr>
      </w:pPr>
      <w:r w:rsidRPr="00C01436">
        <w:rPr>
          <w:rFonts w:ascii="Times New Roman" w:eastAsia="Times New Roman" w:hAnsi="Times New Roman" w:cs="Times New Roman"/>
          <w:b/>
          <w:bCs/>
          <w:color w:val="000000" w:themeColor="text1"/>
          <w:sz w:val="28"/>
          <w:szCs w:val="28"/>
          <w:u w:val="single"/>
          <w:shd w:val="clear" w:color="auto" w:fill="FFFFFF"/>
        </w:rPr>
        <w:t>Liquidity Ratio</w:t>
      </w:r>
      <w:r w:rsidR="00C01436" w:rsidRPr="00C01436">
        <w:rPr>
          <w:rFonts w:ascii="Times New Roman" w:eastAsia="Times New Roman" w:hAnsi="Times New Roman" w:cs="Times New Roman"/>
          <w:b/>
          <w:bCs/>
          <w:color w:val="000000" w:themeColor="text1"/>
          <w:sz w:val="28"/>
          <w:szCs w:val="28"/>
          <w:u w:val="single"/>
          <w:shd w:val="clear" w:color="auto" w:fill="FFFFFF"/>
        </w:rPr>
        <w:t>:</w:t>
      </w:r>
    </w:p>
    <w:p w14:paraId="04F3FD85" w14:textId="4619D134" w:rsidR="00D91BDF" w:rsidRPr="00E72BBE" w:rsidRDefault="00D91BDF" w:rsidP="00E00C03">
      <w:pPr>
        <w:jc w:val="both"/>
        <w:rPr>
          <w:rFonts w:ascii="Times New Roman" w:eastAsia="Times New Roman" w:hAnsi="Times New Roman" w:cs="Times New Roman"/>
          <w:b/>
          <w:bCs/>
          <w:color w:val="000000" w:themeColor="text1"/>
          <w:shd w:val="clear" w:color="auto" w:fill="FFFFFF"/>
        </w:rPr>
      </w:pPr>
      <w:r w:rsidRPr="00C01436">
        <w:rPr>
          <w:rFonts w:ascii="Times New Roman" w:eastAsia="Times New Roman" w:hAnsi="Times New Roman" w:cs="Times New Roman"/>
          <w:b/>
          <w:bCs/>
          <w:color w:val="000000" w:themeColor="text1"/>
          <w:u w:val="single"/>
          <w:shd w:val="clear" w:color="auto" w:fill="FFFFFF"/>
        </w:rPr>
        <w:lastRenderedPageBreak/>
        <w:t>Current Ratio</w:t>
      </w:r>
      <w:r w:rsidR="002641D0" w:rsidRPr="00C01436">
        <w:rPr>
          <w:rFonts w:ascii="Times New Roman" w:eastAsia="Times New Roman" w:hAnsi="Times New Roman" w:cs="Times New Roman"/>
          <w:b/>
          <w:bCs/>
          <w:color w:val="000000" w:themeColor="text1"/>
          <w:u w:val="single"/>
          <w:shd w:val="clear" w:color="auto" w:fill="FFFFFF"/>
        </w:rPr>
        <w:t>:</w:t>
      </w:r>
      <w:r w:rsidR="002641D0" w:rsidRPr="00E72BBE">
        <w:rPr>
          <w:rFonts w:ascii="Times New Roman" w:eastAsia="Times New Roman" w:hAnsi="Times New Roman" w:cs="Times New Roman"/>
          <w:b/>
          <w:bCs/>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Current ratio measure</w:t>
      </w:r>
      <w:r w:rsidR="002641D0" w:rsidRPr="00E72BBE">
        <w:rPr>
          <w:rFonts w:ascii="Times New Roman" w:eastAsia="Times New Roman" w:hAnsi="Times New Roman" w:cs="Times New Roman"/>
          <w:color w:val="000000" w:themeColor="text1"/>
          <w:shd w:val="clear" w:color="auto" w:fill="FFFFFF"/>
        </w:rPr>
        <w:t>s</w:t>
      </w:r>
      <w:r w:rsidRPr="00E72BBE">
        <w:rPr>
          <w:rFonts w:ascii="Times New Roman" w:eastAsia="Times New Roman" w:hAnsi="Times New Roman" w:cs="Times New Roman"/>
          <w:color w:val="000000" w:themeColor="text1"/>
          <w:shd w:val="clear" w:color="auto" w:fill="FFFFFF"/>
        </w:rPr>
        <w:t> how well a business generates cash to meet its short</w:t>
      </w:r>
      <w:r w:rsidR="00266EFF" w:rsidRPr="00E72BBE">
        <w:rPr>
          <w:rFonts w:ascii="Times New Roman" w:eastAsia="Times New Roman" w:hAnsi="Times New Roman" w:cs="Times New Roman"/>
          <w:color w:val="000000" w:themeColor="text1"/>
          <w:shd w:val="clear" w:color="auto" w:fill="FFFFFF"/>
        </w:rPr>
        <w:t>-</w:t>
      </w:r>
      <w:r w:rsidRPr="00E72BBE">
        <w:rPr>
          <w:rFonts w:ascii="Times New Roman" w:eastAsia="Times New Roman" w:hAnsi="Times New Roman" w:cs="Times New Roman"/>
          <w:color w:val="000000" w:themeColor="text1"/>
          <w:shd w:val="clear" w:color="auto" w:fill="FFFFFF"/>
        </w:rPr>
        <w:t>term obligations.</w:t>
      </w:r>
      <w:r w:rsidR="00E00C03" w:rsidRPr="00E72BBE">
        <w:rPr>
          <w:rFonts w:ascii="Times New Roman" w:eastAsia="Times New Roman" w:hAnsi="Times New Roman" w:cs="Times New Roman"/>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Marriott</w:t>
      </w:r>
      <w:r w:rsidR="002641D0" w:rsidRPr="00E72BBE">
        <w:rPr>
          <w:rFonts w:ascii="Times New Roman" w:eastAsia="Times New Roman" w:hAnsi="Times New Roman" w:cs="Times New Roman"/>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International reported having the highest current ratio of 0.655 in 2016 and went on to record 0.457, 0.420, and 0.468</w:t>
      </w:r>
      <w:r w:rsidR="002641D0" w:rsidRPr="00E72BBE">
        <w:rPr>
          <w:rFonts w:ascii="Times New Roman" w:eastAsia="Times New Roman" w:hAnsi="Times New Roman" w:cs="Times New Roman"/>
          <w:color w:val="000000" w:themeColor="text1"/>
          <w:shd w:val="clear" w:color="auto" w:fill="FFFFFF"/>
        </w:rPr>
        <w:t xml:space="preserve"> in</w:t>
      </w:r>
      <w:r w:rsidRPr="00E72BBE">
        <w:rPr>
          <w:rFonts w:ascii="Times New Roman" w:eastAsia="Times New Roman" w:hAnsi="Times New Roman" w:cs="Times New Roman"/>
          <w:color w:val="000000" w:themeColor="text1"/>
          <w:shd w:val="clear" w:color="auto" w:fill="FFFFFF"/>
        </w:rPr>
        <w:t> respectiv</w:t>
      </w:r>
      <w:r w:rsidR="002641D0" w:rsidRPr="00E72BBE">
        <w:rPr>
          <w:rFonts w:ascii="Times New Roman" w:eastAsia="Times New Roman" w:hAnsi="Times New Roman" w:cs="Times New Roman"/>
          <w:color w:val="000000" w:themeColor="text1"/>
          <w:shd w:val="clear" w:color="auto" w:fill="FFFFFF"/>
        </w:rPr>
        <w:t>e</w:t>
      </w:r>
      <w:r w:rsidRPr="00E72BBE">
        <w:rPr>
          <w:rFonts w:ascii="Times New Roman" w:eastAsia="Times New Roman" w:hAnsi="Times New Roman" w:cs="Times New Roman"/>
          <w:color w:val="000000" w:themeColor="text1"/>
          <w:shd w:val="clear" w:color="auto" w:fill="FFFFFF"/>
        </w:rPr>
        <w:t xml:space="preserve"> year</w:t>
      </w:r>
      <w:r w:rsidR="002641D0" w:rsidRPr="00E72BBE">
        <w:rPr>
          <w:rFonts w:ascii="Times New Roman" w:eastAsia="Times New Roman" w:hAnsi="Times New Roman" w:cs="Times New Roman"/>
          <w:color w:val="000000" w:themeColor="text1"/>
          <w:shd w:val="clear" w:color="auto" w:fill="FFFFFF"/>
        </w:rPr>
        <w:t>s</w:t>
      </w:r>
      <w:r w:rsidRPr="00E72BBE">
        <w:rPr>
          <w:rFonts w:ascii="Times New Roman" w:eastAsia="Times New Roman" w:hAnsi="Times New Roman" w:cs="Times New Roman"/>
          <w:color w:val="000000" w:themeColor="text1"/>
          <w:shd w:val="clear" w:color="auto" w:fill="FFFFFF"/>
        </w:rPr>
        <w:t xml:space="preserve">, and settled at 0.491 in 2020.Hilton Worldwide Holdings Ltd started with a ratio of 1.325 in the year </w:t>
      </w:r>
      <w:r w:rsidR="002641D0" w:rsidRPr="00E72BBE">
        <w:rPr>
          <w:rFonts w:ascii="Times New Roman" w:eastAsia="Times New Roman" w:hAnsi="Times New Roman" w:cs="Times New Roman"/>
          <w:color w:val="000000" w:themeColor="text1"/>
          <w:shd w:val="clear" w:color="auto" w:fill="FFFFFF"/>
        </w:rPr>
        <w:t xml:space="preserve">of </w:t>
      </w:r>
      <w:r w:rsidRPr="00E72BBE">
        <w:rPr>
          <w:rFonts w:ascii="Times New Roman" w:eastAsia="Times New Roman" w:hAnsi="Times New Roman" w:cs="Times New Roman"/>
          <w:color w:val="000000" w:themeColor="text1"/>
          <w:shd w:val="clear" w:color="auto" w:fill="FFFFFF"/>
        </w:rPr>
        <w:t>2016 and later it had a slight decrease of 0.899, 0.758, 0.729 in the respective year</w:t>
      </w:r>
      <w:r w:rsidR="002641D0" w:rsidRPr="00E72BBE">
        <w:rPr>
          <w:rFonts w:ascii="Times New Roman" w:eastAsia="Times New Roman" w:hAnsi="Times New Roman" w:cs="Times New Roman"/>
          <w:color w:val="000000" w:themeColor="text1"/>
          <w:shd w:val="clear" w:color="auto" w:fill="FFFFFF"/>
        </w:rPr>
        <w:t>s</w:t>
      </w:r>
      <w:r w:rsidRPr="00E72BBE">
        <w:rPr>
          <w:rFonts w:ascii="Times New Roman" w:eastAsia="Times New Roman" w:hAnsi="Times New Roman" w:cs="Times New Roman"/>
          <w:color w:val="000000" w:themeColor="text1"/>
          <w:shd w:val="clear" w:color="auto" w:fill="FFFFFF"/>
        </w:rPr>
        <w:t xml:space="preserve"> till 2019 and in 2020 it increased twice to 1.729.</w:t>
      </w:r>
      <w:r w:rsidR="002641D0" w:rsidRPr="00E72BBE">
        <w:rPr>
          <w:rFonts w:ascii="Times New Roman" w:eastAsia="Times New Roman" w:hAnsi="Times New Roman" w:cs="Times New Roman"/>
          <w:color w:val="000000" w:themeColor="text1"/>
          <w:shd w:val="clear" w:color="auto" w:fill="FFFFFF"/>
        </w:rPr>
        <w:t xml:space="preserve"> After analyzing the above trends, we can conclude that </w:t>
      </w:r>
      <w:r w:rsidRPr="00E72BBE">
        <w:rPr>
          <w:rFonts w:ascii="Times New Roman" w:eastAsia="Times New Roman" w:hAnsi="Times New Roman" w:cs="Times New Roman"/>
          <w:color w:val="000000" w:themeColor="text1"/>
          <w:shd w:val="clear" w:color="auto" w:fill="FFFFFF"/>
        </w:rPr>
        <w:t xml:space="preserve">Marriot </w:t>
      </w:r>
      <w:r w:rsidR="002641D0" w:rsidRPr="00E72BBE">
        <w:rPr>
          <w:rFonts w:ascii="Times New Roman" w:eastAsia="Times New Roman" w:hAnsi="Times New Roman" w:cs="Times New Roman"/>
          <w:color w:val="000000" w:themeColor="text1"/>
          <w:shd w:val="clear" w:color="auto" w:fill="FFFFFF"/>
        </w:rPr>
        <w:t xml:space="preserve">International </w:t>
      </w:r>
      <w:r w:rsidRPr="00E72BBE">
        <w:rPr>
          <w:rFonts w:ascii="Times New Roman" w:eastAsia="Times New Roman" w:hAnsi="Times New Roman" w:cs="Times New Roman"/>
          <w:color w:val="000000" w:themeColor="text1"/>
          <w:shd w:val="clear" w:color="auto" w:fill="FFFFFF"/>
        </w:rPr>
        <w:t>has</w:t>
      </w:r>
      <w:r w:rsidR="002641D0" w:rsidRPr="00E72BBE">
        <w:rPr>
          <w:rFonts w:ascii="Times New Roman" w:eastAsia="Times New Roman" w:hAnsi="Times New Roman" w:cs="Times New Roman"/>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 xml:space="preserve">less </w:t>
      </w:r>
      <w:r w:rsidR="002641D0" w:rsidRPr="00E72BBE">
        <w:rPr>
          <w:rFonts w:ascii="Times New Roman" w:eastAsia="Times New Roman" w:hAnsi="Times New Roman" w:cs="Times New Roman"/>
          <w:color w:val="000000" w:themeColor="text1"/>
          <w:shd w:val="clear" w:color="auto" w:fill="FFFFFF"/>
        </w:rPr>
        <w:t>efficiency</w:t>
      </w:r>
      <w:r w:rsidRPr="00E72BBE">
        <w:rPr>
          <w:rFonts w:ascii="Times New Roman" w:eastAsia="Times New Roman" w:hAnsi="Times New Roman" w:cs="Times New Roman"/>
          <w:color w:val="000000" w:themeColor="text1"/>
          <w:shd w:val="clear" w:color="auto" w:fill="FFFFFF"/>
        </w:rPr>
        <w:t xml:space="preserve"> </w:t>
      </w:r>
      <w:r w:rsidR="002641D0" w:rsidRPr="00E72BBE">
        <w:rPr>
          <w:rFonts w:ascii="Times New Roman" w:eastAsia="Times New Roman" w:hAnsi="Times New Roman" w:cs="Times New Roman"/>
          <w:color w:val="000000" w:themeColor="text1"/>
          <w:shd w:val="clear" w:color="auto" w:fill="FFFFFF"/>
        </w:rPr>
        <w:t>in</w:t>
      </w:r>
      <w:r w:rsidRPr="00E72BBE">
        <w:rPr>
          <w:rFonts w:ascii="Times New Roman" w:eastAsia="Times New Roman" w:hAnsi="Times New Roman" w:cs="Times New Roman"/>
          <w:color w:val="000000" w:themeColor="text1"/>
          <w:shd w:val="clear" w:color="auto" w:fill="FFFFFF"/>
        </w:rPr>
        <w:t xml:space="preserve"> generat</w:t>
      </w:r>
      <w:r w:rsidR="002641D0" w:rsidRPr="00E72BBE">
        <w:rPr>
          <w:rFonts w:ascii="Times New Roman" w:eastAsia="Times New Roman" w:hAnsi="Times New Roman" w:cs="Times New Roman"/>
          <w:color w:val="000000" w:themeColor="text1"/>
          <w:shd w:val="clear" w:color="auto" w:fill="FFFFFF"/>
        </w:rPr>
        <w:t>ing</w:t>
      </w:r>
      <w:r w:rsidRPr="00E72BBE">
        <w:rPr>
          <w:rFonts w:ascii="Times New Roman" w:eastAsia="Times New Roman" w:hAnsi="Times New Roman" w:cs="Times New Roman"/>
          <w:color w:val="000000" w:themeColor="text1"/>
          <w:shd w:val="clear" w:color="auto" w:fill="FFFFFF"/>
        </w:rPr>
        <w:t xml:space="preserve"> cash</w:t>
      </w:r>
      <w:r w:rsidR="002641D0" w:rsidRPr="00E72BBE">
        <w:rPr>
          <w:rFonts w:ascii="Times New Roman" w:eastAsia="Times New Roman" w:hAnsi="Times New Roman" w:cs="Times New Roman"/>
          <w:color w:val="000000" w:themeColor="text1"/>
          <w:shd w:val="clear" w:color="auto" w:fill="FFFFFF"/>
        </w:rPr>
        <w:t>, w</w:t>
      </w:r>
      <w:r w:rsidRPr="00E72BBE">
        <w:rPr>
          <w:rFonts w:ascii="Times New Roman" w:eastAsia="Times New Roman" w:hAnsi="Times New Roman" w:cs="Times New Roman"/>
          <w:color w:val="000000" w:themeColor="text1"/>
          <w:shd w:val="clear" w:color="auto" w:fill="FFFFFF"/>
        </w:rPr>
        <w:t xml:space="preserve">hereas Hilton has the </w:t>
      </w:r>
      <w:r w:rsidR="002641D0" w:rsidRPr="00E72BBE">
        <w:rPr>
          <w:rFonts w:ascii="Times New Roman" w:eastAsia="Times New Roman" w:hAnsi="Times New Roman" w:cs="Times New Roman"/>
          <w:color w:val="000000" w:themeColor="text1"/>
          <w:shd w:val="clear" w:color="auto" w:fill="FFFFFF"/>
        </w:rPr>
        <w:t xml:space="preserve">better </w:t>
      </w:r>
      <w:r w:rsidRPr="00E72BBE">
        <w:rPr>
          <w:rFonts w:ascii="Times New Roman" w:eastAsia="Times New Roman" w:hAnsi="Times New Roman" w:cs="Times New Roman"/>
          <w:color w:val="000000" w:themeColor="text1"/>
          <w:shd w:val="clear" w:color="auto" w:fill="FFFFFF"/>
        </w:rPr>
        <w:t>ability to generate cash.</w:t>
      </w:r>
    </w:p>
    <w:p w14:paraId="30869BDC" w14:textId="355F9E94" w:rsidR="000C0714" w:rsidRPr="00E72BBE" w:rsidRDefault="000C0714" w:rsidP="00E00C03">
      <w:pPr>
        <w:jc w:val="both"/>
        <w:rPr>
          <w:rFonts w:ascii="Times New Roman" w:eastAsia="Times New Roman" w:hAnsi="Times New Roman" w:cs="Times New Roman"/>
          <w:color w:val="000000" w:themeColor="text1"/>
          <w:shd w:val="clear" w:color="auto" w:fill="FFFFFF"/>
        </w:rPr>
      </w:pPr>
      <w:r w:rsidRPr="00E72BBE">
        <w:rPr>
          <w:rFonts w:ascii="Times New Roman" w:hAnsi="Times New Roman" w:cs="Times New Roman"/>
          <w:noProof/>
        </w:rPr>
        <w:drawing>
          <wp:inline distT="0" distB="0" distL="0" distR="0" wp14:anchorId="30535CAC" wp14:editId="308DC2C1">
            <wp:extent cx="4210050" cy="1663700"/>
            <wp:effectExtent l="0" t="0" r="0" b="12700"/>
            <wp:docPr id="12" name="Chart 12">
              <a:extLst xmlns:a="http://schemas.openxmlformats.org/drawingml/2006/main">
                <a:ext uri="{FF2B5EF4-FFF2-40B4-BE49-F238E27FC236}">
                  <a16:creationId xmlns:a16="http://schemas.microsoft.com/office/drawing/2014/main" id="{CA979B3A-2769-45F2-BF50-5891C94270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717D06" w14:textId="421E53DD" w:rsidR="00D91BDF" w:rsidRPr="00E72BBE" w:rsidRDefault="00D91BDF" w:rsidP="00E00C03">
      <w:pPr>
        <w:jc w:val="both"/>
        <w:rPr>
          <w:rFonts w:ascii="Times New Roman" w:eastAsia="Times New Roman" w:hAnsi="Times New Roman" w:cs="Times New Roman"/>
          <w:b/>
          <w:bCs/>
          <w:color w:val="000000" w:themeColor="text1"/>
          <w:shd w:val="clear" w:color="auto" w:fill="FFFFFF"/>
        </w:rPr>
      </w:pPr>
      <w:r w:rsidRPr="00C01436">
        <w:rPr>
          <w:rFonts w:ascii="Times New Roman" w:eastAsia="Times New Roman" w:hAnsi="Times New Roman" w:cs="Times New Roman"/>
          <w:b/>
          <w:bCs/>
          <w:color w:val="000000" w:themeColor="text1"/>
          <w:u w:val="single"/>
          <w:shd w:val="clear" w:color="auto" w:fill="FFFFFF"/>
        </w:rPr>
        <w:t>Quick Ratio</w:t>
      </w:r>
      <w:r w:rsidR="002641D0" w:rsidRPr="00C01436">
        <w:rPr>
          <w:rFonts w:ascii="Times New Roman" w:eastAsia="Times New Roman" w:hAnsi="Times New Roman" w:cs="Times New Roman"/>
          <w:b/>
          <w:bCs/>
          <w:color w:val="000000" w:themeColor="text1"/>
          <w:u w:val="single"/>
          <w:shd w:val="clear" w:color="auto" w:fill="FFFFFF"/>
        </w:rPr>
        <w:t>:</w:t>
      </w:r>
      <w:r w:rsidR="002641D0" w:rsidRPr="00E72BBE">
        <w:rPr>
          <w:rFonts w:ascii="Times New Roman" w:eastAsia="Times New Roman" w:hAnsi="Times New Roman" w:cs="Times New Roman"/>
          <w:b/>
          <w:bCs/>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 xml:space="preserve">The fast proportion measures a company's capacity to pay its current liabilities without requiring to offer its stock or get extra financing. Marriott International reported with the most elevated proportion of 0.496 </w:t>
      </w:r>
      <w:r w:rsidR="00266EFF" w:rsidRPr="00E72BBE">
        <w:rPr>
          <w:rFonts w:ascii="Times New Roman" w:eastAsia="Times New Roman" w:hAnsi="Times New Roman" w:cs="Times New Roman"/>
          <w:color w:val="000000" w:themeColor="text1"/>
          <w:shd w:val="clear" w:color="auto" w:fill="FFFFFF"/>
        </w:rPr>
        <w:t>in</w:t>
      </w:r>
      <w:r w:rsidRPr="00E72BBE">
        <w:rPr>
          <w:rFonts w:ascii="Times New Roman" w:eastAsia="Times New Roman" w:hAnsi="Times New Roman" w:cs="Times New Roman"/>
          <w:color w:val="000000" w:themeColor="text1"/>
          <w:shd w:val="clear" w:color="auto" w:fill="FFFFFF"/>
        </w:rPr>
        <w:t xml:space="preserve"> the year </w:t>
      </w:r>
      <w:r w:rsidR="00266EFF" w:rsidRPr="00E72BBE">
        <w:rPr>
          <w:rFonts w:ascii="Times New Roman" w:eastAsia="Times New Roman" w:hAnsi="Times New Roman" w:cs="Times New Roman"/>
          <w:color w:val="000000" w:themeColor="text1"/>
          <w:shd w:val="clear" w:color="auto" w:fill="FFFFFF"/>
        </w:rPr>
        <w:t xml:space="preserve">of </w:t>
      </w:r>
      <w:r w:rsidRPr="00E72BBE">
        <w:rPr>
          <w:rFonts w:ascii="Times New Roman" w:eastAsia="Times New Roman" w:hAnsi="Times New Roman" w:cs="Times New Roman"/>
          <w:color w:val="000000" w:themeColor="text1"/>
          <w:shd w:val="clear" w:color="auto" w:fill="FFFFFF"/>
        </w:rPr>
        <w:t xml:space="preserve">2016 </w:t>
      </w:r>
      <w:r w:rsidR="00266EFF" w:rsidRPr="00E72BBE">
        <w:rPr>
          <w:rFonts w:ascii="Times New Roman" w:eastAsia="Times New Roman" w:hAnsi="Times New Roman" w:cs="Times New Roman"/>
          <w:color w:val="000000" w:themeColor="text1"/>
          <w:shd w:val="clear" w:color="auto" w:fill="FFFFFF"/>
        </w:rPr>
        <w:t xml:space="preserve">and </w:t>
      </w:r>
      <w:r w:rsidRPr="00E72BBE">
        <w:rPr>
          <w:rFonts w:ascii="Times New Roman" w:eastAsia="Times New Roman" w:hAnsi="Times New Roman" w:cs="Times New Roman"/>
          <w:color w:val="000000" w:themeColor="text1"/>
          <w:shd w:val="clear" w:color="auto" w:fill="FFFFFF"/>
        </w:rPr>
        <w:t>from</w:t>
      </w:r>
      <w:r w:rsidR="00266EFF" w:rsidRPr="00E72BBE">
        <w:rPr>
          <w:rFonts w:ascii="Times New Roman" w:eastAsia="Times New Roman" w:hAnsi="Times New Roman" w:cs="Times New Roman"/>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 xml:space="preserve">that point it steadily diminished to 0.395, 0.380, 0.392 each year till 2019 but in 2020 it had a slight increment and closed at 0.460 in 2020. </w:t>
      </w:r>
    </w:p>
    <w:p w14:paraId="434966F8" w14:textId="42C88C38" w:rsidR="00D91BDF" w:rsidRPr="00E72BBE" w:rsidRDefault="00D91BDF" w:rsidP="00E00C03">
      <w:pPr>
        <w:jc w:val="both"/>
        <w:rPr>
          <w:rFonts w:ascii="Times New Roman" w:eastAsia="Times New Roman" w:hAnsi="Times New Roman" w:cs="Times New Roman"/>
          <w:color w:val="000000" w:themeColor="text1"/>
          <w:shd w:val="clear" w:color="auto" w:fill="FFFFFF"/>
        </w:rPr>
      </w:pPr>
      <w:r w:rsidRPr="00E72BBE">
        <w:rPr>
          <w:rFonts w:ascii="Times New Roman" w:eastAsia="Times New Roman" w:hAnsi="Times New Roman" w:cs="Times New Roman"/>
          <w:color w:val="000000" w:themeColor="text1"/>
          <w:shd w:val="clear" w:color="auto" w:fill="FFFFFF"/>
        </w:rPr>
        <w:t>Hilton Worldwide Holdings Ltd beg</w:t>
      </w:r>
      <w:r w:rsidR="00266EFF" w:rsidRPr="00E72BBE">
        <w:rPr>
          <w:rFonts w:ascii="Times New Roman" w:eastAsia="Times New Roman" w:hAnsi="Times New Roman" w:cs="Times New Roman"/>
          <w:color w:val="000000" w:themeColor="text1"/>
          <w:shd w:val="clear" w:color="auto" w:fill="FFFFFF"/>
        </w:rPr>
        <w:t>a</w:t>
      </w:r>
      <w:r w:rsidRPr="00E72BBE">
        <w:rPr>
          <w:rFonts w:ascii="Times New Roman" w:eastAsia="Times New Roman" w:hAnsi="Times New Roman" w:cs="Times New Roman"/>
          <w:color w:val="000000" w:themeColor="text1"/>
          <w:shd w:val="clear" w:color="auto" w:fill="FFFFFF"/>
        </w:rPr>
        <w:t xml:space="preserve">n with the proportion </w:t>
      </w:r>
      <w:r w:rsidR="00266EFF" w:rsidRPr="00E72BBE">
        <w:rPr>
          <w:rFonts w:ascii="Times New Roman" w:eastAsia="Times New Roman" w:hAnsi="Times New Roman" w:cs="Times New Roman"/>
          <w:color w:val="000000" w:themeColor="text1"/>
          <w:shd w:val="clear" w:color="auto" w:fill="FFFFFF"/>
        </w:rPr>
        <w:t xml:space="preserve">of </w:t>
      </w:r>
      <w:r w:rsidRPr="00E72BBE">
        <w:rPr>
          <w:rFonts w:ascii="Times New Roman" w:eastAsia="Times New Roman" w:hAnsi="Times New Roman" w:cs="Times New Roman"/>
          <w:color w:val="000000" w:themeColor="text1"/>
          <w:shd w:val="clear" w:color="auto" w:fill="FFFFFF"/>
        </w:rPr>
        <w:t xml:space="preserve">0.903 </w:t>
      </w:r>
      <w:r w:rsidR="00266EFF" w:rsidRPr="00E72BBE">
        <w:rPr>
          <w:rFonts w:ascii="Times New Roman" w:eastAsia="Times New Roman" w:hAnsi="Times New Roman" w:cs="Times New Roman"/>
          <w:color w:val="000000" w:themeColor="text1"/>
          <w:shd w:val="clear" w:color="auto" w:fill="FFFFFF"/>
        </w:rPr>
        <w:t>in</w:t>
      </w:r>
      <w:r w:rsidRPr="00E72BBE">
        <w:rPr>
          <w:rFonts w:ascii="Times New Roman" w:eastAsia="Times New Roman" w:hAnsi="Times New Roman" w:cs="Times New Roman"/>
          <w:color w:val="000000" w:themeColor="text1"/>
          <w:shd w:val="clear" w:color="auto" w:fill="FFFFFF"/>
        </w:rPr>
        <w:t xml:space="preserve"> 2016 </w:t>
      </w:r>
      <w:r w:rsidR="00266EFF" w:rsidRPr="00E72BBE">
        <w:rPr>
          <w:rFonts w:ascii="Times New Roman" w:eastAsia="Times New Roman" w:hAnsi="Times New Roman" w:cs="Times New Roman"/>
          <w:color w:val="000000" w:themeColor="text1"/>
          <w:shd w:val="clear" w:color="auto" w:fill="FFFFFF"/>
        </w:rPr>
        <w:t xml:space="preserve">and </w:t>
      </w:r>
      <w:r w:rsidRPr="00E72BBE">
        <w:rPr>
          <w:rFonts w:ascii="Times New Roman" w:eastAsia="Times New Roman" w:hAnsi="Times New Roman" w:cs="Times New Roman"/>
          <w:color w:val="000000" w:themeColor="text1"/>
          <w:shd w:val="clear" w:color="auto" w:fill="FFFFFF"/>
        </w:rPr>
        <w:t xml:space="preserve">from that point the </w:t>
      </w:r>
      <w:r w:rsidR="00266EFF" w:rsidRPr="00E72BBE">
        <w:rPr>
          <w:rFonts w:ascii="Times New Roman" w:eastAsia="Times New Roman" w:hAnsi="Times New Roman" w:cs="Times New Roman"/>
          <w:color w:val="000000" w:themeColor="text1"/>
          <w:shd w:val="clear" w:color="auto" w:fill="FFFFFF"/>
        </w:rPr>
        <w:t>QR</w:t>
      </w:r>
      <w:r w:rsidRPr="00E72BBE">
        <w:rPr>
          <w:rFonts w:ascii="Times New Roman" w:eastAsia="Times New Roman" w:hAnsi="Times New Roman" w:cs="Times New Roman"/>
          <w:color w:val="000000" w:themeColor="text1"/>
          <w:shd w:val="clear" w:color="auto" w:fill="FFFFFF"/>
        </w:rPr>
        <w:t xml:space="preserve"> has been fluctuating for </w:t>
      </w:r>
      <w:r w:rsidR="00266EFF" w:rsidRPr="00E72BBE">
        <w:rPr>
          <w:rFonts w:ascii="Times New Roman" w:eastAsia="Times New Roman" w:hAnsi="Times New Roman" w:cs="Times New Roman"/>
          <w:color w:val="000000" w:themeColor="text1"/>
          <w:shd w:val="clear" w:color="auto" w:fill="FFFFFF"/>
        </w:rPr>
        <w:t xml:space="preserve">next </w:t>
      </w:r>
      <w:r w:rsidRPr="00E72BBE">
        <w:rPr>
          <w:rFonts w:ascii="Times New Roman" w:eastAsia="Times New Roman" w:hAnsi="Times New Roman" w:cs="Times New Roman"/>
          <w:color w:val="000000" w:themeColor="text1"/>
          <w:shd w:val="clear" w:color="auto" w:fill="FFFFFF"/>
        </w:rPr>
        <w:t xml:space="preserve">three </w:t>
      </w:r>
      <w:r w:rsidR="00266EFF" w:rsidRPr="00E72BBE">
        <w:rPr>
          <w:rFonts w:ascii="Times New Roman" w:eastAsia="Times New Roman" w:hAnsi="Times New Roman" w:cs="Times New Roman"/>
          <w:color w:val="000000" w:themeColor="text1"/>
          <w:shd w:val="clear" w:color="auto" w:fill="FFFFFF"/>
        </w:rPr>
        <w:t>years indicating</w:t>
      </w:r>
      <w:r w:rsidRPr="00E72BBE">
        <w:rPr>
          <w:rFonts w:ascii="Times New Roman" w:eastAsia="Times New Roman" w:hAnsi="Times New Roman" w:cs="Times New Roman"/>
          <w:color w:val="000000" w:themeColor="text1"/>
          <w:shd w:val="clear" w:color="auto" w:fill="FFFFFF"/>
        </w:rPr>
        <w:t xml:space="preserve"> 0.710, 0.594, 0.627</w:t>
      </w:r>
      <w:r w:rsidR="00266EFF" w:rsidRPr="00E72BBE">
        <w:rPr>
          <w:rFonts w:ascii="Times New Roman" w:eastAsia="Times New Roman" w:hAnsi="Times New Roman" w:cs="Times New Roman"/>
          <w:color w:val="000000" w:themeColor="text1"/>
          <w:shd w:val="clear" w:color="auto" w:fill="FFFFFF"/>
        </w:rPr>
        <w:t xml:space="preserve"> respectively</w:t>
      </w:r>
      <w:r w:rsidRPr="00E72BBE">
        <w:rPr>
          <w:rFonts w:ascii="Times New Roman" w:eastAsia="Times New Roman" w:hAnsi="Times New Roman" w:cs="Times New Roman"/>
          <w:color w:val="000000" w:themeColor="text1"/>
          <w:shd w:val="clear" w:color="auto" w:fill="FFFFFF"/>
        </w:rPr>
        <w:t xml:space="preserve"> and ha</w:t>
      </w:r>
      <w:r w:rsidR="00266EFF" w:rsidRPr="00E72BBE">
        <w:rPr>
          <w:rFonts w:ascii="Times New Roman" w:eastAsia="Times New Roman" w:hAnsi="Times New Roman" w:cs="Times New Roman"/>
          <w:color w:val="000000" w:themeColor="text1"/>
          <w:shd w:val="clear" w:color="auto" w:fill="FFFFFF"/>
        </w:rPr>
        <w:t>ve</w:t>
      </w:r>
      <w:r w:rsidRPr="00E72BBE">
        <w:rPr>
          <w:rFonts w:ascii="Times New Roman" w:eastAsia="Times New Roman" w:hAnsi="Times New Roman" w:cs="Times New Roman"/>
          <w:color w:val="000000" w:themeColor="text1"/>
          <w:shd w:val="clear" w:color="auto" w:fill="FFFFFF"/>
        </w:rPr>
        <w:t xml:space="preserve"> a satisfactory rise </w:t>
      </w:r>
      <w:r w:rsidR="00266EFF" w:rsidRPr="00E72BBE">
        <w:rPr>
          <w:rFonts w:ascii="Times New Roman" w:eastAsia="Times New Roman" w:hAnsi="Times New Roman" w:cs="Times New Roman"/>
          <w:color w:val="000000" w:themeColor="text1"/>
          <w:shd w:val="clear" w:color="auto" w:fill="FFFFFF"/>
        </w:rPr>
        <w:t xml:space="preserve">in </w:t>
      </w:r>
      <w:r w:rsidRPr="00E72BBE">
        <w:rPr>
          <w:rFonts w:ascii="Times New Roman" w:eastAsia="Times New Roman" w:hAnsi="Times New Roman" w:cs="Times New Roman"/>
          <w:color w:val="000000" w:themeColor="text1"/>
          <w:shd w:val="clear" w:color="auto" w:fill="FFFFFF"/>
        </w:rPr>
        <w:t xml:space="preserve">2020 to 1.641. If </w:t>
      </w:r>
      <w:r w:rsidR="00266EFF" w:rsidRPr="00E72BBE">
        <w:rPr>
          <w:rFonts w:ascii="Times New Roman" w:eastAsia="Times New Roman" w:hAnsi="Times New Roman" w:cs="Times New Roman"/>
          <w:color w:val="000000" w:themeColor="text1"/>
          <w:shd w:val="clear" w:color="auto" w:fill="FFFFFF"/>
        </w:rPr>
        <w:t>quick ratio</w:t>
      </w:r>
      <w:r w:rsidRPr="00E72BBE">
        <w:rPr>
          <w:rFonts w:ascii="Times New Roman" w:eastAsia="Times New Roman" w:hAnsi="Times New Roman" w:cs="Times New Roman"/>
          <w:color w:val="000000" w:themeColor="text1"/>
          <w:shd w:val="clear" w:color="auto" w:fill="FFFFFF"/>
        </w:rPr>
        <w:t xml:space="preserve"> is less than 1 the company may not be able to completely pay off its current liabilities and in case it is more than 1 the company can pay off its current liabilities. By </w:t>
      </w:r>
      <w:r w:rsidR="00266EFF" w:rsidRPr="00E72BBE">
        <w:rPr>
          <w:rFonts w:ascii="Times New Roman" w:eastAsia="Times New Roman" w:hAnsi="Times New Roman" w:cs="Times New Roman"/>
          <w:color w:val="000000" w:themeColor="text1"/>
          <w:shd w:val="clear" w:color="auto" w:fill="FFFFFF"/>
        </w:rPr>
        <w:t xml:space="preserve">observing the data, we can say that it would be tough for </w:t>
      </w:r>
      <w:r w:rsidRPr="00E72BBE">
        <w:rPr>
          <w:rFonts w:ascii="Times New Roman" w:eastAsia="Times New Roman" w:hAnsi="Times New Roman" w:cs="Times New Roman"/>
          <w:color w:val="000000" w:themeColor="text1"/>
          <w:shd w:val="clear" w:color="auto" w:fill="FFFFFF"/>
        </w:rPr>
        <w:t>Marriott</w:t>
      </w:r>
      <w:r w:rsidR="00266EFF" w:rsidRPr="00E72BBE">
        <w:rPr>
          <w:rFonts w:ascii="Times New Roman" w:eastAsia="Times New Roman" w:hAnsi="Times New Roman" w:cs="Times New Roman"/>
          <w:color w:val="000000" w:themeColor="text1"/>
          <w:shd w:val="clear" w:color="auto" w:fill="FFFFFF"/>
        </w:rPr>
        <w:t xml:space="preserve"> to</w:t>
      </w:r>
      <w:r w:rsidRPr="00E72BBE">
        <w:rPr>
          <w:rFonts w:ascii="Times New Roman" w:eastAsia="Times New Roman" w:hAnsi="Times New Roman" w:cs="Times New Roman"/>
          <w:color w:val="000000" w:themeColor="text1"/>
          <w:shd w:val="clear" w:color="auto" w:fill="FFFFFF"/>
        </w:rPr>
        <w:t xml:space="preserve"> pay off their current liabilities </w:t>
      </w:r>
      <w:r w:rsidR="00266EFF" w:rsidRPr="00E72BBE">
        <w:rPr>
          <w:rFonts w:ascii="Times New Roman" w:eastAsia="Times New Roman" w:hAnsi="Times New Roman" w:cs="Times New Roman"/>
          <w:color w:val="000000" w:themeColor="text1"/>
          <w:shd w:val="clear" w:color="auto" w:fill="FFFFFF"/>
        </w:rPr>
        <w:t>compared to</w:t>
      </w:r>
      <w:r w:rsidRPr="00E72BBE">
        <w:rPr>
          <w:rFonts w:ascii="Times New Roman" w:eastAsia="Times New Roman" w:hAnsi="Times New Roman" w:cs="Times New Roman"/>
          <w:color w:val="000000" w:themeColor="text1"/>
          <w:shd w:val="clear" w:color="auto" w:fill="FFFFFF"/>
        </w:rPr>
        <w:t xml:space="preserve"> Hilton</w:t>
      </w:r>
      <w:r w:rsidR="00266EFF" w:rsidRPr="00E72BBE">
        <w:rPr>
          <w:rFonts w:ascii="Times New Roman" w:eastAsia="Times New Roman" w:hAnsi="Times New Roman" w:cs="Times New Roman"/>
          <w:color w:val="000000" w:themeColor="text1"/>
          <w:shd w:val="clear" w:color="auto" w:fill="FFFFFF"/>
        </w:rPr>
        <w:t>.</w:t>
      </w:r>
    </w:p>
    <w:p w14:paraId="5015B5AF" w14:textId="252E357E" w:rsidR="00D91BDF" w:rsidRPr="00C01436" w:rsidRDefault="00D91BDF" w:rsidP="00E00C03">
      <w:pPr>
        <w:jc w:val="both"/>
        <w:rPr>
          <w:rFonts w:ascii="Times New Roman" w:eastAsia="Times New Roman" w:hAnsi="Times New Roman" w:cs="Times New Roman"/>
          <w:b/>
          <w:bCs/>
          <w:color w:val="000000" w:themeColor="text1"/>
          <w:shd w:val="clear" w:color="auto" w:fill="FFFFFF"/>
        </w:rPr>
      </w:pPr>
      <w:r w:rsidRPr="00C01436">
        <w:rPr>
          <w:rFonts w:ascii="Times New Roman" w:eastAsia="Times New Roman" w:hAnsi="Times New Roman" w:cs="Times New Roman"/>
          <w:b/>
          <w:bCs/>
          <w:color w:val="000000" w:themeColor="text1"/>
          <w:u w:val="single"/>
          <w:shd w:val="clear" w:color="auto" w:fill="FFFFFF"/>
        </w:rPr>
        <w:t>Operating cashflows to current liabilities ratio</w:t>
      </w:r>
      <w:r w:rsidR="00000024" w:rsidRPr="00C01436">
        <w:rPr>
          <w:rFonts w:ascii="Times New Roman" w:eastAsia="Times New Roman" w:hAnsi="Times New Roman" w:cs="Times New Roman"/>
          <w:b/>
          <w:bCs/>
          <w:color w:val="000000" w:themeColor="text1"/>
          <w:u w:val="single"/>
          <w:shd w:val="clear" w:color="auto" w:fill="FFFFFF"/>
        </w:rPr>
        <w:t>:</w:t>
      </w:r>
      <w:r w:rsidR="00000024" w:rsidRPr="00E72BBE">
        <w:rPr>
          <w:rFonts w:ascii="Times New Roman" w:eastAsia="Times New Roman" w:hAnsi="Times New Roman" w:cs="Times New Roman"/>
          <w:b/>
          <w:bCs/>
          <w:color w:val="000000" w:themeColor="text1"/>
          <w:shd w:val="clear" w:color="auto" w:fill="FFFFFF"/>
        </w:rPr>
        <w:t xml:space="preserve"> </w:t>
      </w:r>
      <w:r w:rsidR="00000024" w:rsidRPr="00E72BBE">
        <w:rPr>
          <w:rFonts w:ascii="Times New Roman" w:eastAsia="Times New Roman" w:hAnsi="Times New Roman" w:cs="Times New Roman"/>
          <w:color w:val="000000" w:themeColor="text1"/>
          <w:shd w:val="clear" w:color="auto" w:fill="FFFFFF"/>
        </w:rPr>
        <w:t>The </w:t>
      </w:r>
      <w:r w:rsidR="00000024" w:rsidRPr="00E72BBE">
        <w:rPr>
          <w:rFonts w:ascii="Times New Roman" w:eastAsia="Times New Roman" w:hAnsi="Times New Roman" w:cs="Times New Roman"/>
          <w:color w:val="000000" w:themeColor="text1"/>
        </w:rPr>
        <w:t>operating cash flow ratio</w:t>
      </w:r>
      <w:r w:rsidR="00000024" w:rsidRPr="00E72BBE">
        <w:rPr>
          <w:rFonts w:ascii="Times New Roman" w:eastAsia="Times New Roman" w:hAnsi="Times New Roman" w:cs="Times New Roman"/>
          <w:color w:val="000000" w:themeColor="text1"/>
          <w:shd w:val="clear" w:color="auto" w:fill="FFFFFF"/>
        </w:rPr>
        <w:t> measures how well </w:t>
      </w:r>
      <w:r w:rsidR="00000024" w:rsidRPr="00E72BBE">
        <w:rPr>
          <w:rFonts w:ascii="Times New Roman" w:eastAsia="Times New Roman" w:hAnsi="Times New Roman" w:cs="Times New Roman"/>
          <w:color w:val="000000" w:themeColor="text1"/>
        </w:rPr>
        <w:t>current liabilities</w:t>
      </w:r>
      <w:r w:rsidR="00000024" w:rsidRPr="00E72BBE">
        <w:rPr>
          <w:rFonts w:ascii="Times New Roman" w:eastAsia="Times New Roman" w:hAnsi="Times New Roman" w:cs="Times New Roman"/>
          <w:color w:val="000000" w:themeColor="text1"/>
          <w:shd w:val="clear" w:color="auto" w:fill="FFFFFF"/>
        </w:rPr>
        <w:t> are covered by the </w:t>
      </w:r>
      <w:r w:rsidR="00000024" w:rsidRPr="00E72BBE">
        <w:rPr>
          <w:rFonts w:ascii="Times New Roman" w:eastAsia="Times New Roman" w:hAnsi="Times New Roman" w:cs="Times New Roman"/>
          <w:color w:val="000000" w:themeColor="text1"/>
        </w:rPr>
        <w:t>cash flows</w:t>
      </w:r>
      <w:r w:rsidR="00000024" w:rsidRPr="00E72BBE">
        <w:rPr>
          <w:rFonts w:ascii="Times New Roman" w:eastAsia="Times New Roman" w:hAnsi="Times New Roman" w:cs="Times New Roman"/>
          <w:color w:val="000000" w:themeColor="text1"/>
          <w:shd w:val="clear" w:color="auto" w:fill="FFFFFF"/>
        </w:rPr>
        <w:t> generated from a company's </w:t>
      </w:r>
      <w:r w:rsidR="00000024" w:rsidRPr="00E72BBE">
        <w:rPr>
          <w:rFonts w:ascii="Times New Roman" w:eastAsia="Times New Roman" w:hAnsi="Times New Roman" w:cs="Times New Roman"/>
          <w:color w:val="000000" w:themeColor="text1"/>
        </w:rPr>
        <w:t>operations</w:t>
      </w:r>
      <w:r w:rsidR="00000024" w:rsidRPr="00E72BBE">
        <w:rPr>
          <w:rFonts w:ascii="Times New Roman" w:eastAsia="Times New Roman" w:hAnsi="Times New Roman" w:cs="Times New Roman"/>
          <w:color w:val="000000" w:themeColor="text1"/>
          <w:shd w:val="clear" w:color="auto" w:fill="FFFFFF"/>
        </w:rPr>
        <w:t>.</w:t>
      </w:r>
      <w:r w:rsidR="00000024" w:rsidRPr="00E72BBE">
        <w:rPr>
          <w:rFonts w:ascii="Times New Roman" w:hAnsi="Times New Roman" w:cs="Times New Roman"/>
          <w:color w:val="4D5156"/>
          <w:shd w:val="clear" w:color="auto" w:fill="FFFFFF"/>
        </w:rPr>
        <w:t xml:space="preserve"> </w:t>
      </w:r>
      <w:r w:rsidRPr="00E72BBE">
        <w:rPr>
          <w:rFonts w:ascii="Times New Roman" w:eastAsia="Times New Roman" w:hAnsi="Times New Roman" w:cs="Times New Roman"/>
          <w:color w:val="000000" w:themeColor="text1"/>
          <w:shd w:val="clear" w:color="auto" w:fill="FFFFFF"/>
        </w:rPr>
        <w:t xml:space="preserve">Marriott International reported </w:t>
      </w:r>
      <w:r w:rsidR="00000024" w:rsidRPr="00E72BBE">
        <w:rPr>
          <w:rFonts w:ascii="Times New Roman" w:eastAsia="Times New Roman" w:hAnsi="Times New Roman" w:cs="Times New Roman"/>
          <w:color w:val="000000" w:themeColor="text1"/>
          <w:shd w:val="clear" w:color="auto" w:fill="FFFFFF"/>
        </w:rPr>
        <w:t>its operating cashflows to current liabilities</w:t>
      </w:r>
      <w:r w:rsidRPr="00E72BBE">
        <w:rPr>
          <w:rFonts w:ascii="Times New Roman" w:eastAsia="Times New Roman" w:hAnsi="Times New Roman" w:cs="Times New Roman"/>
          <w:color w:val="000000" w:themeColor="text1"/>
          <w:shd w:val="clear" w:color="auto" w:fill="FFFFFF"/>
        </w:rPr>
        <w:t xml:space="preserve"> of 0.307 </w:t>
      </w:r>
      <w:r w:rsidR="00000024" w:rsidRPr="00E72BBE">
        <w:rPr>
          <w:rFonts w:ascii="Times New Roman" w:eastAsia="Times New Roman" w:hAnsi="Times New Roman" w:cs="Times New Roman"/>
          <w:color w:val="000000" w:themeColor="text1"/>
          <w:shd w:val="clear" w:color="auto" w:fill="FFFFFF"/>
        </w:rPr>
        <w:t xml:space="preserve">in 2016 </w:t>
      </w:r>
      <w:r w:rsidRPr="00E72BBE">
        <w:rPr>
          <w:rFonts w:ascii="Times New Roman" w:eastAsia="Times New Roman" w:hAnsi="Times New Roman" w:cs="Times New Roman"/>
          <w:color w:val="000000" w:themeColor="text1"/>
          <w:shd w:val="clear" w:color="auto" w:fill="FFFFFF"/>
        </w:rPr>
        <w:t xml:space="preserve">and topped to 0.371 </w:t>
      </w:r>
      <w:r w:rsidR="00000024" w:rsidRPr="00E72BBE">
        <w:rPr>
          <w:rFonts w:ascii="Times New Roman" w:eastAsia="Times New Roman" w:hAnsi="Times New Roman" w:cs="Times New Roman"/>
          <w:color w:val="000000" w:themeColor="text1"/>
          <w:shd w:val="clear" w:color="auto" w:fill="FFFFFF"/>
        </w:rPr>
        <w:t>in</w:t>
      </w:r>
      <w:r w:rsidRPr="00E72BBE">
        <w:rPr>
          <w:rFonts w:ascii="Times New Roman" w:eastAsia="Times New Roman" w:hAnsi="Times New Roman" w:cs="Times New Roman"/>
          <w:color w:val="000000" w:themeColor="text1"/>
          <w:shd w:val="clear" w:color="auto" w:fill="FFFFFF"/>
        </w:rPr>
        <w:t xml:space="preserve"> 2017 </w:t>
      </w:r>
      <w:r w:rsidR="00000024" w:rsidRPr="00E72BBE">
        <w:rPr>
          <w:rFonts w:ascii="Times New Roman" w:eastAsia="Times New Roman" w:hAnsi="Times New Roman" w:cs="Times New Roman"/>
          <w:color w:val="000000" w:themeColor="text1"/>
          <w:shd w:val="clear" w:color="auto" w:fill="FFFFFF"/>
        </w:rPr>
        <w:t xml:space="preserve">and from </w:t>
      </w:r>
      <w:r w:rsidRPr="00E72BBE">
        <w:rPr>
          <w:rFonts w:ascii="Times New Roman" w:eastAsia="Times New Roman" w:hAnsi="Times New Roman" w:cs="Times New Roman"/>
          <w:color w:val="000000" w:themeColor="text1"/>
          <w:shd w:val="clear" w:color="auto" w:fill="FFFFFF"/>
        </w:rPr>
        <w:t>that point</w:t>
      </w:r>
      <w:r w:rsidR="00000024" w:rsidRPr="00E72BBE">
        <w:rPr>
          <w:rFonts w:ascii="Times New Roman" w:eastAsia="Times New Roman" w:hAnsi="Times New Roman" w:cs="Times New Roman"/>
          <w:color w:val="000000" w:themeColor="text1"/>
          <w:shd w:val="clear" w:color="auto" w:fill="FFFFFF"/>
        </w:rPr>
        <w:t xml:space="preserve"> it</w:t>
      </w:r>
      <w:r w:rsidRPr="00E72BBE">
        <w:rPr>
          <w:rFonts w:ascii="Times New Roman" w:eastAsia="Times New Roman" w:hAnsi="Times New Roman" w:cs="Times New Roman"/>
          <w:color w:val="000000" w:themeColor="text1"/>
          <w:shd w:val="clear" w:color="auto" w:fill="FFFFFF"/>
        </w:rPr>
        <w:t xml:space="preserve"> beg</w:t>
      </w:r>
      <w:r w:rsidR="00000024" w:rsidRPr="00E72BBE">
        <w:rPr>
          <w:rFonts w:ascii="Times New Roman" w:eastAsia="Times New Roman" w:hAnsi="Times New Roman" w:cs="Times New Roman"/>
          <w:color w:val="000000" w:themeColor="text1"/>
          <w:shd w:val="clear" w:color="auto" w:fill="FFFFFF"/>
        </w:rPr>
        <w:t>a</w:t>
      </w:r>
      <w:r w:rsidRPr="00E72BBE">
        <w:rPr>
          <w:rFonts w:ascii="Times New Roman" w:eastAsia="Times New Roman" w:hAnsi="Times New Roman" w:cs="Times New Roman"/>
          <w:color w:val="000000" w:themeColor="text1"/>
          <w:shd w:val="clear" w:color="auto" w:fill="FFFFFF"/>
        </w:rPr>
        <w:t xml:space="preserve">n to decline </w:t>
      </w:r>
      <w:r w:rsidR="00000024" w:rsidRPr="00E72BBE">
        <w:rPr>
          <w:rFonts w:ascii="Times New Roman" w:eastAsia="Times New Roman" w:hAnsi="Times New Roman" w:cs="Times New Roman"/>
          <w:color w:val="000000" w:themeColor="text1"/>
          <w:shd w:val="clear" w:color="auto" w:fill="FFFFFF"/>
        </w:rPr>
        <w:t xml:space="preserve">till </w:t>
      </w:r>
      <w:r w:rsidRPr="00E72BBE">
        <w:rPr>
          <w:rFonts w:ascii="Times New Roman" w:eastAsia="Times New Roman" w:hAnsi="Times New Roman" w:cs="Times New Roman"/>
          <w:color w:val="000000" w:themeColor="text1"/>
          <w:shd w:val="clear" w:color="auto" w:fill="FFFFFF"/>
        </w:rPr>
        <w:t xml:space="preserve">2019 to 0.366 and 0.252 respectively and </w:t>
      </w:r>
      <w:r w:rsidR="00000024" w:rsidRPr="00E72BBE">
        <w:rPr>
          <w:rFonts w:ascii="Times New Roman" w:eastAsia="Times New Roman" w:hAnsi="Times New Roman" w:cs="Times New Roman"/>
          <w:color w:val="000000" w:themeColor="text1"/>
          <w:shd w:val="clear" w:color="auto" w:fill="FFFFFF"/>
        </w:rPr>
        <w:t xml:space="preserve">at </w:t>
      </w:r>
      <w:r w:rsidRPr="00E72BBE">
        <w:rPr>
          <w:rFonts w:ascii="Times New Roman" w:eastAsia="Times New Roman" w:hAnsi="Times New Roman" w:cs="Times New Roman"/>
          <w:color w:val="000000" w:themeColor="text1"/>
          <w:shd w:val="clear" w:color="auto" w:fill="FFFFFF"/>
        </w:rPr>
        <w:t xml:space="preserve">last </w:t>
      </w:r>
      <w:r w:rsidR="00000024" w:rsidRPr="00E72BBE">
        <w:rPr>
          <w:rFonts w:ascii="Times New Roman" w:eastAsia="Times New Roman" w:hAnsi="Times New Roman" w:cs="Times New Roman"/>
          <w:color w:val="000000" w:themeColor="text1"/>
          <w:shd w:val="clear" w:color="auto" w:fill="FFFFFF"/>
        </w:rPr>
        <w:t>it settled to</w:t>
      </w:r>
      <w:r w:rsidRPr="00E72BBE">
        <w:rPr>
          <w:rFonts w:ascii="Times New Roman" w:eastAsia="Times New Roman" w:hAnsi="Times New Roman" w:cs="Times New Roman"/>
          <w:color w:val="000000" w:themeColor="text1"/>
          <w:shd w:val="clear" w:color="auto" w:fill="FFFFFF"/>
        </w:rPr>
        <w:t xml:space="preserve"> 0.285 </w:t>
      </w:r>
      <w:r w:rsidR="00000024" w:rsidRPr="00E72BBE">
        <w:rPr>
          <w:rFonts w:ascii="Times New Roman" w:eastAsia="Times New Roman" w:hAnsi="Times New Roman" w:cs="Times New Roman"/>
          <w:color w:val="000000" w:themeColor="text1"/>
          <w:shd w:val="clear" w:color="auto" w:fill="FFFFFF"/>
        </w:rPr>
        <w:t xml:space="preserve">in </w:t>
      </w:r>
      <w:r w:rsidRPr="00E72BBE">
        <w:rPr>
          <w:rFonts w:ascii="Times New Roman" w:eastAsia="Times New Roman" w:hAnsi="Times New Roman" w:cs="Times New Roman"/>
          <w:color w:val="000000" w:themeColor="text1"/>
          <w:shd w:val="clear" w:color="auto" w:fill="FFFFFF"/>
        </w:rPr>
        <w:t xml:space="preserve">the year </w:t>
      </w:r>
      <w:r w:rsidR="00000024" w:rsidRPr="00E72BBE">
        <w:rPr>
          <w:rFonts w:ascii="Times New Roman" w:eastAsia="Times New Roman" w:hAnsi="Times New Roman" w:cs="Times New Roman"/>
          <w:color w:val="000000" w:themeColor="text1"/>
          <w:shd w:val="clear" w:color="auto" w:fill="FFFFFF"/>
        </w:rPr>
        <w:t xml:space="preserve">of </w:t>
      </w:r>
      <w:r w:rsidRPr="00E72BBE">
        <w:rPr>
          <w:rFonts w:ascii="Times New Roman" w:eastAsia="Times New Roman" w:hAnsi="Times New Roman" w:cs="Times New Roman"/>
          <w:color w:val="000000" w:themeColor="text1"/>
          <w:shd w:val="clear" w:color="auto" w:fill="FFFFFF"/>
        </w:rPr>
        <w:t>2020. Hilton Worldwide Holdings Ltd beg</w:t>
      </w:r>
      <w:r w:rsidR="00000024" w:rsidRPr="00E72BBE">
        <w:rPr>
          <w:rFonts w:ascii="Times New Roman" w:eastAsia="Times New Roman" w:hAnsi="Times New Roman" w:cs="Times New Roman"/>
          <w:color w:val="000000" w:themeColor="text1"/>
          <w:shd w:val="clear" w:color="auto" w:fill="FFFFFF"/>
        </w:rPr>
        <w:t>a</w:t>
      </w:r>
      <w:r w:rsidRPr="00E72BBE">
        <w:rPr>
          <w:rFonts w:ascii="Times New Roman" w:eastAsia="Times New Roman" w:hAnsi="Times New Roman" w:cs="Times New Roman"/>
          <w:color w:val="000000" w:themeColor="text1"/>
          <w:shd w:val="clear" w:color="auto" w:fill="FFFFFF"/>
        </w:rPr>
        <w:t xml:space="preserve">n with the most noteworthy proportion of 0.509 in the year </w:t>
      </w:r>
      <w:r w:rsidR="00000024" w:rsidRPr="00E72BBE">
        <w:rPr>
          <w:rFonts w:ascii="Times New Roman" w:eastAsia="Times New Roman" w:hAnsi="Times New Roman" w:cs="Times New Roman"/>
          <w:color w:val="000000" w:themeColor="text1"/>
          <w:shd w:val="clear" w:color="auto" w:fill="FFFFFF"/>
        </w:rPr>
        <w:t xml:space="preserve">of </w:t>
      </w:r>
      <w:r w:rsidRPr="00E72BBE">
        <w:rPr>
          <w:rFonts w:ascii="Times New Roman" w:eastAsia="Times New Roman" w:hAnsi="Times New Roman" w:cs="Times New Roman"/>
          <w:color w:val="000000" w:themeColor="text1"/>
          <w:shd w:val="clear" w:color="auto" w:fill="FFFFFF"/>
        </w:rPr>
        <w:t xml:space="preserve">2016 and steadily diminished </w:t>
      </w:r>
      <w:r w:rsidR="00000024" w:rsidRPr="00E72BBE">
        <w:rPr>
          <w:rFonts w:ascii="Times New Roman" w:eastAsia="Times New Roman" w:hAnsi="Times New Roman" w:cs="Times New Roman"/>
          <w:color w:val="000000" w:themeColor="text1"/>
          <w:shd w:val="clear" w:color="auto" w:fill="FFFFFF"/>
        </w:rPr>
        <w:t xml:space="preserve">from </w:t>
      </w:r>
      <w:r w:rsidRPr="00E72BBE">
        <w:rPr>
          <w:rFonts w:ascii="Times New Roman" w:eastAsia="Times New Roman" w:hAnsi="Times New Roman" w:cs="Times New Roman"/>
          <w:color w:val="000000" w:themeColor="text1"/>
          <w:shd w:val="clear" w:color="auto" w:fill="FFFFFF"/>
        </w:rPr>
        <w:t xml:space="preserve">2017 to 2020 to 0.418, 0.480, 0.482, 0.291. </w:t>
      </w:r>
      <w:r w:rsidR="00000024" w:rsidRPr="00E72BBE">
        <w:rPr>
          <w:rFonts w:ascii="Times New Roman" w:eastAsia="Times New Roman" w:hAnsi="Times New Roman" w:cs="Times New Roman"/>
          <w:color w:val="000000" w:themeColor="text1"/>
          <w:shd w:val="clear" w:color="auto" w:fill="FFFFFF"/>
        </w:rPr>
        <w:t>After analyzing this ratio we can</w:t>
      </w:r>
      <w:r w:rsidRPr="00E72BBE">
        <w:rPr>
          <w:rFonts w:ascii="Times New Roman" w:eastAsia="Times New Roman" w:hAnsi="Times New Roman" w:cs="Times New Roman"/>
          <w:color w:val="000000" w:themeColor="text1"/>
          <w:shd w:val="clear" w:color="auto" w:fill="FFFFFF"/>
        </w:rPr>
        <w:t xml:space="preserve"> demonstrate</w:t>
      </w:r>
      <w:r w:rsidR="00000024" w:rsidRPr="00E72BBE">
        <w:rPr>
          <w:rFonts w:ascii="Times New Roman" w:eastAsia="Times New Roman" w:hAnsi="Times New Roman" w:cs="Times New Roman"/>
          <w:color w:val="000000" w:themeColor="text1"/>
          <w:shd w:val="clear" w:color="auto" w:fill="FFFFFF"/>
        </w:rPr>
        <w:t xml:space="preserve"> that</w:t>
      </w:r>
      <w:r w:rsidRPr="00E72BBE">
        <w:rPr>
          <w:rFonts w:ascii="Times New Roman" w:eastAsia="Times New Roman" w:hAnsi="Times New Roman" w:cs="Times New Roman"/>
          <w:color w:val="000000" w:themeColor="text1"/>
          <w:shd w:val="clear" w:color="auto" w:fill="FFFFFF"/>
        </w:rPr>
        <w:t xml:space="preserve"> both the </w:t>
      </w:r>
      <w:r w:rsidR="00E00C03" w:rsidRPr="00E72BBE">
        <w:rPr>
          <w:rFonts w:ascii="Times New Roman" w:eastAsia="Times New Roman" w:hAnsi="Times New Roman" w:cs="Times New Roman"/>
          <w:color w:val="000000" w:themeColor="text1"/>
          <w:shd w:val="clear" w:color="auto" w:fill="FFFFFF"/>
        </w:rPr>
        <w:t>company’s</w:t>
      </w:r>
      <w:r w:rsidRPr="00E72BBE">
        <w:rPr>
          <w:rFonts w:ascii="Times New Roman" w:eastAsia="Times New Roman" w:hAnsi="Times New Roman" w:cs="Times New Roman"/>
          <w:color w:val="000000" w:themeColor="text1"/>
          <w:shd w:val="clear" w:color="auto" w:fill="FFFFFF"/>
        </w:rPr>
        <w:t xml:space="preserve"> current liabilities are secured by money streams produced from </w:t>
      </w:r>
      <w:r w:rsidR="00000024" w:rsidRPr="00E72BBE">
        <w:rPr>
          <w:rFonts w:ascii="Times New Roman" w:eastAsia="Times New Roman" w:hAnsi="Times New Roman" w:cs="Times New Roman"/>
          <w:color w:val="000000" w:themeColor="text1"/>
          <w:shd w:val="clear" w:color="auto" w:fill="FFFFFF"/>
        </w:rPr>
        <w:t>the</w:t>
      </w:r>
      <w:r w:rsidRPr="00E72BBE">
        <w:rPr>
          <w:rFonts w:ascii="Times New Roman" w:eastAsia="Times New Roman" w:hAnsi="Times New Roman" w:cs="Times New Roman"/>
          <w:color w:val="000000" w:themeColor="text1"/>
          <w:shd w:val="clear" w:color="auto" w:fill="FFFFFF"/>
        </w:rPr>
        <w:t xml:space="preserve"> company’s operations.</w:t>
      </w:r>
    </w:p>
    <w:p w14:paraId="329BFFE2" w14:textId="16E8BA9A" w:rsidR="000C0714" w:rsidRPr="00E72BBE" w:rsidRDefault="000C0714" w:rsidP="00E00C03">
      <w:pPr>
        <w:jc w:val="both"/>
        <w:rPr>
          <w:rFonts w:ascii="Times New Roman" w:eastAsia="Times New Roman" w:hAnsi="Times New Roman" w:cs="Times New Roman"/>
          <w:color w:val="000000" w:themeColor="text1"/>
          <w:shd w:val="clear" w:color="auto" w:fill="FFFFFF"/>
        </w:rPr>
      </w:pPr>
      <w:r w:rsidRPr="00E72BBE">
        <w:rPr>
          <w:rFonts w:ascii="Times New Roman" w:hAnsi="Times New Roman" w:cs="Times New Roman"/>
          <w:noProof/>
        </w:rPr>
        <w:drawing>
          <wp:inline distT="0" distB="0" distL="0" distR="0" wp14:anchorId="794B6FD2" wp14:editId="72955AA5">
            <wp:extent cx="4610100" cy="1663700"/>
            <wp:effectExtent l="0" t="0" r="0" b="12700"/>
            <wp:docPr id="13" name="Chart 13">
              <a:extLst xmlns:a="http://schemas.openxmlformats.org/drawingml/2006/main">
                <a:ext uri="{FF2B5EF4-FFF2-40B4-BE49-F238E27FC236}">
                  <a16:creationId xmlns:a16="http://schemas.microsoft.com/office/drawing/2014/main" id="{1293CAAD-FC7E-46A7-99E7-1020723B8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D2F8D7" w14:textId="11B41741" w:rsidR="00E00C03" w:rsidRPr="00C01436" w:rsidRDefault="00E00C03" w:rsidP="00E00C03">
      <w:pPr>
        <w:jc w:val="both"/>
        <w:rPr>
          <w:rFonts w:ascii="Times New Roman" w:eastAsia="Times New Roman" w:hAnsi="Times New Roman" w:cs="Times New Roman"/>
          <w:b/>
          <w:bCs/>
          <w:color w:val="000000" w:themeColor="text1"/>
          <w:sz w:val="28"/>
          <w:szCs w:val="28"/>
          <w:u w:val="single"/>
          <w:shd w:val="clear" w:color="auto" w:fill="FFFFFF"/>
        </w:rPr>
      </w:pPr>
      <w:r w:rsidRPr="00C01436">
        <w:rPr>
          <w:rFonts w:ascii="Times New Roman" w:eastAsia="Times New Roman" w:hAnsi="Times New Roman" w:cs="Times New Roman"/>
          <w:b/>
          <w:bCs/>
          <w:color w:val="000000" w:themeColor="text1"/>
          <w:sz w:val="28"/>
          <w:szCs w:val="28"/>
          <w:u w:val="single"/>
          <w:shd w:val="clear" w:color="auto" w:fill="FFFFFF"/>
        </w:rPr>
        <w:lastRenderedPageBreak/>
        <w:t>Solvency Ratio:</w:t>
      </w:r>
    </w:p>
    <w:p w14:paraId="142CBF8F" w14:textId="6F514DBF" w:rsidR="00E00C03" w:rsidRPr="00E72BBE" w:rsidRDefault="00E00C03" w:rsidP="00E00C03">
      <w:pPr>
        <w:jc w:val="both"/>
        <w:rPr>
          <w:rFonts w:ascii="Times New Roman" w:eastAsia="Times New Roman" w:hAnsi="Times New Roman" w:cs="Times New Roman"/>
          <w:b/>
          <w:bCs/>
          <w:color w:val="000000" w:themeColor="text1"/>
          <w:shd w:val="clear" w:color="auto" w:fill="FFFFFF"/>
        </w:rPr>
      </w:pPr>
      <w:r w:rsidRPr="00C01436">
        <w:rPr>
          <w:rFonts w:ascii="Times New Roman" w:eastAsia="Times New Roman" w:hAnsi="Times New Roman" w:cs="Times New Roman"/>
          <w:b/>
          <w:bCs/>
          <w:color w:val="000000" w:themeColor="text1"/>
          <w:u w:val="single"/>
          <w:shd w:val="clear" w:color="auto" w:fill="FFFFFF"/>
        </w:rPr>
        <w:t>Debt to Equity Ratio:</w:t>
      </w:r>
      <w:r w:rsidRPr="00E72BBE">
        <w:rPr>
          <w:rFonts w:ascii="Times New Roman" w:eastAsia="Times New Roman" w:hAnsi="Times New Roman" w:cs="Times New Roman"/>
          <w:b/>
          <w:bCs/>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The debt-to-equity ratio (also known as the "debt-equity ratio," "risk ratio," or "gearing") is a leverage measure that weighs total debt and financial liabilities against total shareholders' equity. This ratio shows how a firm's capital structure is skewed toward debt versus equity financing.</w:t>
      </w:r>
      <w:r w:rsidR="00000024" w:rsidRPr="00E72BBE">
        <w:rPr>
          <w:rFonts w:ascii="Times New Roman" w:eastAsia="Times New Roman" w:hAnsi="Times New Roman" w:cs="Times New Roman"/>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Marriott international started with highest ratio of 113.952 in the year of 2016 and had a tremendous drop in the next year to -11.508. Later on, it has adequate increase to 10.968,41.896 respectively in the year of 2018 and 2019 and settled at 8.916 in 2020</w:t>
      </w:r>
      <w:bookmarkStart w:id="0" w:name="_Hlk86357665"/>
      <w:r w:rsidRPr="00E72BBE">
        <w:rPr>
          <w:rFonts w:ascii="Times New Roman" w:eastAsia="Times New Roman" w:hAnsi="Times New Roman" w:cs="Times New Roman"/>
          <w:color w:val="000000" w:themeColor="text1"/>
          <w:shd w:val="clear" w:color="auto" w:fill="FFFFFF"/>
        </w:rPr>
        <w:t xml:space="preserve">. </w:t>
      </w:r>
    </w:p>
    <w:bookmarkEnd w:id="0"/>
    <w:p w14:paraId="6C84CD9D" w14:textId="4DAD2926" w:rsidR="00E00C03" w:rsidRPr="00E72BBE" w:rsidRDefault="00E00C03" w:rsidP="00E00C03">
      <w:pPr>
        <w:jc w:val="both"/>
        <w:rPr>
          <w:rFonts w:ascii="Times New Roman" w:eastAsia="Times New Roman" w:hAnsi="Times New Roman" w:cs="Times New Roman"/>
          <w:color w:val="000000" w:themeColor="text1"/>
          <w:shd w:val="clear" w:color="auto" w:fill="FFFFFF"/>
        </w:rPr>
      </w:pPr>
      <w:r w:rsidRPr="00E72BBE">
        <w:rPr>
          <w:rFonts w:ascii="Times New Roman" w:eastAsia="Times New Roman" w:hAnsi="Times New Roman" w:cs="Times New Roman"/>
          <w:color w:val="000000" w:themeColor="text1"/>
          <w:shd w:val="clear" w:color="auto" w:fill="FFFFFF"/>
        </w:rPr>
        <w:t xml:space="preserve">Hilton Worldwide holdings ltd began with a score of 3.481 in 2016 and quickly increased to 24.08 in 2018, before declining to -32.689 and -12.275 in 2019 and 2020, respectively. </w:t>
      </w:r>
      <w:r w:rsidR="00000024" w:rsidRPr="00E72BBE">
        <w:rPr>
          <w:rFonts w:ascii="Times New Roman" w:eastAsia="Times New Roman" w:hAnsi="Times New Roman" w:cs="Times New Roman"/>
          <w:color w:val="000000" w:themeColor="text1"/>
          <w:shd w:val="clear" w:color="auto" w:fill="FFFFFF"/>
        </w:rPr>
        <w:t>We can conclude that</w:t>
      </w:r>
      <w:r w:rsidRPr="00E72BBE">
        <w:rPr>
          <w:rFonts w:ascii="Times New Roman" w:eastAsia="Times New Roman" w:hAnsi="Times New Roman" w:cs="Times New Roman"/>
          <w:color w:val="000000" w:themeColor="text1"/>
          <w:shd w:val="clear" w:color="auto" w:fill="FFFFFF"/>
        </w:rPr>
        <w:t xml:space="preserve"> Marriott</w:t>
      </w:r>
      <w:r w:rsidR="00000024" w:rsidRPr="00E72BBE">
        <w:rPr>
          <w:rFonts w:ascii="Times New Roman" w:eastAsia="Times New Roman" w:hAnsi="Times New Roman" w:cs="Times New Roman"/>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 xml:space="preserve">seems to </w:t>
      </w:r>
      <w:r w:rsidR="00000024" w:rsidRPr="00E72BBE">
        <w:rPr>
          <w:rFonts w:ascii="Times New Roman" w:eastAsia="Times New Roman" w:hAnsi="Times New Roman" w:cs="Times New Roman"/>
          <w:color w:val="000000" w:themeColor="text1"/>
          <w:shd w:val="clear" w:color="auto" w:fill="FFFFFF"/>
        </w:rPr>
        <w:t>have a more</w:t>
      </w:r>
      <w:r w:rsidRPr="00E72BBE">
        <w:rPr>
          <w:rFonts w:ascii="Times New Roman" w:eastAsia="Times New Roman" w:hAnsi="Times New Roman" w:cs="Times New Roman"/>
          <w:color w:val="000000" w:themeColor="text1"/>
          <w:shd w:val="clear" w:color="auto" w:fill="FFFFFF"/>
        </w:rPr>
        <w:t xml:space="preserve"> stable </w:t>
      </w:r>
      <w:r w:rsidR="00000024" w:rsidRPr="00E72BBE">
        <w:rPr>
          <w:rFonts w:ascii="Times New Roman" w:eastAsia="Times New Roman" w:hAnsi="Times New Roman" w:cs="Times New Roman"/>
          <w:color w:val="000000" w:themeColor="text1"/>
          <w:shd w:val="clear" w:color="auto" w:fill="FFFFFF"/>
        </w:rPr>
        <w:t xml:space="preserve">business </w:t>
      </w:r>
      <w:r w:rsidRPr="00E72BBE">
        <w:rPr>
          <w:rFonts w:ascii="Times New Roman" w:eastAsia="Times New Roman" w:hAnsi="Times New Roman" w:cs="Times New Roman"/>
          <w:color w:val="000000" w:themeColor="text1"/>
          <w:shd w:val="clear" w:color="auto" w:fill="FFFFFF"/>
        </w:rPr>
        <w:t>while Hilton has negative ratio indica</w:t>
      </w:r>
      <w:r w:rsidR="004719C3" w:rsidRPr="00E72BBE">
        <w:rPr>
          <w:rFonts w:ascii="Times New Roman" w:eastAsia="Times New Roman" w:hAnsi="Times New Roman" w:cs="Times New Roman"/>
          <w:color w:val="000000" w:themeColor="text1"/>
          <w:shd w:val="clear" w:color="auto" w:fill="FFFFFF"/>
        </w:rPr>
        <w:t>ting</w:t>
      </w:r>
      <w:r w:rsidRPr="00E72BBE">
        <w:rPr>
          <w:rFonts w:ascii="Times New Roman" w:eastAsia="Times New Roman" w:hAnsi="Times New Roman" w:cs="Times New Roman"/>
          <w:color w:val="000000" w:themeColor="text1"/>
          <w:shd w:val="clear" w:color="auto" w:fill="FFFFFF"/>
        </w:rPr>
        <w:t xml:space="preserve"> that it has more liabilities than assets.</w:t>
      </w:r>
    </w:p>
    <w:p w14:paraId="69DEEAA4" w14:textId="3A280DB8" w:rsidR="00842F04" w:rsidRPr="00E72BBE" w:rsidRDefault="00842F04" w:rsidP="00E00C03">
      <w:pPr>
        <w:jc w:val="both"/>
        <w:rPr>
          <w:rFonts w:ascii="Times New Roman" w:eastAsia="Times New Roman" w:hAnsi="Times New Roman" w:cs="Times New Roman"/>
          <w:color w:val="000000" w:themeColor="text1"/>
          <w:shd w:val="clear" w:color="auto" w:fill="FFFFFF"/>
        </w:rPr>
      </w:pPr>
      <w:r w:rsidRPr="00E72BBE">
        <w:rPr>
          <w:rFonts w:ascii="Times New Roman" w:hAnsi="Times New Roman" w:cs="Times New Roman"/>
          <w:noProof/>
        </w:rPr>
        <w:drawing>
          <wp:inline distT="0" distB="0" distL="0" distR="0" wp14:anchorId="2DA32ED3" wp14:editId="5508CD79">
            <wp:extent cx="4337050" cy="1746250"/>
            <wp:effectExtent l="0" t="0" r="6350" b="6350"/>
            <wp:docPr id="14" name="Chart 14">
              <a:extLst xmlns:a="http://schemas.openxmlformats.org/drawingml/2006/main">
                <a:ext uri="{FF2B5EF4-FFF2-40B4-BE49-F238E27FC236}">
                  <a16:creationId xmlns:a16="http://schemas.microsoft.com/office/drawing/2014/main" id="{61F5812A-06C7-40E6-8A6D-5A33F754D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C16980" w14:textId="21978A67" w:rsidR="00E00C03" w:rsidRPr="00C01436" w:rsidRDefault="00E00C03" w:rsidP="00E00C03">
      <w:pPr>
        <w:jc w:val="both"/>
        <w:rPr>
          <w:rFonts w:ascii="Times New Roman" w:eastAsia="Times New Roman" w:hAnsi="Times New Roman" w:cs="Times New Roman"/>
          <w:b/>
          <w:bCs/>
          <w:color w:val="000000" w:themeColor="text1"/>
          <w:shd w:val="clear" w:color="auto" w:fill="FFFFFF"/>
        </w:rPr>
      </w:pPr>
      <w:r w:rsidRPr="00C01436">
        <w:rPr>
          <w:rFonts w:ascii="Times New Roman" w:eastAsia="Times New Roman" w:hAnsi="Times New Roman" w:cs="Times New Roman"/>
          <w:b/>
          <w:bCs/>
          <w:color w:val="000000" w:themeColor="text1"/>
          <w:u w:val="single"/>
          <w:shd w:val="clear" w:color="auto" w:fill="FFFFFF"/>
        </w:rPr>
        <w:t>Times Interest Earned Ratio</w:t>
      </w:r>
      <w:r w:rsidR="00C01436" w:rsidRPr="00C01436">
        <w:rPr>
          <w:rFonts w:ascii="Times New Roman" w:eastAsia="Times New Roman" w:hAnsi="Times New Roman" w:cs="Times New Roman"/>
          <w:b/>
          <w:bCs/>
          <w:color w:val="000000" w:themeColor="text1"/>
          <w:u w:val="single"/>
          <w:shd w:val="clear" w:color="auto" w:fill="FFFFFF"/>
        </w:rPr>
        <w:t>:</w:t>
      </w:r>
      <w:r w:rsidR="00C01436">
        <w:rPr>
          <w:rFonts w:ascii="Times New Roman" w:eastAsia="Times New Roman" w:hAnsi="Times New Roman" w:cs="Times New Roman"/>
          <w:b/>
          <w:bCs/>
          <w:color w:val="000000" w:themeColor="text1"/>
          <w:shd w:val="clear" w:color="auto" w:fill="FFFFFF"/>
        </w:rPr>
        <w:t xml:space="preserve"> </w:t>
      </w:r>
      <w:r w:rsidRPr="00E72BBE">
        <w:rPr>
          <w:rFonts w:ascii="Times New Roman" w:eastAsia="Times New Roman" w:hAnsi="Times New Roman" w:cs="Times New Roman"/>
          <w:color w:val="000000" w:themeColor="text1"/>
          <w:shd w:val="clear" w:color="auto" w:fill="FFFFFF"/>
        </w:rPr>
        <w:t xml:space="preserve">The TIE (Times Interest Earned) ratio assesses a company's capacity to meet its debt obligations on a regular basis. Marriott International began the year with a negative TIE ratio of -6.085, then varied between 8.694 and -6.959 throughout 2017 and 2018, respectively. Following that, in the years </w:t>
      </w:r>
      <w:r w:rsidR="0000660E" w:rsidRPr="00E72BBE">
        <w:rPr>
          <w:rFonts w:ascii="Times New Roman" w:eastAsia="Times New Roman" w:hAnsi="Times New Roman" w:cs="Times New Roman"/>
          <w:color w:val="000000" w:themeColor="text1"/>
          <w:shd w:val="clear" w:color="auto" w:fill="FFFFFF"/>
        </w:rPr>
        <w:t xml:space="preserve">of </w:t>
      </w:r>
      <w:r w:rsidRPr="00E72BBE">
        <w:rPr>
          <w:rFonts w:ascii="Times New Roman" w:eastAsia="Times New Roman" w:hAnsi="Times New Roman" w:cs="Times New Roman"/>
          <w:color w:val="000000" w:themeColor="text1"/>
          <w:shd w:val="clear" w:color="auto" w:fill="FFFFFF"/>
        </w:rPr>
        <w:t xml:space="preserve">2019 and 2020, the ratio slowly increased from -4.569 to -0.189. </w:t>
      </w:r>
    </w:p>
    <w:p w14:paraId="07F909E7" w14:textId="77777777" w:rsidR="00E00C03" w:rsidRPr="00E72BBE" w:rsidRDefault="00E00C03" w:rsidP="00E00C03">
      <w:pPr>
        <w:jc w:val="both"/>
        <w:rPr>
          <w:rFonts w:ascii="Times New Roman" w:eastAsia="Times New Roman" w:hAnsi="Times New Roman" w:cs="Times New Roman"/>
          <w:color w:val="000000" w:themeColor="text1"/>
          <w:shd w:val="clear" w:color="auto" w:fill="FFFFFF"/>
        </w:rPr>
      </w:pPr>
      <w:r w:rsidRPr="00E72BBE">
        <w:rPr>
          <w:rFonts w:ascii="Times New Roman" w:eastAsia="Times New Roman" w:hAnsi="Times New Roman" w:cs="Times New Roman"/>
          <w:color w:val="000000" w:themeColor="text1"/>
          <w:shd w:val="clear" w:color="auto" w:fill="FFFFFF"/>
        </w:rPr>
        <w:t xml:space="preserve">Hilton Worldwide Holdings Ltd started with a low TIE ratio of -2.416 in 2016 and steadily fell to -3.363, -3.860, and -4.002 in 2017, 2018, and 2019, respectively, before rapidly increasing to 0.974 in 2020. </w:t>
      </w:r>
    </w:p>
    <w:p w14:paraId="77FD9172" w14:textId="2823CD71" w:rsidR="00E00C03" w:rsidRPr="00E72BBE" w:rsidRDefault="00E00C03" w:rsidP="00E00C03">
      <w:pPr>
        <w:jc w:val="both"/>
        <w:rPr>
          <w:rFonts w:ascii="Times New Roman" w:eastAsia="Times New Roman" w:hAnsi="Times New Roman" w:cs="Times New Roman"/>
          <w:color w:val="000000" w:themeColor="text1"/>
          <w:shd w:val="clear" w:color="auto" w:fill="FFFFFF"/>
        </w:rPr>
      </w:pPr>
      <w:r w:rsidRPr="00E72BBE">
        <w:rPr>
          <w:rFonts w:ascii="Times New Roman" w:eastAsia="Times New Roman" w:hAnsi="Times New Roman" w:cs="Times New Roman"/>
          <w:color w:val="000000" w:themeColor="text1"/>
          <w:shd w:val="clear" w:color="auto" w:fill="FFFFFF"/>
        </w:rPr>
        <w:t>The above trend for Marriott International indicates that a greater times interest earned ratio is advantageous since it indicates that the company poses less of a danger of insolvency to investors and creditors. While the graph for Hilton worldwide indicates that the times interest earned ratio is low, it suggests there are fewer earnings available to cover interest payments.</w:t>
      </w:r>
    </w:p>
    <w:p w14:paraId="6E17D79C" w14:textId="6569103F" w:rsidR="00F9654F" w:rsidRPr="00E72BBE" w:rsidRDefault="00356DCD" w:rsidP="00E00C03">
      <w:pPr>
        <w:jc w:val="both"/>
        <w:rPr>
          <w:rFonts w:ascii="Times New Roman" w:eastAsia="Times New Roman" w:hAnsi="Times New Roman" w:cs="Times New Roman"/>
          <w:color w:val="000000" w:themeColor="text1"/>
          <w:shd w:val="clear" w:color="auto" w:fill="FFFFFF"/>
        </w:rPr>
      </w:pPr>
      <w:r w:rsidRPr="00C01436">
        <w:rPr>
          <w:rFonts w:ascii="Times New Roman" w:eastAsia="Times New Roman" w:hAnsi="Times New Roman" w:cs="Times New Roman"/>
          <w:b/>
          <w:bCs/>
          <w:color w:val="000000" w:themeColor="text1"/>
          <w:sz w:val="28"/>
          <w:szCs w:val="28"/>
          <w:u w:val="single"/>
          <w:shd w:val="clear" w:color="auto" w:fill="FFFFFF"/>
        </w:rPr>
        <w:t>Conclusion:</w:t>
      </w:r>
      <w:r w:rsidR="00F9654F" w:rsidRPr="00E72BBE">
        <w:rPr>
          <w:rFonts w:ascii="Times New Roman" w:eastAsia="Times New Roman" w:hAnsi="Times New Roman" w:cs="Times New Roman"/>
          <w:b/>
          <w:bCs/>
          <w:color w:val="000000" w:themeColor="text1"/>
          <w:shd w:val="clear" w:color="auto" w:fill="FFFFFF"/>
        </w:rPr>
        <w:t xml:space="preserve"> </w:t>
      </w:r>
      <w:r w:rsidR="00F9654F" w:rsidRPr="00E72BBE">
        <w:rPr>
          <w:rFonts w:ascii="Times New Roman" w:eastAsia="Times New Roman" w:hAnsi="Times New Roman" w:cs="Times New Roman"/>
          <w:color w:val="000000" w:themeColor="text1"/>
          <w:shd w:val="clear" w:color="auto" w:fill="FFFFFF"/>
        </w:rPr>
        <w:t xml:space="preserve">After analyzing both the companies 5 years of financial statements, we can summarize that 2020 was not a good year for both Marriott International and Hilton Worldwide Holdings Inc. One of the main factors behind this was the impactful effect of pandemic on hospitality industry and the evidence is shown on the income statement as both the companies have suffered loss in last year. After thorough analyzation of all the ratios for both companies, we have come to this observation that both equity investors and creditors would be more prone to invest on Hilton compared to Marriott International as </w:t>
      </w:r>
      <w:r w:rsidR="006D7FEE" w:rsidRPr="00E72BBE">
        <w:rPr>
          <w:rFonts w:ascii="Times New Roman" w:eastAsia="Times New Roman" w:hAnsi="Times New Roman" w:cs="Times New Roman"/>
          <w:color w:val="000000" w:themeColor="text1"/>
          <w:shd w:val="clear" w:color="auto" w:fill="FFFFFF"/>
        </w:rPr>
        <w:t>Hilton’s ROE and ROFL are positive throughout the past 5 years. We would like to make clear recommendation that Marriott International should go for creditor financing and Hilton Worldwide Holdings Inc should go for equity financing. As Marriott’s Debt to equity ratio has improved in recent years and Hilton’s ROE is showing a positive upward trend.</w:t>
      </w:r>
    </w:p>
    <w:p w14:paraId="55C1BAE6" w14:textId="77777777" w:rsidR="00E00C03" w:rsidRPr="00E72BBE" w:rsidRDefault="00E00C03" w:rsidP="00E00C03">
      <w:pPr>
        <w:rPr>
          <w:rFonts w:ascii="Times New Roman" w:hAnsi="Times New Roman" w:cs="Times New Roman"/>
        </w:rPr>
      </w:pPr>
    </w:p>
    <w:sectPr w:rsidR="00E00C03" w:rsidRPr="00E7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656"/>
    <w:multiLevelType w:val="hybridMultilevel"/>
    <w:tmpl w:val="3B0CB6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E1"/>
    <w:rsid w:val="00000024"/>
    <w:rsid w:val="0000660E"/>
    <w:rsid w:val="000464EA"/>
    <w:rsid w:val="000B4CCD"/>
    <w:rsid w:val="000C0714"/>
    <w:rsid w:val="00132671"/>
    <w:rsid w:val="001757FE"/>
    <w:rsid w:val="002641D0"/>
    <w:rsid w:val="00266EFF"/>
    <w:rsid w:val="0035212A"/>
    <w:rsid w:val="00356DCD"/>
    <w:rsid w:val="00455214"/>
    <w:rsid w:val="004719C3"/>
    <w:rsid w:val="005F786B"/>
    <w:rsid w:val="0064372D"/>
    <w:rsid w:val="00651B9C"/>
    <w:rsid w:val="006D7FEE"/>
    <w:rsid w:val="007516B1"/>
    <w:rsid w:val="00814B6A"/>
    <w:rsid w:val="00842F04"/>
    <w:rsid w:val="008F1838"/>
    <w:rsid w:val="008F3CE7"/>
    <w:rsid w:val="009011A6"/>
    <w:rsid w:val="0091596D"/>
    <w:rsid w:val="00957664"/>
    <w:rsid w:val="00A27B61"/>
    <w:rsid w:val="00A46EEA"/>
    <w:rsid w:val="00AA0F87"/>
    <w:rsid w:val="00B567C2"/>
    <w:rsid w:val="00B71347"/>
    <w:rsid w:val="00C01436"/>
    <w:rsid w:val="00CE1058"/>
    <w:rsid w:val="00D41886"/>
    <w:rsid w:val="00D81AB1"/>
    <w:rsid w:val="00D91BDF"/>
    <w:rsid w:val="00DB4B31"/>
    <w:rsid w:val="00DF5A27"/>
    <w:rsid w:val="00E00C03"/>
    <w:rsid w:val="00E163E1"/>
    <w:rsid w:val="00E72BBE"/>
    <w:rsid w:val="00F95AF2"/>
    <w:rsid w:val="00F9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6922"/>
  <w15:chartTrackingRefBased/>
  <w15:docId w15:val="{6196670B-E91B-44EC-938C-6092180D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5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1838"/>
    <w:rPr>
      <w:color w:val="0000FF"/>
      <w:u w:val="single"/>
    </w:rPr>
  </w:style>
  <w:style w:type="paragraph" w:styleId="ListParagraph">
    <w:name w:val="List Paragraph"/>
    <w:basedOn w:val="Normal"/>
    <w:uiPriority w:val="34"/>
    <w:qFormat/>
    <w:rsid w:val="00D91BDF"/>
    <w:pPr>
      <w:ind w:left="720"/>
      <w:contextualSpacing/>
    </w:pPr>
  </w:style>
  <w:style w:type="character" w:customStyle="1" w:styleId="Heading3Char">
    <w:name w:val="Heading 3 Char"/>
    <w:basedOn w:val="DefaultParagraphFont"/>
    <w:link w:val="Heading3"/>
    <w:uiPriority w:val="9"/>
    <w:rsid w:val="0091596D"/>
    <w:rPr>
      <w:rFonts w:ascii="Times New Roman" w:eastAsia="Times New Roman" w:hAnsi="Times New Roman" w:cs="Times New Roman"/>
      <w:b/>
      <w:bCs/>
      <w:sz w:val="27"/>
      <w:szCs w:val="27"/>
    </w:rPr>
  </w:style>
  <w:style w:type="character" w:customStyle="1" w:styleId="d2edcug0">
    <w:name w:val="d2edcug0"/>
    <w:basedOn w:val="DefaultParagraphFont"/>
    <w:rsid w:val="0091596D"/>
  </w:style>
  <w:style w:type="character" w:customStyle="1" w:styleId="spvqvc9t">
    <w:name w:val="spvqvc9t"/>
    <w:basedOn w:val="DefaultParagraphFont"/>
    <w:rsid w:val="0091596D"/>
  </w:style>
  <w:style w:type="character" w:styleId="Emphasis">
    <w:name w:val="Emphasis"/>
    <w:basedOn w:val="DefaultParagraphFont"/>
    <w:uiPriority w:val="20"/>
    <w:qFormat/>
    <w:rsid w:val="000000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84317">
      <w:bodyDiv w:val="1"/>
      <w:marLeft w:val="0"/>
      <w:marRight w:val="0"/>
      <w:marTop w:val="0"/>
      <w:marBottom w:val="0"/>
      <w:divBdr>
        <w:top w:val="none" w:sz="0" w:space="0" w:color="auto"/>
        <w:left w:val="none" w:sz="0" w:space="0" w:color="auto"/>
        <w:bottom w:val="none" w:sz="0" w:space="0" w:color="auto"/>
        <w:right w:val="none" w:sz="0" w:space="0" w:color="auto"/>
      </w:divBdr>
      <w:divsChild>
        <w:div w:id="455871992">
          <w:marLeft w:val="0"/>
          <w:marRight w:val="0"/>
          <w:marTop w:val="0"/>
          <w:marBottom w:val="0"/>
          <w:divBdr>
            <w:top w:val="none" w:sz="0" w:space="0" w:color="auto"/>
            <w:left w:val="none" w:sz="0" w:space="0" w:color="auto"/>
            <w:bottom w:val="none" w:sz="0" w:space="0" w:color="auto"/>
            <w:right w:val="none" w:sz="0" w:space="0" w:color="auto"/>
          </w:divBdr>
          <w:divsChild>
            <w:div w:id="1113213020">
              <w:marLeft w:val="0"/>
              <w:marRight w:val="0"/>
              <w:marTop w:val="0"/>
              <w:marBottom w:val="0"/>
              <w:divBdr>
                <w:top w:val="none" w:sz="0" w:space="0" w:color="auto"/>
                <w:left w:val="none" w:sz="0" w:space="0" w:color="auto"/>
                <w:bottom w:val="none" w:sz="0" w:space="0" w:color="auto"/>
                <w:right w:val="none" w:sz="0" w:space="0" w:color="auto"/>
              </w:divBdr>
              <w:divsChild>
                <w:div w:id="1994747803">
                  <w:marLeft w:val="0"/>
                  <w:marRight w:val="0"/>
                  <w:marTop w:val="0"/>
                  <w:marBottom w:val="0"/>
                  <w:divBdr>
                    <w:top w:val="none" w:sz="0" w:space="0" w:color="auto"/>
                    <w:left w:val="none" w:sz="0" w:space="0" w:color="auto"/>
                    <w:bottom w:val="none" w:sz="0" w:space="0" w:color="auto"/>
                    <w:right w:val="none" w:sz="0" w:space="0" w:color="auto"/>
                  </w:divBdr>
                  <w:divsChild>
                    <w:div w:id="1272594900">
                      <w:marLeft w:val="0"/>
                      <w:marRight w:val="0"/>
                      <w:marTop w:val="0"/>
                      <w:marBottom w:val="0"/>
                      <w:divBdr>
                        <w:top w:val="none" w:sz="0" w:space="0" w:color="auto"/>
                        <w:left w:val="none" w:sz="0" w:space="0" w:color="auto"/>
                        <w:bottom w:val="none" w:sz="0" w:space="0" w:color="auto"/>
                        <w:right w:val="none" w:sz="0" w:space="0" w:color="auto"/>
                      </w:divBdr>
                      <w:divsChild>
                        <w:div w:id="1210914579">
                          <w:marLeft w:val="0"/>
                          <w:marRight w:val="0"/>
                          <w:marTop w:val="0"/>
                          <w:marBottom w:val="0"/>
                          <w:divBdr>
                            <w:top w:val="none" w:sz="0" w:space="0" w:color="auto"/>
                            <w:left w:val="none" w:sz="0" w:space="0" w:color="auto"/>
                            <w:bottom w:val="none" w:sz="0" w:space="0" w:color="auto"/>
                            <w:right w:val="none" w:sz="0" w:space="0" w:color="auto"/>
                          </w:divBdr>
                          <w:divsChild>
                            <w:div w:id="68893588">
                              <w:marLeft w:val="0"/>
                              <w:marRight w:val="0"/>
                              <w:marTop w:val="0"/>
                              <w:marBottom w:val="0"/>
                              <w:divBdr>
                                <w:top w:val="none" w:sz="0" w:space="0" w:color="auto"/>
                                <w:left w:val="none" w:sz="0" w:space="0" w:color="auto"/>
                                <w:bottom w:val="none" w:sz="0" w:space="0" w:color="auto"/>
                                <w:right w:val="none" w:sz="0" w:space="0" w:color="auto"/>
                              </w:divBdr>
                              <w:divsChild>
                                <w:div w:id="1306083583">
                                  <w:marLeft w:val="0"/>
                                  <w:marRight w:val="0"/>
                                  <w:marTop w:val="0"/>
                                  <w:marBottom w:val="0"/>
                                  <w:divBdr>
                                    <w:top w:val="none" w:sz="0" w:space="0" w:color="auto"/>
                                    <w:left w:val="none" w:sz="0" w:space="0" w:color="auto"/>
                                    <w:bottom w:val="none" w:sz="0" w:space="0" w:color="auto"/>
                                    <w:right w:val="none" w:sz="0" w:space="0" w:color="auto"/>
                                  </w:divBdr>
                                  <w:divsChild>
                                    <w:div w:id="1006253755">
                                      <w:marLeft w:val="0"/>
                                      <w:marRight w:val="0"/>
                                      <w:marTop w:val="0"/>
                                      <w:marBottom w:val="0"/>
                                      <w:divBdr>
                                        <w:top w:val="none" w:sz="0" w:space="0" w:color="auto"/>
                                        <w:left w:val="none" w:sz="0" w:space="0" w:color="auto"/>
                                        <w:bottom w:val="none" w:sz="0" w:space="0" w:color="auto"/>
                                        <w:right w:val="none" w:sz="0" w:space="0" w:color="auto"/>
                                      </w:divBdr>
                                      <w:divsChild>
                                        <w:div w:id="1960068219">
                                          <w:marLeft w:val="0"/>
                                          <w:marRight w:val="0"/>
                                          <w:marTop w:val="0"/>
                                          <w:marBottom w:val="0"/>
                                          <w:divBdr>
                                            <w:top w:val="none" w:sz="0" w:space="0" w:color="auto"/>
                                            <w:left w:val="none" w:sz="0" w:space="0" w:color="auto"/>
                                            <w:bottom w:val="none" w:sz="0" w:space="0" w:color="auto"/>
                                            <w:right w:val="none" w:sz="0" w:space="0" w:color="auto"/>
                                          </w:divBdr>
                                          <w:divsChild>
                                            <w:div w:id="954483853">
                                              <w:marLeft w:val="0"/>
                                              <w:marRight w:val="0"/>
                                              <w:marTop w:val="0"/>
                                              <w:marBottom w:val="0"/>
                                              <w:divBdr>
                                                <w:top w:val="none" w:sz="0" w:space="0" w:color="auto"/>
                                                <w:left w:val="none" w:sz="0" w:space="0" w:color="auto"/>
                                                <w:bottom w:val="none" w:sz="0" w:space="0" w:color="auto"/>
                                                <w:right w:val="none" w:sz="0" w:space="0" w:color="auto"/>
                                              </w:divBdr>
                                              <w:divsChild>
                                                <w:div w:id="20563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132875">
                      <w:marLeft w:val="0"/>
                      <w:marRight w:val="0"/>
                      <w:marTop w:val="0"/>
                      <w:marBottom w:val="0"/>
                      <w:divBdr>
                        <w:top w:val="single" w:sz="2" w:space="9" w:color="auto"/>
                        <w:left w:val="single" w:sz="2" w:space="9" w:color="auto"/>
                        <w:bottom w:val="single" w:sz="2" w:space="9" w:color="auto"/>
                        <w:right w:val="single" w:sz="2" w:space="9" w:color="auto"/>
                      </w:divBdr>
                      <w:divsChild>
                        <w:div w:id="1130826710">
                          <w:marLeft w:val="0"/>
                          <w:marRight w:val="0"/>
                          <w:marTop w:val="0"/>
                          <w:marBottom w:val="0"/>
                          <w:divBdr>
                            <w:top w:val="none" w:sz="0" w:space="0" w:color="auto"/>
                            <w:left w:val="none" w:sz="0" w:space="0" w:color="auto"/>
                            <w:bottom w:val="none" w:sz="0" w:space="0" w:color="auto"/>
                            <w:right w:val="none" w:sz="0" w:space="0" w:color="auto"/>
                          </w:divBdr>
                          <w:divsChild>
                            <w:div w:id="19872017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58633639">
          <w:marLeft w:val="0"/>
          <w:marRight w:val="0"/>
          <w:marTop w:val="0"/>
          <w:marBottom w:val="0"/>
          <w:divBdr>
            <w:top w:val="none" w:sz="0" w:space="0" w:color="auto"/>
            <w:left w:val="none" w:sz="0" w:space="0" w:color="auto"/>
            <w:bottom w:val="none" w:sz="0" w:space="0" w:color="auto"/>
            <w:right w:val="none" w:sz="0" w:space="0" w:color="auto"/>
          </w:divBdr>
          <w:divsChild>
            <w:div w:id="1973290882">
              <w:marLeft w:val="0"/>
              <w:marRight w:val="0"/>
              <w:marTop w:val="0"/>
              <w:marBottom w:val="0"/>
              <w:divBdr>
                <w:top w:val="none" w:sz="0" w:space="0" w:color="auto"/>
                <w:left w:val="none" w:sz="0" w:space="0" w:color="auto"/>
                <w:bottom w:val="none" w:sz="0" w:space="0" w:color="auto"/>
                <w:right w:val="none" w:sz="0" w:space="0" w:color="auto"/>
              </w:divBdr>
              <w:divsChild>
                <w:div w:id="485510192">
                  <w:marLeft w:val="0"/>
                  <w:marRight w:val="0"/>
                  <w:marTop w:val="0"/>
                  <w:marBottom w:val="0"/>
                  <w:divBdr>
                    <w:top w:val="none" w:sz="0" w:space="0" w:color="auto"/>
                    <w:left w:val="none" w:sz="0" w:space="0" w:color="auto"/>
                    <w:bottom w:val="none" w:sz="0" w:space="0" w:color="auto"/>
                    <w:right w:val="none" w:sz="0" w:space="0" w:color="auto"/>
                  </w:divBdr>
                  <w:divsChild>
                    <w:div w:id="1810047352">
                      <w:marLeft w:val="0"/>
                      <w:marRight w:val="0"/>
                      <w:marTop w:val="0"/>
                      <w:marBottom w:val="0"/>
                      <w:divBdr>
                        <w:top w:val="none" w:sz="0" w:space="0" w:color="auto"/>
                        <w:left w:val="none" w:sz="0" w:space="0" w:color="auto"/>
                        <w:bottom w:val="none" w:sz="0" w:space="0" w:color="auto"/>
                        <w:right w:val="none" w:sz="0" w:space="0" w:color="auto"/>
                      </w:divBdr>
                      <w:divsChild>
                        <w:div w:id="599214999">
                          <w:marLeft w:val="0"/>
                          <w:marRight w:val="0"/>
                          <w:marTop w:val="0"/>
                          <w:marBottom w:val="0"/>
                          <w:divBdr>
                            <w:top w:val="none" w:sz="0" w:space="0" w:color="auto"/>
                            <w:left w:val="none" w:sz="0" w:space="0" w:color="auto"/>
                            <w:bottom w:val="none" w:sz="0" w:space="0" w:color="auto"/>
                            <w:right w:val="none" w:sz="0" w:space="0" w:color="auto"/>
                          </w:divBdr>
                          <w:divsChild>
                            <w:div w:id="326445837">
                              <w:marLeft w:val="0"/>
                              <w:marRight w:val="0"/>
                              <w:marTop w:val="0"/>
                              <w:marBottom w:val="0"/>
                              <w:divBdr>
                                <w:top w:val="none" w:sz="0" w:space="0" w:color="auto"/>
                                <w:left w:val="none" w:sz="0" w:space="0" w:color="auto"/>
                                <w:bottom w:val="none" w:sz="0" w:space="0" w:color="auto"/>
                                <w:right w:val="none" w:sz="0" w:space="0" w:color="auto"/>
                              </w:divBdr>
                              <w:divsChild>
                                <w:div w:id="313334136">
                                  <w:marLeft w:val="0"/>
                                  <w:marRight w:val="0"/>
                                  <w:marTop w:val="0"/>
                                  <w:marBottom w:val="0"/>
                                  <w:divBdr>
                                    <w:top w:val="none" w:sz="0" w:space="0" w:color="auto"/>
                                    <w:left w:val="none" w:sz="0" w:space="0" w:color="auto"/>
                                    <w:bottom w:val="none" w:sz="0" w:space="0" w:color="auto"/>
                                    <w:right w:val="none" w:sz="0" w:space="0" w:color="auto"/>
                                  </w:divBdr>
                                  <w:divsChild>
                                    <w:div w:id="2031830838">
                                      <w:marLeft w:val="0"/>
                                      <w:marRight w:val="0"/>
                                      <w:marTop w:val="0"/>
                                      <w:marBottom w:val="0"/>
                                      <w:divBdr>
                                        <w:top w:val="none" w:sz="0" w:space="0" w:color="auto"/>
                                        <w:left w:val="none" w:sz="0" w:space="0" w:color="auto"/>
                                        <w:bottom w:val="none" w:sz="0" w:space="0" w:color="auto"/>
                                        <w:right w:val="none" w:sz="0" w:space="0" w:color="auto"/>
                                      </w:divBdr>
                                      <w:divsChild>
                                        <w:div w:id="1697269438">
                                          <w:marLeft w:val="0"/>
                                          <w:marRight w:val="0"/>
                                          <w:marTop w:val="0"/>
                                          <w:marBottom w:val="0"/>
                                          <w:divBdr>
                                            <w:top w:val="none" w:sz="0" w:space="0" w:color="auto"/>
                                            <w:left w:val="none" w:sz="0" w:space="0" w:color="auto"/>
                                            <w:bottom w:val="none" w:sz="0" w:space="0" w:color="auto"/>
                                            <w:right w:val="none" w:sz="0" w:space="0" w:color="auto"/>
                                          </w:divBdr>
                                          <w:divsChild>
                                            <w:div w:id="1980257298">
                                              <w:marLeft w:val="0"/>
                                              <w:marRight w:val="0"/>
                                              <w:marTop w:val="0"/>
                                              <w:marBottom w:val="0"/>
                                              <w:divBdr>
                                                <w:top w:val="none" w:sz="0" w:space="0" w:color="auto"/>
                                                <w:left w:val="none" w:sz="0" w:space="0" w:color="auto"/>
                                                <w:bottom w:val="none" w:sz="0" w:space="0" w:color="auto"/>
                                                <w:right w:val="none" w:sz="0" w:space="0" w:color="auto"/>
                                              </w:divBdr>
                                              <w:divsChild>
                                                <w:div w:id="16533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en.wikipedia.org/wiki/Equity" TargetMode="Externa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5be5a509e767486/Desktop/ACCT%205307-002/Financial%20Statement%20Analysis%20Project/Part%20D/Final%20Ratio%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5be5a509e767486/Desktop/ACCT%205307-002/Financial%20Statement%20Analysis%20Project/Part%20D/Final%20Ratio%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5be5a509e767486/Desktop/ACCT%205307-002/Financial%20Statement%20Analysis%20Project/Part%20D/Final%20Ratio%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5be5a509e767486/Desktop/ACCT%205307-002/Financial%20Statement%20Analysis%20Project/Part%20D/Final%20Ratio%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5be5a509e767486/Desktop/ACCT%205307-002/Financial%20Statement%20Analysis%20Project/Part%20D/Final%20Ratio%20Calcul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5be5a509e767486/Desktop/ACCT%205307-002/Financial%20Statement%20Analysis%20Project/Part%20D/Final%20Ratio%20Calcul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5be5a509e767486/Desktop/ACCT%205307-002/Financial%20Statement%20Analysis%20Project/Part%20D/Final%20Ratio%20Calcula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5be5a509e767486/Desktop/ACCT%205307-002/Financial%20Statement%20Analysis%20Project/Part%20D/Final%20Ratio%20Calcul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5be5a509e767486/Desktop/ACCT%205307-002/Financial%20Statement%20Analysis%20Project/Part%20D/Final%20Ratio%20Calcul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Return</a:t>
            </a:r>
            <a:r>
              <a:rPr lang="en-US" baseline="0"/>
              <a:t> on Equity(ROE)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'[Final Ratio Calculation.xlsx]Graphs'!$B$2</c:f>
              <c:strCache>
                <c:ptCount val="1"/>
                <c:pt idx="0">
                  <c:v>Marriott International</c:v>
                </c:pt>
              </c:strCache>
            </c:strRef>
          </c:tx>
          <c:spPr>
            <a:ln w="28575" cap="rnd">
              <a:solidFill>
                <a:schemeClr val="accent1"/>
              </a:solidFill>
              <a:round/>
            </a:ln>
            <a:effectLst/>
          </c:spPr>
          <c:marker>
            <c:symbol val="none"/>
          </c:marker>
          <c:cat>
            <c:numRef>
              <c:f>'[Final Ratio Calculation.xlsx]Graphs'!$A$3:$A$7</c:f>
              <c:numCache>
                <c:formatCode>General</c:formatCode>
                <c:ptCount val="5"/>
                <c:pt idx="0">
                  <c:v>2020</c:v>
                </c:pt>
                <c:pt idx="1">
                  <c:v>2019</c:v>
                </c:pt>
                <c:pt idx="2">
                  <c:v>2018</c:v>
                </c:pt>
                <c:pt idx="3">
                  <c:v>2017</c:v>
                </c:pt>
                <c:pt idx="4">
                  <c:v>2016</c:v>
                </c:pt>
              </c:numCache>
            </c:numRef>
          </c:cat>
          <c:val>
            <c:numRef>
              <c:f>'[Final Ratio Calculation.xlsx]Graphs'!$B$3:$B$7</c:f>
              <c:numCache>
                <c:formatCode>0.000</c:formatCode>
                <c:ptCount val="5"/>
                <c:pt idx="0">
                  <c:v>-0.17365853658536584</c:v>
                </c:pt>
                <c:pt idx="1">
                  <c:v>0.9929797191887676</c:v>
                </c:pt>
                <c:pt idx="2">
                  <c:v>-12.755852842809364</c:v>
                </c:pt>
                <c:pt idx="3">
                  <c:v>-1.4103431609473176</c:v>
                </c:pt>
                <c:pt idx="4">
                  <c:v>-0.24436715560260094</c:v>
                </c:pt>
              </c:numCache>
            </c:numRef>
          </c:val>
          <c:smooth val="0"/>
          <c:extLst>
            <c:ext xmlns:c16="http://schemas.microsoft.com/office/drawing/2014/chart" uri="{C3380CC4-5D6E-409C-BE32-E72D297353CC}">
              <c16:uniqueId val="{00000000-D220-483F-9AD1-BDB6B4EE0CB0}"/>
            </c:ext>
          </c:extLst>
        </c:ser>
        <c:ser>
          <c:idx val="1"/>
          <c:order val="1"/>
          <c:tx>
            <c:strRef>
              <c:f>'[Final Ratio Calculation.xlsx]Graphs'!$C$2</c:f>
              <c:strCache>
                <c:ptCount val="1"/>
                <c:pt idx="0">
                  <c:v>Hilton Worldwide Holding Inc</c:v>
                </c:pt>
              </c:strCache>
            </c:strRef>
          </c:tx>
          <c:spPr>
            <a:ln w="28575" cap="rnd">
              <a:solidFill>
                <a:schemeClr val="accent2"/>
              </a:solidFill>
              <a:round/>
            </a:ln>
            <a:effectLst/>
          </c:spPr>
          <c:marker>
            <c:symbol val="none"/>
          </c:marker>
          <c:cat>
            <c:numRef>
              <c:f>'[Final Ratio Calculation.xlsx]Graphs'!$A$3:$A$7</c:f>
              <c:numCache>
                <c:formatCode>General</c:formatCode>
                <c:ptCount val="5"/>
                <c:pt idx="0">
                  <c:v>2020</c:v>
                </c:pt>
                <c:pt idx="1">
                  <c:v>2019</c:v>
                </c:pt>
                <c:pt idx="2">
                  <c:v>2018</c:v>
                </c:pt>
                <c:pt idx="3">
                  <c:v>2017</c:v>
                </c:pt>
                <c:pt idx="4">
                  <c:v>2016</c:v>
                </c:pt>
              </c:numCache>
            </c:numRef>
          </c:cat>
          <c:val>
            <c:numRef>
              <c:f>'[Final Ratio Calculation.xlsx]Graphs'!$C$3:$C$7</c:f>
              <c:numCache>
                <c:formatCode>0.000</c:formatCode>
                <c:ptCount val="5"/>
                <c:pt idx="0">
                  <c:v>0.73544433094994899</c:v>
                </c:pt>
                <c:pt idx="1">
                  <c:v>20.604651162790699</c:v>
                </c:pt>
                <c:pt idx="2">
                  <c:v>0.58412457273072538</c:v>
                </c:pt>
                <c:pt idx="3">
                  <c:v>0.31903079252902572</c:v>
                </c:pt>
                <c:pt idx="4">
                  <c:v>6.1694915254237287E-2</c:v>
                </c:pt>
              </c:numCache>
            </c:numRef>
          </c:val>
          <c:smooth val="0"/>
          <c:extLst>
            <c:ext xmlns:c16="http://schemas.microsoft.com/office/drawing/2014/chart" uri="{C3380CC4-5D6E-409C-BE32-E72D297353CC}">
              <c16:uniqueId val="{00000001-D220-483F-9AD1-BDB6B4EE0CB0}"/>
            </c:ext>
          </c:extLst>
        </c:ser>
        <c:dLbls>
          <c:showLegendKey val="0"/>
          <c:showVal val="0"/>
          <c:showCatName val="0"/>
          <c:showSerName val="0"/>
          <c:showPercent val="0"/>
          <c:showBubbleSize val="0"/>
        </c:dLbls>
        <c:smooth val="0"/>
        <c:axId val="518154392"/>
        <c:axId val="518155048"/>
      </c:lineChart>
      <c:catAx>
        <c:axId val="518154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55048"/>
        <c:crosses val="autoZero"/>
        <c:auto val="1"/>
        <c:lblAlgn val="ctr"/>
        <c:lblOffset val="100"/>
        <c:noMultiLvlLbl val="0"/>
      </c:catAx>
      <c:valAx>
        <c:axId val="51815504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54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Return</a:t>
            </a:r>
            <a:r>
              <a:rPr lang="en-US" baseline="0"/>
              <a:t> on Financial Leverage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'[Final Ratio Calculation.xlsx]Graphs'!$B$10</c:f>
              <c:strCache>
                <c:ptCount val="1"/>
                <c:pt idx="0">
                  <c:v>Marriott International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'[Final Ratio Calculation.xlsx]Graphs'!$A$11:$A$15</c:f>
              <c:numCache>
                <c:formatCode>General</c:formatCode>
                <c:ptCount val="5"/>
                <c:pt idx="0">
                  <c:v>2020</c:v>
                </c:pt>
                <c:pt idx="1">
                  <c:v>2019</c:v>
                </c:pt>
                <c:pt idx="2">
                  <c:v>2018</c:v>
                </c:pt>
                <c:pt idx="3">
                  <c:v>2017</c:v>
                </c:pt>
                <c:pt idx="4">
                  <c:v>2016</c:v>
                </c:pt>
              </c:numCache>
            </c:numRef>
          </c:xVal>
          <c:yVal>
            <c:numRef>
              <c:f>'[Final Ratio Calculation.xlsx]Graphs'!$B$11:$B$15</c:f>
              <c:numCache>
                <c:formatCode>0.000</c:formatCode>
                <c:ptCount val="5"/>
                <c:pt idx="0">
                  <c:v>-0.16292529973056602</c:v>
                </c:pt>
                <c:pt idx="1">
                  <c:v>0.94075086407973529</c:v>
                </c:pt>
                <c:pt idx="2">
                  <c:v>-12.835904895533737</c:v>
                </c:pt>
                <c:pt idx="3">
                  <c:v>-1.4710235801787266</c:v>
                </c:pt>
                <c:pt idx="4">
                  <c:v>-0.297838137006876</c:v>
                </c:pt>
              </c:numCache>
            </c:numRef>
          </c:yVal>
          <c:smooth val="0"/>
          <c:extLst>
            <c:ext xmlns:c16="http://schemas.microsoft.com/office/drawing/2014/chart" uri="{C3380CC4-5D6E-409C-BE32-E72D297353CC}">
              <c16:uniqueId val="{00000000-32A9-4FBB-AB03-51DC43E74F57}"/>
            </c:ext>
          </c:extLst>
        </c:ser>
        <c:ser>
          <c:idx val="1"/>
          <c:order val="1"/>
          <c:tx>
            <c:strRef>
              <c:f>'[Final Ratio Calculation.xlsx]Graphs'!$C$10</c:f>
              <c:strCache>
                <c:ptCount val="1"/>
                <c:pt idx="0">
                  <c:v>Hilton Worldwide Holding Inc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'[Final Ratio Calculation.xlsx]Graphs'!$A$11:$A$15</c:f>
              <c:numCache>
                <c:formatCode>General</c:formatCode>
                <c:ptCount val="5"/>
                <c:pt idx="0">
                  <c:v>2020</c:v>
                </c:pt>
                <c:pt idx="1">
                  <c:v>2019</c:v>
                </c:pt>
                <c:pt idx="2">
                  <c:v>2018</c:v>
                </c:pt>
                <c:pt idx="3">
                  <c:v>2017</c:v>
                </c:pt>
                <c:pt idx="4">
                  <c:v>2016</c:v>
                </c:pt>
              </c:numCache>
            </c:numRef>
          </c:xVal>
          <c:yVal>
            <c:numRef>
              <c:f>'[Final Ratio Calculation.xlsx]Graphs'!$C$11:$C$15</c:f>
              <c:numCache>
                <c:formatCode>0.000</c:formatCode>
                <c:ptCount val="5"/>
                <c:pt idx="0">
                  <c:v>0.78085300905287525</c:v>
                </c:pt>
                <c:pt idx="1">
                  <c:v>20.543446410096585</c:v>
                </c:pt>
                <c:pt idx="2">
                  <c:v>0.52978404345821006</c:v>
                </c:pt>
                <c:pt idx="3">
                  <c:v>0.2566403090521383</c:v>
                </c:pt>
                <c:pt idx="4">
                  <c:v>4.767523377831917E-2</c:v>
                </c:pt>
              </c:numCache>
            </c:numRef>
          </c:yVal>
          <c:smooth val="0"/>
          <c:extLst>
            <c:ext xmlns:c16="http://schemas.microsoft.com/office/drawing/2014/chart" uri="{C3380CC4-5D6E-409C-BE32-E72D297353CC}">
              <c16:uniqueId val="{00000001-32A9-4FBB-AB03-51DC43E74F57}"/>
            </c:ext>
          </c:extLst>
        </c:ser>
        <c:dLbls>
          <c:showLegendKey val="0"/>
          <c:showVal val="0"/>
          <c:showCatName val="0"/>
          <c:showSerName val="0"/>
          <c:showPercent val="0"/>
          <c:showBubbleSize val="0"/>
        </c:dLbls>
        <c:axId val="524409896"/>
        <c:axId val="523472416"/>
      </c:scatterChart>
      <c:valAx>
        <c:axId val="524409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472416"/>
        <c:crosses val="autoZero"/>
        <c:crossBetween val="midCat"/>
      </c:valAx>
      <c:valAx>
        <c:axId val="52347241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09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a:t>
            </a:r>
            <a:r>
              <a:rPr lang="en-US" baseline="0"/>
              <a:t> Margin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'[Final Ratio Calculation.xlsx]Graphs'!$B$18</c:f>
              <c:strCache>
                <c:ptCount val="1"/>
                <c:pt idx="0">
                  <c:v>Marriott International</c:v>
                </c:pt>
              </c:strCache>
            </c:strRef>
          </c:tx>
          <c:spPr>
            <a:solidFill>
              <a:schemeClr val="accent1"/>
            </a:solidFill>
            <a:ln>
              <a:noFill/>
            </a:ln>
            <a:effectLst/>
          </c:spPr>
          <c:invertIfNegative val="0"/>
          <c:cat>
            <c:numRef>
              <c:f>'[Final Ratio Calculation.xlsx]Graphs'!$A$19:$A$23</c:f>
              <c:numCache>
                <c:formatCode>General</c:formatCode>
                <c:ptCount val="5"/>
                <c:pt idx="0">
                  <c:v>2020</c:v>
                </c:pt>
                <c:pt idx="1">
                  <c:v>2019</c:v>
                </c:pt>
                <c:pt idx="2">
                  <c:v>2018</c:v>
                </c:pt>
                <c:pt idx="3">
                  <c:v>2017</c:v>
                </c:pt>
                <c:pt idx="4">
                  <c:v>2016</c:v>
                </c:pt>
              </c:numCache>
            </c:numRef>
          </c:cat>
          <c:val>
            <c:numRef>
              <c:f>'[Final Ratio Calculation.xlsx]Graphs'!$B$19:$B$23</c:f>
              <c:numCache>
                <c:formatCode>General</c:formatCode>
                <c:ptCount val="5"/>
                <c:pt idx="0">
                  <c:v>7.946268091949673E-3</c:v>
                </c:pt>
                <c:pt idx="1">
                  <c:v>8.5828724012969676E-2</c:v>
                </c:pt>
                <c:pt idx="2">
                  <c:v>0.11398015223046536</c:v>
                </c:pt>
                <c:pt idx="3">
                  <c:v>0.1224330138861725</c:v>
                </c:pt>
                <c:pt idx="4">
                  <c:v>9.2425520867138317E-2</c:v>
                </c:pt>
              </c:numCache>
            </c:numRef>
          </c:val>
          <c:extLst>
            <c:ext xmlns:c16="http://schemas.microsoft.com/office/drawing/2014/chart" uri="{C3380CC4-5D6E-409C-BE32-E72D297353CC}">
              <c16:uniqueId val="{00000000-C5EB-40A6-AED2-D29F0E1C31BC}"/>
            </c:ext>
          </c:extLst>
        </c:ser>
        <c:ser>
          <c:idx val="1"/>
          <c:order val="1"/>
          <c:tx>
            <c:strRef>
              <c:f>'[Final Ratio Calculation.xlsx]Graphs'!$C$18</c:f>
              <c:strCache>
                <c:ptCount val="1"/>
                <c:pt idx="0">
                  <c:v>Hilton Worldwide Holding Inc</c:v>
                </c:pt>
              </c:strCache>
            </c:strRef>
          </c:tx>
          <c:spPr>
            <a:solidFill>
              <a:schemeClr val="accent2"/>
            </a:solidFill>
            <a:ln>
              <a:noFill/>
            </a:ln>
            <a:effectLst/>
          </c:spPr>
          <c:invertIfNegative val="0"/>
          <c:cat>
            <c:numRef>
              <c:f>'[Final Ratio Calculation.xlsx]Graphs'!$A$19:$A$23</c:f>
              <c:numCache>
                <c:formatCode>General</c:formatCode>
                <c:ptCount val="5"/>
                <c:pt idx="0">
                  <c:v>2020</c:v>
                </c:pt>
                <c:pt idx="1">
                  <c:v>2019</c:v>
                </c:pt>
                <c:pt idx="2">
                  <c:v>2018</c:v>
                </c:pt>
                <c:pt idx="3">
                  <c:v>2017</c:v>
                </c:pt>
                <c:pt idx="4">
                  <c:v>2016</c:v>
                </c:pt>
              </c:numCache>
            </c:numRef>
          </c:cat>
          <c:val>
            <c:numRef>
              <c:f>'[Final Ratio Calculation.xlsx]Graphs'!$C$19:$C$23</c:f>
              <c:numCache>
                <c:formatCode>General</c:formatCode>
                <c:ptCount val="5"/>
                <c:pt idx="0">
                  <c:v>-9.7051311817970748E-2</c:v>
                </c:pt>
                <c:pt idx="1">
                  <c:v>0.16673719847651292</c:v>
                </c:pt>
                <c:pt idx="2">
                  <c:v>0.16079047832921625</c:v>
                </c:pt>
                <c:pt idx="3">
                  <c:v>0.150109409190372</c:v>
                </c:pt>
                <c:pt idx="4">
                  <c:v>0.12787862367921973</c:v>
                </c:pt>
              </c:numCache>
            </c:numRef>
          </c:val>
          <c:extLst>
            <c:ext xmlns:c16="http://schemas.microsoft.com/office/drawing/2014/chart" uri="{C3380CC4-5D6E-409C-BE32-E72D297353CC}">
              <c16:uniqueId val="{00000001-C5EB-40A6-AED2-D29F0E1C31BC}"/>
            </c:ext>
          </c:extLst>
        </c:ser>
        <c:dLbls>
          <c:showLegendKey val="0"/>
          <c:showVal val="0"/>
          <c:showCatName val="0"/>
          <c:showSerName val="0"/>
          <c:showPercent val="0"/>
          <c:showBubbleSize val="0"/>
        </c:dLbls>
        <c:gapWidth val="219"/>
        <c:overlap val="-27"/>
        <c:axId val="526416768"/>
        <c:axId val="418782016"/>
      </c:barChart>
      <c:catAx>
        <c:axId val="52641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82016"/>
        <c:crosses val="autoZero"/>
        <c:auto val="1"/>
        <c:lblAlgn val="ctr"/>
        <c:lblOffset val="100"/>
        <c:noMultiLvlLbl val="0"/>
      </c:catAx>
      <c:valAx>
        <c:axId val="41878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41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NOPAT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'[Final Ratio Calculation.xlsx]Graphs'!$B$28</c:f>
              <c:strCache>
                <c:ptCount val="1"/>
                <c:pt idx="0">
                  <c:v>Marriott International</c:v>
                </c:pt>
              </c:strCache>
            </c:strRef>
          </c:tx>
          <c:spPr>
            <a:solidFill>
              <a:schemeClr val="accent1"/>
            </a:solidFill>
            <a:ln>
              <a:noFill/>
            </a:ln>
            <a:effectLst/>
          </c:spPr>
          <c:invertIfNegative val="0"/>
          <c:cat>
            <c:numRef>
              <c:f>'[Final Ratio Calculation.xlsx]Graphs'!$A$29:$A$33</c:f>
              <c:numCache>
                <c:formatCode>General</c:formatCode>
                <c:ptCount val="5"/>
                <c:pt idx="0">
                  <c:v>2020</c:v>
                </c:pt>
                <c:pt idx="1">
                  <c:v>2019</c:v>
                </c:pt>
                <c:pt idx="2">
                  <c:v>2018</c:v>
                </c:pt>
                <c:pt idx="3">
                  <c:v>2017</c:v>
                </c:pt>
                <c:pt idx="4">
                  <c:v>2016</c:v>
                </c:pt>
              </c:numCache>
            </c:numRef>
          </c:cat>
          <c:val>
            <c:numRef>
              <c:f>'[Final Ratio Calculation.xlsx]Graphs'!$B$29:$B$33</c:f>
              <c:numCache>
                <c:formatCode>General</c:formatCode>
                <c:ptCount val="5"/>
                <c:pt idx="0">
                  <c:v>-618.54999999999995</c:v>
                </c:pt>
                <c:pt idx="1">
                  <c:v>961.74</c:v>
                </c:pt>
                <c:pt idx="2">
                  <c:v>1638.4</c:v>
                </c:pt>
                <c:pt idx="3">
                  <c:v>1231.48</c:v>
                </c:pt>
                <c:pt idx="4">
                  <c:v>623.14</c:v>
                </c:pt>
              </c:numCache>
            </c:numRef>
          </c:val>
          <c:extLst>
            <c:ext xmlns:c16="http://schemas.microsoft.com/office/drawing/2014/chart" uri="{C3380CC4-5D6E-409C-BE32-E72D297353CC}">
              <c16:uniqueId val="{00000000-66B8-4CDE-BAC1-6D5312CFD0EB}"/>
            </c:ext>
          </c:extLst>
        </c:ser>
        <c:ser>
          <c:idx val="1"/>
          <c:order val="1"/>
          <c:tx>
            <c:strRef>
              <c:f>'[Final Ratio Calculation.xlsx]Graphs'!$C$28</c:f>
              <c:strCache>
                <c:ptCount val="1"/>
                <c:pt idx="0">
                  <c:v>Hilton Worldwide Holding Inc</c:v>
                </c:pt>
              </c:strCache>
            </c:strRef>
          </c:tx>
          <c:spPr>
            <a:solidFill>
              <a:schemeClr val="accent2"/>
            </a:solidFill>
            <a:ln>
              <a:noFill/>
            </a:ln>
            <a:effectLst/>
          </c:spPr>
          <c:invertIfNegative val="0"/>
          <c:cat>
            <c:numRef>
              <c:f>'[Final Ratio Calculation.xlsx]Graphs'!$A$29:$A$33</c:f>
              <c:numCache>
                <c:formatCode>General</c:formatCode>
                <c:ptCount val="5"/>
                <c:pt idx="0">
                  <c:v>2020</c:v>
                </c:pt>
                <c:pt idx="1">
                  <c:v>2019</c:v>
                </c:pt>
                <c:pt idx="2">
                  <c:v>2018</c:v>
                </c:pt>
                <c:pt idx="3">
                  <c:v>2017</c:v>
                </c:pt>
                <c:pt idx="4">
                  <c:v>2016</c:v>
                </c:pt>
              </c:numCache>
            </c:numRef>
          </c:cat>
          <c:val>
            <c:numRef>
              <c:f>'[Final Ratio Calculation.xlsx]Graphs'!$C$29:$C$33</c:f>
              <c:numCache>
                <c:formatCode>General</c:formatCode>
                <c:ptCount val="5"/>
                <c:pt idx="0">
                  <c:v>-1058.9100000000001</c:v>
                </c:pt>
                <c:pt idx="1">
                  <c:v>558.94000000000005</c:v>
                </c:pt>
                <c:pt idx="2">
                  <c:v>475.90999999999997</c:v>
                </c:pt>
                <c:pt idx="3">
                  <c:v>941.68000000000006</c:v>
                </c:pt>
                <c:pt idx="4">
                  <c:v>52.740000000000009</c:v>
                </c:pt>
              </c:numCache>
            </c:numRef>
          </c:val>
          <c:extLst>
            <c:ext xmlns:c16="http://schemas.microsoft.com/office/drawing/2014/chart" uri="{C3380CC4-5D6E-409C-BE32-E72D297353CC}">
              <c16:uniqueId val="{00000001-66B8-4CDE-BAC1-6D5312CFD0EB}"/>
            </c:ext>
          </c:extLst>
        </c:ser>
        <c:dLbls>
          <c:showLegendKey val="0"/>
          <c:showVal val="0"/>
          <c:showCatName val="0"/>
          <c:showSerName val="0"/>
          <c:showPercent val="0"/>
          <c:showBubbleSize val="0"/>
        </c:dLbls>
        <c:gapWidth val="219"/>
        <c:overlap val="-27"/>
        <c:axId val="520397352"/>
        <c:axId val="520398008"/>
      </c:barChart>
      <c:catAx>
        <c:axId val="520397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398008"/>
        <c:crosses val="autoZero"/>
        <c:auto val="1"/>
        <c:lblAlgn val="ctr"/>
        <c:lblOffset val="100"/>
        <c:noMultiLvlLbl val="0"/>
      </c:catAx>
      <c:valAx>
        <c:axId val="520398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39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Asset</a:t>
            </a:r>
            <a:r>
              <a:rPr lang="en-US" baseline="0"/>
              <a:t> Turnover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'[Final Ratio Calculation.xlsx]Graphs'!$B$37</c:f>
              <c:strCache>
                <c:ptCount val="1"/>
                <c:pt idx="0">
                  <c:v>Marriott International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'[Final Ratio Calculation.xlsx]Graphs'!$A$38:$A$42</c:f>
              <c:numCache>
                <c:formatCode>General</c:formatCode>
                <c:ptCount val="5"/>
                <c:pt idx="0">
                  <c:v>2020</c:v>
                </c:pt>
                <c:pt idx="1">
                  <c:v>2019</c:v>
                </c:pt>
                <c:pt idx="2">
                  <c:v>2018</c:v>
                </c:pt>
                <c:pt idx="3">
                  <c:v>2017</c:v>
                </c:pt>
                <c:pt idx="4">
                  <c:v>2016</c:v>
                </c:pt>
              </c:numCache>
            </c:numRef>
          </c:xVal>
          <c:yVal>
            <c:numRef>
              <c:f>'[Final Ratio Calculation.xlsx]Graphs'!$B$38:$B$42</c:f>
              <c:numCache>
                <c:formatCode>General</c:formatCode>
                <c:ptCount val="5"/>
                <c:pt idx="0">
                  <c:v>0.42494774079433995</c:v>
                </c:pt>
                <c:pt idx="1">
                  <c:v>0.86044269390936878</c:v>
                </c:pt>
                <c:pt idx="2">
                  <c:v>0.87137939719586932</c:v>
                </c:pt>
                <c:pt idx="3">
                  <c:v>0.85060722009648981</c:v>
                </c:pt>
                <c:pt idx="4">
                  <c:v>1.0195883793263185</c:v>
                </c:pt>
              </c:numCache>
            </c:numRef>
          </c:yVal>
          <c:smooth val="0"/>
          <c:extLst>
            <c:ext xmlns:c16="http://schemas.microsoft.com/office/drawing/2014/chart" uri="{C3380CC4-5D6E-409C-BE32-E72D297353CC}">
              <c16:uniqueId val="{00000000-07AE-44D8-8290-2040DED5611C}"/>
            </c:ext>
          </c:extLst>
        </c:ser>
        <c:ser>
          <c:idx val="1"/>
          <c:order val="1"/>
          <c:tx>
            <c:strRef>
              <c:f>'[Final Ratio Calculation.xlsx]Graphs'!$C$37</c:f>
              <c:strCache>
                <c:ptCount val="1"/>
                <c:pt idx="0">
                  <c:v>Hilton Worldwide Holding Inc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'[Final Ratio Calculation.xlsx]Graphs'!$A$38:$A$42</c:f>
              <c:numCache>
                <c:formatCode>General</c:formatCode>
                <c:ptCount val="5"/>
                <c:pt idx="0">
                  <c:v>2020</c:v>
                </c:pt>
                <c:pt idx="1">
                  <c:v>2019</c:v>
                </c:pt>
                <c:pt idx="2">
                  <c:v>2018</c:v>
                </c:pt>
                <c:pt idx="3">
                  <c:v>2017</c:v>
                </c:pt>
                <c:pt idx="4">
                  <c:v>2016</c:v>
                </c:pt>
              </c:numCache>
            </c:numRef>
          </c:xVal>
          <c:yVal>
            <c:numRef>
              <c:f>'[Final Ratio Calculation.xlsx]Graphs'!$C$38:$C$42</c:f>
              <c:numCache>
                <c:formatCode>General</c:formatCode>
                <c:ptCount val="5"/>
                <c:pt idx="0">
                  <c:v>0.2716321897073663</c:v>
                </c:pt>
                <c:pt idx="1">
                  <c:v>0.65294280187897213</c:v>
                </c:pt>
                <c:pt idx="2">
                  <c:v>0.62933257958520294</c:v>
                </c:pt>
                <c:pt idx="3">
                  <c:v>0.45114637577432809</c:v>
                </c:pt>
                <c:pt idx="4">
                  <c:v>0.28432222158029541</c:v>
                </c:pt>
              </c:numCache>
            </c:numRef>
          </c:yVal>
          <c:smooth val="0"/>
          <c:extLst>
            <c:ext xmlns:c16="http://schemas.microsoft.com/office/drawing/2014/chart" uri="{C3380CC4-5D6E-409C-BE32-E72D297353CC}">
              <c16:uniqueId val="{00000001-07AE-44D8-8290-2040DED5611C}"/>
            </c:ext>
          </c:extLst>
        </c:ser>
        <c:dLbls>
          <c:showLegendKey val="0"/>
          <c:showVal val="0"/>
          <c:showCatName val="0"/>
          <c:showSerName val="0"/>
          <c:showPercent val="0"/>
          <c:showBubbleSize val="0"/>
        </c:dLbls>
        <c:axId val="413921104"/>
        <c:axId val="413921432"/>
      </c:scatterChart>
      <c:valAx>
        <c:axId val="413921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21432"/>
        <c:crosses val="autoZero"/>
        <c:crossBetween val="midCat"/>
      </c:valAx>
      <c:valAx>
        <c:axId val="413921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21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t>
            </a:r>
            <a:r>
              <a:rPr lang="en-US" baseline="0"/>
              <a:t> Turnover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'[Final Ratio Calculation.xlsx]Graphs'!$B$46</c:f>
              <c:strCache>
                <c:ptCount val="1"/>
                <c:pt idx="0">
                  <c:v>Marriott International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'[Final Ratio Calculation.xlsx]Graphs'!$A$47:$A$51</c:f>
              <c:numCache>
                <c:formatCode>General</c:formatCode>
                <c:ptCount val="5"/>
                <c:pt idx="0">
                  <c:v>2020</c:v>
                </c:pt>
                <c:pt idx="1">
                  <c:v>2019</c:v>
                </c:pt>
                <c:pt idx="2">
                  <c:v>2018</c:v>
                </c:pt>
                <c:pt idx="3">
                  <c:v>2017</c:v>
                </c:pt>
                <c:pt idx="4">
                  <c:v>2016</c:v>
                </c:pt>
              </c:numCache>
            </c:numRef>
          </c:xVal>
          <c:yVal>
            <c:numRef>
              <c:f>'[Final Ratio Calculation.xlsx]Graphs'!$B$47:$B$51</c:f>
              <c:numCache>
                <c:formatCode>General</c:formatCode>
                <c:ptCount val="5"/>
                <c:pt idx="0">
                  <c:v>5.0785491232284414</c:v>
                </c:pt>
                <c:pt idx="1">
                  <c:v>9.2632508833922262</c:v>
                </c:pt>
                <c:pt idx="2">
                  <c:v>10.066925315227934</c:v>
                </c:pt>
                <c:pt idx="3">
                  <c:v>11.097124253933803</c:v>
                </c:pt>
                <c:pt idx="4">
                  <c:v>11.012866333095069</c:v>
                </c:pt>
              </c:numCache>
            </c:numRef>
          </c:yVal>
          <c:smooth val="0"/>
          <c:extLst>
            <c:ext xmlns:c16="http://schemas.microsoft.com/office/drawing/2014/chart" uri="{C3380CC4-5D6E-409C-BE32-E72D297353CC}">
              <c16:uniqueId val="{00000000-1B16-46AE-88CF-7365E97160FC}"/>
            </c:ext>
          </c:extLst>
        </c:ser>
        <c:ser>
          <c:idx val="1"/>
          <c:order val="1"/>
          <c:tx>
            <c:strRef>
              <c:f>'[Final Ratio Calculation.xlsx]Graphs'!$C$46</c:f>
              <c:strCache>
                <c:ptCount val="1"/>
                <c:pt idx="0">
                  <c:v>Hilton Worldwide Holding Inc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'[Final Ratio Calculation.xlsx]Graphs'!$A$47:$A$51</c:f>
              <c:numCache>
                <c:formatCode>General</c:formatCode>
                <c:ptCount val="5"/>
                <c:pt idx="0">
                  <c:v>2020</c:v>
                </c:pt>
                <c:pt idx="1">
                  <c:v>2019</c:v>
                </c:pt>
                <c:pt idx="2">
                  <c:v>2018</c:v>
                </c:pt>
                <c:pt idx="3">
                  <c:v>2017</c:v>
                </c:pt>
                <c:pt idx="4">
                  <c:v>2016</c:v>
                </c:pt>
              </c:numCache>
            </c:numRef>
          </c:xVal>
          <c:yVal>
            <c:numRef>
              <c:f>'[Final Ratio Calculation.xlsx]Graphs'!$C$47:$C$51</c:f>
              <c:numCache>
                <c:formatCode>General</c:formatCode>
                <c:ptCount val="5"/>
                <c:pt idx="0">
                  <c:v>4.2391732283464565</c:v>
                </c:pt>
                <c:pt idx="1">
                  <c:v>7.8407299875570304</c:v>
                </c:pt>
                <c:pt idx="2">
                  <c:v>8.2923649906890127</c:v>
                </c:pt>
                <c:pt idx="3">
                  <c:v>9.1263105341987014</c:v>
                </c:pt>
                <c:pt idx="4">
                  <c:v>7.8490164805954281</c:v>
                </c:pt>
              </c:numCache>
            </c:numRef>
          </c:yVal>
          <c:smooth val="0"/>
          <c:extLst>
            <c:ext xmlns:c16="http://schemas.microsoft.com/office/drawing/2014/chart" uri="{C3380CC4-5D6E-409C-BE32-E72D297353CC}">
              <c16:uniqueId val="{00000001-1B16-46AE-88CF-7365E97160FC}"/>
            </c:ext>
          </c:extLst>
        </c:ser>
        <c:dLbls>
          <c:showLegendKey val="0"/>
          <c:showVal val="0"/>
          <c:showCatName val="0"/>
          <c:showSerName val="0"/>
          <c:showPercent val="0"/>
          <c:showBubbleSize val="0"/>
        </c:dLbls>
        <c:axId val="586891832"/>
        <c:axId val="586892160"/>
      </c:scatterChart>
      <c:valAx>
        <c:axId val="586891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892160"/>
        <c:crosses val="autoZero"/>
        <c:crossBetween val="midCat"/>
      </c:valAx>
      <c:valAx>
        <c:axId val="58689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891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'[Final Ratio Calculation.xlsx]Graphs'!$B$54</c:f>
              <c:strCache>
                <c:ptCount val="1"/>
                <c:pt idx="0">
                  <c:v>Marriott International</c:v>
                </c:pt>
              </c:strCache>
            </c:strRef>
          </c:tx>
          <c:spPr>
            <a:solidFill>
              <a:schemeClr val="accent1"/>
            </a:solidFill>
            <a:ln>
              <a:noFill/>
            </a:ln>
            <a:effectLst/>
          </c:spPr>
          <c:invertIfNegative val="0"/>
          <c:cat>
            <c:numRef>
              <c:f>'[Final Ratio Calculation.xlsx]Graphs'!$A$55:$A$59</c:f>
              <c:numCache>
                <c:formatCode>General</c:formatCode>
                <c:ptCount val="5"/>
                <c:pt idx="0">
                  <c:v>2020</c:v>
                </c:pt>
                <c:pt idx="1">
                  <c:v>2019</c:v>
                </c:pt>
                <c:pt idx="2">
                  <c:v>2018</c:v>
                </c:pt>
                <c:pt idx="3">
                  <c:v>2017</c:v>
                </c:pt>
                <c:pt idx="4">
                  <c:v>2016</c:v>
                </c:pt>
              </c:numCache>
            </c:numRef>
          </c:cat>
          <c:val>
            <c:numRef>
              <c:f>'[Final Ratio Calculation.xlsx]Graphs'!$B$55:$B$59</c:f>
              <c:numCache>
                <c:formatCode>0.000</c:formatCode>
                <c:ptCount val="5"/>
                <c:pt idx="0">
                  <c:v>0.49113351877607786</c:v>
                </c:pt>
                <c:pt idx="1">
                  <c:v>0.46832409764864458</c:v>
                </c:pt>
                <c:pt idx="2">
                  <c:v>0.42038216560509556</c:v>
                </c:pt>
                <c:pt idx="3">
                  <c:v>0.45707154742096506</c:v>
                </c:pt>
                <c:pt idx="4">
                  <c:v>0.65494462793860497</c:v>
                </c:pt>
              </c:numCache>
            </c:numRef>
          </c:val>
          <c:extLst>
            <c:ext xmlns:c16="http://schemas.microsoft.com/office/drawing/2014/chart" uri="{C3380CC4-5D6E-409C-BE32-E72D297353CC}">
              <c16:uniqueId val="{00000000-60D9-4262-A70F-B5F2148CF727}"/>
            </c:ext>
          </c:extLst>
        </c:ser>
        <c:ser>
          <c:idx val="1"/>
          <c:order val="1"/>
          <c:tx>
            <c:strRef>
              <c:f>'[Final Ratio Calculation.xlsx]Graphs'!$C$54</c:f>
              <c:strCache>
                <c:ptCount val="1"/>
                <c:pt idx="0">
                  <c:v>Hilton Worldwide Holding Inc</c:v>
                </c:pt>
              </c:strCache>
            </c:strRef>
          </c:tx>
          <c:spPr>
            <a:solidFill>
              <a:schemeClr val="accent2"/>
            </a:solidFill>
            <a:ln>
              <a:noFill/>
            </a:ln>
            <a:effectLst/>
          </c:spPr>
          <c:invertIfNegative val="0"/>
          <c:cat>
            <c:numRef>
              <c:f>'[Final Ratio Calculation.xlsx]Graphs'!$A$55:$A$59</c:f>
              <c:numCache>
                <c:formatCode>General</c:formatCode>
                <c:ptCount val="5"/>
                <c:pt idx="0">
                  <c:v>2020</c:v>
                </c:pt>
                <c:pt idx="1">
                  <c:v>2019</c:v>
                </c:pt>
                <c:pt idx="2">
                  <c:v>2018</c:v>
                </c:pt>
                <c:pt idx="3">
                  <c:v>2017</c:v>
                </c:pt>
                <c:pt idx="4">
                  <c:v>2016</c:v>
                </c:pt>
              </c:numCache>
            </c:numRef>
          </c:cat>
          <c:val>
            <c:numRef>
              <c:f>'[Final Ratio Calculation.xlsx]Graphs'!$C$55:$C$59</c:f>
              <c:numCache>
                <c:formatCode>0.000</c:formatCode>
                <c:ptCount val="5"/>
                <c:pt idx="0">
                  <c:v>1.7285067873303168</c:v>
                </c:pt>
                <c:pt idx="1">
                  <c:v>0.72901428073841867</c:v>
                </c:pt>
                <c:pt idx="2">
                  <c:v>0.75831739961759081</c:v>
                </c:pt>
                <c:pt idx="3">
                  <c:v>0.89945652173913049</c:v>
                </c:pt>
                <c:pt idx="4">
                  <c:v>1.3252608047690015</c:v>
                </c:pt>
              </c:numCache>
            </c:numRef>
          </c:val>
          <c:extLst>
            <c:ext xmlns:c16="http://schemas.microsoft.com/office/drawing/2014/chart" uri="{C3380CC4-5D6E-409C-BE32-E72D297353CC}">
              <c16:uniqueId val="{00000001-60D9-4262-A70F-B5F2148CF727}"/>
            </c:ext>
          </c:extLst>
        </c:ser>
        <c:dLbls>
          <c:showLegendKey val="0"/>
          <c:showVal val="0"/>
          <c:showCatName val="0"/>
          <c:showSerName val="0"/>
          <c:showPercent val="0"/>
          <c:showBubbleSize val="0"/>
        </c:dLbls>
        <c:gapWidth val="219"/>
        <c:overlap val="-27"/>
        <c:axId val="523470776"/>
        <c:axId val="581415760"/>
      </c:barChart>
      <c:catAx>
        <c:axId val="523470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15760"/>
        <c:crosses val="autoZero"/>
        <c:auto val="1"/>
        <c:lblAlgn val="ctr"/>
        <c:lblOffset val="100"/>
        <c:noMultiLvlLbl val="0"/>
      </c:catAx>
      <c:valAx>
        <c:axId val="58141576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470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Operating</a:t>
            </a:r>
            <a:r>
              <a:rPr lang="en-US" baseline="0"/>
              <a:t> Cashflow to Current Liabilities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'[Final Ratio Calculation.xlsx]Graphs'!$B$62</c:f>
              <c:strCache>
                <c:ptCount val="1"/>
                <c:pt idx="0">
                  <c:v>Marriott International</c:v>
                </c:pt>
              </c:strCache>
            </c:strRef>
          </c:tx>
          <c:spPr>
            <a:solidFill>
              <a:schemeClr val="accent1"/>
            </a:solidFill>
            <a:ln>
              <a:noFill/>
            </a:ln>
            <a:effectLst/>
          </c:spPr>
          <c:invertIfNegative val="0"/>
          <c:cat>
            <c:numRef>
              <c:f>'[Final Ratio Calculation.xlsx]Graphs'!$A$63:$A$67</c:f>
              <c:numCache>
                <c:formatCode>General</c:formatCode>
                <c:ptCount val="5"/>
                <c:pt idx="0">
                  <c:v>2020</c:v>
                </c:pt>
                <c:pt idx="1">
                  <c:v>2019</c:v>
                </c:pt>
                <c:pt idx="2">
                  <c:v>2018</c:v>
                </c:pt>
                <c:pt idx="3">
                  <c:v>2017</c:v>
                </c:pt>
                <c:pt idx="4">
                  <c:v>2016</c:v>
                </c:pt>
              </c:numCache>
            </c:numRef>
          </c:cat>
          <c:val>
            <c:numRef>
              <c:f>'[Final Ratio Calculation.xlsx]Graphs'!$B$63:$B$67</c:f>
              <c:numCache>
                <c:formatCode>0.000</c:formatCode>
                <c:ptCount val="5"/>
                <c:pt idx="0">
                  <c:v>0.28494436717663424</c:v>
                </c:pt>
                <c:pt idx="1">
                  <c:v>0.2523588437921222</c:v>
                </c:pt>
                <c:pt idx="2">
                  <c:v>0.36616436228056548</c:v>
                </c:pt>
                <c:pt idx="3">
                  <c:v>0.37054908485856908</c:v>
                </c:pt>
                <c:pt idx="4">
                  <c:v>0.30736351272585971</c:v>
                </c:pt>
              </c:numCache>
            </c:numRef>
          </c:val>
          <c:extLst>
            <c:ext xmlns:c16="http://schemas.microsoft.com/office/drawing/2014/chart" uri="{C3380CC4-5D6E-409C-BE32-E72D297353CC}">
              <c16:uniqueId val="{00000000-31FF-4202-B3C0-17A21D15F57E}"/>
            </c:ext>
          </c:extLst>
        </c:ser>
        <c:ser>
          <c:idx val="1"/>
          <c:order val="1"/>
          <c:tx>
            <c:strRef>
              <c:f>'[Final Ratio Calculation.xlsx]Graphs'!$C$62</c:f>
              <c:strCache>
                <c:ptCount val="1"/>
                <c:pt idx="0">
                  <c:v>Hilton Worldwide Holding Inc</c:v>
                </c:pt>
              </c:strCache>
            </c:strRef>
          </c:tx>
          <c:spPr>
            <a:solidFill>
              <a:schemeClr val="accent2"/>
            </a:solidFill>
            <a:ln>
              <a:noFill/>
            </a:ln>
            <a:effectLst/>
          </c:spPr>
          <c:invertIfNegative val="0"/>
          <c:cat>
            <c:numRef>
              <c:f>'[Final Ratio Calculation.xlsx]Graphs'!$A$63:$A$67</c:f>
              <c:numCache>
                <c:formatCode>General</c:formatCode>
                <c:ptCount val="5"/>
                <c:pt idx="0">
                  <c:v>2020</c:v>
                </c:pt>
                <c:pt idx="1">
                  <c:v>2019</c:v>
                </c:pt>
                <c:pt idx="2">
                  <c:v>2018</c:v>
                </c:pt>
                <c:pt idx="3">
                  <c:v>2017</c:v>
                </c:pt>
                <c:pt idx="4">
                  <c:v>2016</c:v>
                </c:pt>
              </c:numCache>
            </c:numRef>
          </c:cat>
          <c:val>
            <c:numRef>
              <c:f>'[Final Ratio Calculation.xlsx]Graphs'!$C$63:$C$67</c:f>
              <c:numCache>
                <c:formatCode>0.000</c:formatCode>
                <c:ptCount val="5"/>
                <c:pt idx="0">
                  <c:v>0.29123817359111476</c:v>
                </c:pt>
                <c:pt idx="1">
                  <c:v>0.48206199930337862</c:v>
                </c:pt>
                <c:pt idx="2">
                  <c:v>0.47992351816443596</c:v>
                </c:pt>
                <c:pt idx="3">
                  <c:v>0.41847826086956524</c:v>
                </c:pt>
                <c:pt idx="4">
                  <c:v>0.50856929955290608</c:v>
                </c:pt>
              </c:numCache>
            </c:numRef>
          </c:val>
          <c:extLst>
            <c:ext xmlns:c16="http://schemas.microsoft.com/office/drawing/2014/chart" uri="{C3380CC4-5D6E-409C-BE32-E72D297353CC}">
              <c16:uniqueId val="{00000001-31FF-4202-B3C0-17A21D15F57E}"/>
            </c:ext>
          </c:extLst>
        </c:ser>
        <c:dLbls>
          <c:showLegendKey val="0"/>
          <c:showVal val="0"/>
          <c:showCatName val="0"/>
          <c:showSerName val="0"/>
          <c:showPercent val="0"/>
          <c:showBubbleSize val="0"/>
        </c:dLbls>
        <c:gapWidth val="219"/>
        <c:overlap val="-27"/>
        <c:axId val="587764816"/>
        <c:axId val="587765144"/>
      </c:barChart>
      <c:catAx>
        <c:axId val="58776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65144"/>
        <c:crosses val="autoZero"/>
        <c:auto val="1"/>
        <c:lblAlgn val="ctr"/>
        <c:lblOffset val="100"/>
        <c:noMultiLvlLbl val="0"/>
      </c:catAx>
      <c:valAx>
        <c:axId val="5877651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6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Debt</a:t>
            </a:r>
            <a:r>
              <a:rPr lang="en-US" baseline="0"/>
              <a:t> to Equity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'[Final Ratio Calculation.xlsx]Graphs'!$B$70</c:f>
              <c:strCache>
                <c:ptCount val="1"/>
                <c:pt idx="0">
                  <c:v>Marriott International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'[Final Ratio Calculation.xlsx]Graphs'!$A$71:$A$75</c:f>
              <c:numCache>
                <c:formatCode>General</c:formatCode>
                <c:ptCount val="5"/>
                <c:pt idx="0">
                  <c:v>2020</c:v>
                </c:pt>
                <c:pt idx="1">
                  <c:v>2019</c:v>
                </c:pt>
                <c:pt idx="2">
                  <c:v>2018</c:v>
                </c:pt>
                <c:pt idx="3">
                  <c:v>2017</c:v>
                </c:pt>
                <c:pt idx="4">
                  <c:v>2016</c:v>
                </c:pt>
              </c:numCache>
            </c:numRef>
          </c:xVal>
          <c:yVal>
            <c:numRef>
              <c:f>'[Final Ratio Calculation.xlsx]Graphs'!$B$71:$B$75</c:f>
              <c:numCache>
                <c:formatCode>0.000</c:formatCode>
                <c:ptCount val="5"/>
                <c:pt idx="0">
                  <c:v>8.9160979526294657</c:v>
                </c:pt>
                <c:pt idx="1">
                  <c:v>41.895547945205479</c:v>
                </c:pt>
                <c:pt idx="2">
                  <c:v>10.967676767676767</c:v>
                </c:pt>
                <c:pt idx="3">
                  <c:v>-11.508117595436595</c:v>
                </c:pt>
                <c:pt idx="4">
                  <c:v>113.95238095238095</c:v>
                </c:pt>
              </c:numCache>
            </c:numRef>
          </c:yVal>
          <c:smooth val="0"/>
          <c:extLst>
            <c:ext xmlns:c16="http://schemas.microsoft.com/office/drawing/2014/chart" uri="{C3380CC4-5D6E-409C-BE32-E72D297353CC}">
              <c16:uniqueId val="{00000000-22EE-482A-AFB0-B9D691409D45}"/>
            </c:ext>
          </c:extLst>
        </c:ser>
        <c:ser>
          <c:idx val="1"/>
          <c:order val="1"/>
          <c:tx>
            <c:strRef>
              <c:f>'[Final Ratio Calculation.xlsx]Graphs'!$C$70</c:f>
              <c:strCache>
                <c:ptCount val="1"/>
                <c:pt idx="0">
                  <c:v>Hilton Worldwide Holding Inc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'[Final Ratio Calculation.xlsx]Graphs'!$A$71:$A$75</c:f>
              <c:numCache>
                <c:formatCode>General</c:formatCode>
                <c:ptCount val="5"/>
                <c:pt idx="0">
                  <c:v>2020</c:v>
                </c:pt>
                <c:pt idx="1">
                  <c:v>2019</c:v>
                </c:pt>
                <c:pt idx="2">
                  <c:v>2018</c:v>
                </c:pt>
                <c:pt idx="3">
                  <c:v>2017</c:v>
                </c:pt>
                <c:pt idx="4">
                  <c:v>2016</c:v>
                </c:pt>
              </c:numCache>
            </c:numRef>
          </c:xVal>
          <c:yVal>
            <c:numRef>
              <c:f>'[Final Ratio Calculation.xlsx]Graphs'!$C$71:$C$75</c:f>
              <c:numCache>
                <c:formatCode>0.000</c:formatCode>
                <c:ptCount val="5"/>
                <c:pt idx="0">
                  <c:v>-12.275235531628534</c:v>
                </c:pt>
                <c:pt idx="1">
                  <c:v>-32.688559322033896</c:v>
                </c:pt>
                <c:pt idx="2">
                  <c:v>24.080645161290324</c:v>
                </c:pt>
                <c:pt idx="3">
                  <c:v>5.895421686746988</c:v>
                </c:pt>
                <c:pt idx="4">
                  <c:v>3.4812788510856558</c:v>
                </c:pt>
              </c:numCache>
            </c:numRef>
          </c:yVal>
          <c:smooth val="0"/>
          <c:extLst>
            <c:ext xmlns:c16="http://schemas.microsoft.com/office/drawing/2014/chart" uri="{C3380CC4-5D6E-409C-BE32-E72D297353CC}">
              <c16:uniqueId val="{00000001-22EE-482A-AFB0-B9D691409D45}"/>
            </c:ext>
          </c:extLst>
        </c:ser>
        <c:dLbls>
          <c:showLegendKey val="0"/>
          <c:showVal val="0"/>
          <c:showCatName val="0"/>
          <c:showSerName val="0"/>
          <c:showPercent val="0"/>
          <c:showBubbleSize val="0"/>
        </c:dLbls>
        <c:axId val="591553040"/>
        <c:axId val="591551400"/>
      </c:scatterChart>
      <c:valAx>
        <c:axId val="591553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551400"/>
        <c:crosses val="autoZero"/>
        <c:crossBetween val="midCat"/>
      </c:valAx>
      <c:valAx>
        <c:axId val="59155140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55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6</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Tasnim</dc:creator>
  <cp:keywords/>
  <dc:description/>
  <cp:lastModifiedBy>Faria Tasnim</cp:lastModifiedBy>
  <cp:revision>15</cp:revision>
  <dcterms:created xsi:type="dcterms:W3CDTF">2021-10-29T08:35:00Z</dcterms:created>
  <dcterms:modified xsi:type="dcterms:W3CDTF">2021-10-29T16:33:00Z</dcterms:modified>
</cp:coreProperties>
</file>