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30"/>
          <w:szCs w:val="30"/>
        </w:rPr>
      </w:pPr>
      <w:r w:rsidDel="00000000" w:rsidR="00000000" w:rsidRPr="00000000">
        <w:rPr>
          <w:b w:val="1"/>
          <w:bCs w:val="1"/>
          <w:sz w:val="30"/>
          <w:szCs w:val="30"/>
          <w:rtl w:val="0"/>
        </w:rPr>
        <w:t xml:space="preserve">Paper 1:</w:t>
      </w:r>
    </w:p>
    <w:p w:rsidR="00000000" w:rsidDel="00000000" w:rsidP="00000000" w:rsidRDefault="00000000" w:rsidRPr="00000000" w14:paraId="00000002">
      <w:pPr>
        <w:rPr>
          <w:rFonts w:ascii="Georgia" w:cs="Georgia" w:eastAsia="Georgia" w:hAnsi="Georgia"/>
          <w:b w:val="1"/>
          <w:bCs w:val="1"/>
          <w:sz w:val="30"/>
          <w:szCs w:val="30"/>
        </w:rPr>
      </w:pPr>
      <w:r w:rsidDel="00000000" w:rsidR="00000000" w:rsidRPr="00000000">
        <w:rPr>
          <w:rtl w:val="0"/>
        </w:rPr>
      </w:r>
    </w:p>
    <w:p w:rsidR="00000000" w:rsidDel="00000000" w:rsidP="00000000" w:rsidRDefault="00000000" w:rsidRPr="00000000" w14:paraId="00000003">
      <w:pPr>
        <w:rPr>
          <w:sz w:val="30"/>
          <w:szCs w:val="30"/>
        </w:rPr>
      </w:pPr>
      <w:r w:rsidDel="00000000" w:rsidR="00000000" w:rsidRPr="00000000">
        <w:rPr>
          <w:rFonts w:ascii="Georgia" w:cs="Georgia" w:eastAsia="Georgia" w:hAnsi="Georgia"/>
          <w:b w:val="1"/>
          <w:bCs w:val="1"/>
          <w:sz w:val="30"/>
          <w:szCs w:val="30"/>
          <w:rtl w:val="0"/>
        </w:rPr>
        <w:t xml:space="preserve">Literature review: </w:t>
      </w:r>
      <w:r w:rsidDel="00000000" w:rsidR="00000000" w:rsidRPr="00000000">
        <w:rPr>
          <w:sz w:val="30"/>
          <w:szCs w:val="30"/>
          <w:rtl w:val="0"/>
        </w:rPr>
        <w:t xml:space="preserve">In Paper 1, the authors proposed a machine learning-based credit card fraud detection framework that integrates a Genetic Algorithm (GA) for optimal feature selection. The study utilized a publicly available European credit card transaction dataset containing 284,807 transactions, of which only 0.172% were fraudulent, making it highly imbalanced. To address this issue, the authors applied SMOTE for oversampling and used Random Forest (RF) as the fitness function within the GA to select the most relevant feature subsets. After feature optimization, multiple classifiers including Random Forest (RF), Decision Tree (DT), Artificial Neural Network (ANN), Logistic Regression (LR), and Naive Bayes (NB) were evaluated. Among them, the GA-RF model achieved the highest performance with an accuracy of 99.98% and strong precision and recall values. The study also validated the framework on a large synthetic dataset, where GA-DT and GA-ANN achieved up to 100% accuracy. The strength of this research lies in its integration of evolutionary feature selection with ensemble learning, which significantly improved detection performance compared to previous models. However, a major limitation is the reliance on accuracy as a primary metric in a highly imbalanced dataset, which may overestimate performance. Future work should emphasize stronger evaluation metrics such as recall, precision, and AUC across more diverse real-world datasets to enhance robustness and generalizability.</w:t>
      </w:r>
    </w:p>
    <w:p w:rsidR="00000000" w:rsidDel="00000000" w:rsidP="00000000" w:rsidRDefault="00000000" w:rsidRPr="00000000" w14:paraId="00000004">
      <w:pPr>
        <w:rPr>
          <w:sz w:val="30"/>
          <w:szCs w:val="30"/>
        </w:rPr>
      </w:pPr>
      <w:r w:rsidDel="00000000" w:rsidR="00000000" w:rsidRPr="00000000">
        <w:rPr>
          <w:rtl w:val="0"/>
        </w:rPr>
      </w:r>
    </w:p>
    <w:p w:rsidR="00000000" w:rsidDel="00000000" w:rsidP="00000000" w:rsidRDefault="00000000" w:rsidRPr="00000000" w14:paraId="00000005">
      <w:pPr>
        <w:rPr>
          <w:b w:val="1"/>
          <w:bCs w:val="1"/>
          <w:sz w:val="30"/>
          <w:szCs w:val="30"/>
        </w:rPr>
      </w:pPr>
      <w:r w:rsidDel="00000000" w:rsidR="00000000" w:rsidRPr="00000000">
        <w:rPr>
          <w:b w:val="1"/>
          <w:bCs w:val="1"/>
          <w:sz w:val="30"/>
          <w:szCs w:val="30"/>
          <w:rtl w:val="0"/>
        </w:rPr>
        <w:t xml:space="preserve">Paper 2:</w:t>
      </w:r>
    </w:p>
    <w:p w:rsidR="00000000" w:rsidDel="00000000" w:rsidP="00000000" w:rsidRDefault="00000000" w:rsidRPr="00000000" w14:paraId="00000006">
      <w:pPr>
        <w:rPr>
          <w:sz w:val="30"/>
          <w:szCs w:val="30"/>
        </w:rPr>
      </w:pPr>
      <w:r w:rsidDel="00000000" w:rsidR="00000000" w:rsidRPr="00000000">
        <w:rPr>
          <w:rtl w:val="0"/>
        </w:rPr>
      </w:r>
    </w:p>
    <w:p w:rsidR="00000000" w:rsidDel="00000000" w:rsidP="00000000" w:rsidRDefault="00000000" w:rsidRPr="00000000" w14:paraId="00000007">
      <w:pPr>
        <w:rPr>
          <w:sz w:val="30"/>
          <w:szCs w:val="30"/>
        </w:rPr>
      </w:pPr>
      <w:r w:rsidDel="00000000" w:rsidR="00000000" w:rsidRPr="00000000">
        <w:rPr>
          <w:rFonts w:ascii="Georgia" w:cs="Georgia" w:eastAsia="Georgia" w:hAnsi="Georgia"/>
          <w:b w:val="1"/>
          <w:bCs w:val="1"/>
          <w:sz w:val="30"/>
          <w:szCs w:val="30"/>
          <w:rtl w:val="0"/>
        </w:rPr>
        <w:t xml:space="preserve">Literature review: </w:t>
      </w:r>
      <w:r w:rsidDel="00000000" w:rsidR="00000000" w:rsidRPr="00000000">
        <w:rPr>
          <w:sz w:val="30"/>
          <w:szCs w:val="30"/>
          <w:rtl w:val="0"/>
        </w:rPr>
        <w:t xml:space="preserve">In Paper 2, the authors proposed an enhanced credit card fraud detection model that integrates advanced machine learning techniques with data balancing strategies to improve classification performance on highly imbalanced datasets. The study utilized the European credit card transaction dataset, which contains anonymized features derived from PCA transformation and exhibits severe class imbalance. To address this issue, the authors implemented SMOTE to oversample the minority fraud class and reduce bias toward legitimate transactions. Multiple machine learning classifiers were evaluated, including Random Forest (RF), Support Vector Machine (SVM), Logistic Regression (LR), K-Nearest Neighbors (KNN), and Decision Tree (DT). Among these models, the Random Forest classifier achieved the highest performance in terms of accuracy, precision, recall, and F1-score. The study emphasized the importance of ensemble learning methods due to their robustness and ability to handle high-dimensional data effectively. A major strength of this research lies in its comprehensive comparison of multiple classifiers combined with resampling techniques, which improved fraud detection rates significantly. However, the study is limited by its reliance on a single publicly available dataset and lacks real-time implementation analysis. Future research should focus on real-world deployment scenarios and cross-dataset validation to ensure better generalization and scalability of the proposed model.</w:t>
      </w:r>
    </w:p>
    <w:p w:rsidR="00000000" w:rsidDel="00000000" w:rsidP="00000000" w:rsidRDefault="00000000" w:rsidRPr="00000000" w14:paraId="00000008">
      <w:pPr>
        <w:rPr>
          <w:sz w:val="30"/>
          <w:szCs w:val="30"/>
        </w:rPr>
      </w:pPr>
      <w:r w:rsidDel="00000000" w:rsidR="00000000" w:rsidRPr="00000000">
        <w:rPr>
          <w:rtl w:val="0"/>
        </w:rPr>
      </w:r>
    </w:p>
    <w:p w:rsidR="00000000" w:rsidDel="00000000" w:rsidP="00000000" w:rsidRDefault="00000000" w:rsidRPr="00000000" w14:paraId="00000009">
      <w:pPr>
        <w:rPr>
          <w:b w:val="1"/>
          <w:bCs w:val="1"/>
          <w:sz w:val="30"/>
          <w:szCs w:val="30"/>
        </w:rPr>
      </w:pPr>
      <w:r w:rsidDel="00000000" w:rsidR="00000000" w:rsidRPr="00000000">
        <w:rPr>
          <w:b w:val="1"/>
          <w:bCs w:val="1"/>
          <w:sz w:val="30"/>
          <w:szCs w:val="30"/>
          <w:rtl w:val="0"/>
        </w:rPr>
        <w:t xml:space="preserve">Paper 3:</w:t>
      </w:r>
    </w:p>
    <w:p w:rsidR="00000000" w:rsidDel="00000000" w:rsidP="00000000" w:rsidRDefault="00000000" w:rsidRPr="00000000" w14:paraId="0000000A">
      <w:pPr>
        <w:rPr>
          <w:sz w:val="30"/>
          <w:szCs w:val="30"/>
        </w:rPr>
      </w:pPr>
      <w:r w:rsidDel="00000000" w:rsidR="00000000" w:rsidRPr="00000000">
        <w:rPr>
          <w:rtl w:val="0"/>
        </w:rPr>
      </w:r>
    </w:p>
    <w:p w:rsidR="00000000" w:rsidDel="00000000" w:rsidP="00000000" w:rsidRDefault="00000000" w:rsidRPr="00000000" w14:paraId="0000000B">
      <w:pPr>
        <w:rPr>
          <w:sz w:val="30"/>
          <w:szCs w:val="30"/>
        </w:rPr>
      </w:pPr>
      <w:r w:rsidDel="00000000" w:rsidR="00000000" w:rsidRPr="00000000">
        <w:rPr>
          <w:rFonts w:ascii="Georgia" w:cs="Georgia" w:eastAsia="Georgia" w:hAnsi="Georgia"/>
          <w:b w:val="1"/>
          <w:bCs w:val="1"/>
          <w:sz w:val="30"/>
          <w:szCs w:val="30"/>
          <w:rtl w:val="0"/>
        </w:rPr>
        <w:t xml:space="preserve">Literature review: </w:t>
      </w:r>
      <w:r w:rsidDel="00000000" w:rsidR="00000000" w:rsidRPr="00000000">
        <w:rPr>
          <w:sz w:val="30"/>
          <w:szCs w:val="30"/>
          <w:rtl w:val="0"/>
        </w:rPr>
        <w:t xml:space="preserve">In Paper 3, the authors compared several machine learning algorithms to detect credit card fraud using a real-life e-commerce dataset of 100,000 transactions with 9 attributes. Since fraud detection is a binary classification problem, they tested Decision Tree, K-Nearest Neighbors (KNN), Artificial Neural Network (ANN), Support Vector Machine (SVM), Naïve Bayes, and Logistic Regression. The experiments were conducted using WEKA with multiple cross-validation folds (0, 5, 10, 15, and 20) to ensure reliable evaluation. Performance was measured using accuracy, sensitivity, and specificity, as accuracy alone can be misleading in imbalanced datasets. Among all models, Logistic Regression performed the best with an accuracy of about 96.3%, showing a better balance between detecting fraud and legitimate transactions. The strength of this study is its direct comparison of multiple classifiers under the same validation setup. However, it lacks advanced imbalance handling techniques and more complex feature engineering. Future work could focus on ensemble or hybrid models to improve fraud detection performance further.</w:t>
      </w:r>
    </w:p>
    <w:p w:rsidR="00000000" w:rsidDel="00000000" w:rsidP="00000000" w:rsidRDefault="00000000" w:rsidRPr="00000000" w14:paraId="0000000C">
      <w:pPr>
        <w:rPr>
          <w:sz w:val="30"/>
          <w:szCs w:val="30"/>
        </w:rPr>
      </w:pPr>
      <w:r w:rsidDel="00000000" w:rsidR="00000000" w:rsidRPr="00000000">
        <w:rPr>
          <w:rtl w:val="0"/>
        </w:rPr>
      </w:r>
    </w:p>
    <w:p w:rsidR="00000000" w:rsidDel="00000000" w:rsidP="00000000" w:rsidRDefault="00000000" w:rsidRPr="00000000" w14:paraId="0000000D">
      <w:pPr>
        <w:rPr>
          <w:b w:val="1"/>
          <w:bCs w:val="1"/>
          <w:sz w:val="30"/>
          <w:szCs w:val="30"/>
        </w:rPr>
      </w:pPr>
      <w:r w:rsidDel="00000000" w:rsidR="00000000" w:rsidRPr="00000000">
        <w:rPr>
          <w:b w:val="1"/>
          <w:bCs w:val="1"/>
          <w:sz w:val="30"/>
          <w:szCs w:val="30"/>
          <w:rtl w:val="0"/>
        </w:rPr>
        <w:t xml:space="preserve">Paper 4:</w:t>
      </w:r>
    </w:p>
    <w:p w:rsidR="00000000" w:rsidDel="00000000" w:rsidP="00000000" w:rsidRDefault="00000000" w:rsidRPr="00000000" w14:paraId="0000000E">
      <w:pPr>
        <w:rPr>
          <w:b w:val="1"/>
          <w:bCs w:val="1"/>
          <w:sz w:val="30"/>
          <w:szCs w:val="30"/>
        </w:rPr>
      </w:pPr>
      <w:r w:rsidDel="00000000" w:rsidR="00000000" w:rsidRPr="00000000">
        <w:rPr>
          <w:rtl w:val="0"/>
        </w:rPr>
      </w:r>
    </w:p>
    <w:p w:rsidR="00000000" w:rsidDel="00000000" w:rsidP="00000000" w:rsidRDefault="00000000" w:rsidRPr="00000000" w14:paraId="0000000F">
      <w:pPr>
        <w:rPr>
          <w:sz w:val="30"/>
          <w:szCs w:val="30"/>
        </w:rPr>
      </w:pPr>
      <w:r w:rsidDel="00000000" w:rsidR="00000000" w:rsidRPr="00000000">
        <w:rPr>
          <w:rFonts w:ascii="Georgia" w:cs="Georgia" w:eastAsia="Georgia" w:hAnsi="Georgia"/>
          <w:b w:val="1"/>
          <w:bCs w:val="1"/>
          <w:sz w:val="30"/>
          <w:szCs w:val="30"/>
          <w:rtl w:val="0"/>
        </w:rPr>
        <w:t xml:space="preserve">Literature review: </w:t>
      </w:r>
      <w:r w:rsidDel="00000000" w:rsidR="00000000" w:rsidRPr="00000000">
        <w:rPr>
          <w:sz w:val="30"/>
          <w:szCs w:val="30"/>
          <w:rtl w:val="0"/>
        </w:rPr>
        <w:t xml:space="preserve">In Paper 4, the authors proposed a hybrid dependable ensemble machine learning model for securing credit card transactions using an Improved Hyperparameter Tuning Logistic Regression (IHT-LR) combined with Grid Search optimization. The study used the publicly available European credit card fraud dataset, which is highly imbalanced and contains anonymized PCA-transformed features. To improve detection performance, the model integrated ensemble learning techniques and optimized parameters systematically using Grid Search to enhance classification accuracy and stability. The proposed hybrid model outperformed traditional classifiers by achieving higher accuracy, precision, recall, and F1-score, showing better capability in identifying fraudulent transactions while minimizing false positives.</w:t>
      </w:r>
    </w:p>
    <w:p w:rsidR="00000000" w:rsidDel="00000000" w:rsidP="00000000" w:rsidRDefault="00000000" w:rsidRPr="00000000" w14:paraId="00000010">
      <w:pPr>
        <w:spacing w:after="240" w:before="240" w:lineRule="auto"/>
        <w:rPr>
          <w:sz w:val="30"/>
          <w:szCs w:val="30"/>
        </w:rPr>
      </w:pPr>
      <w:r w:rsidDel="00000000" w:rsidR="00000000" w:rsidRPr="00000000">
        <w:rPr>
          <w:sz w:val="30"/>
          <w:szCs w:val="30"/>
          <w:rtl w:val="0"/>
        </w:rPr>
        <w:t xml:space="preserve">The main strength of this study lies in its structured hyperparameter optimization and hybrid ensemble design, which improves robustness compared to standalone models. However, the research is limited by its dependence on a single dataset and does not deeply analyze real-time implementation challenges. Future work could focus on deploying the model in live banking environments and testing its adaptability across different financial datasets.</w:t>
      </w:r>
    </w:p>
    <w:p w:rsidR="00000000" w:rsidDel="00000000" w:rsidP="00000000" w:rsidRDefault="00000000" w:rsidRPr="00000000" w14:paraId="00000011">
      <w:pPr>
        <w:spacing w:after="240" w:before="240" w:lineRule="auto"/>
        <w:rPr>
          <w:b w:val="1"/>
          <w:bCs w:val="1"/>
          <w:sz w:val="30"/>
          <w:szCs w:val="30"/>
        </w:rPr>
      </w:pPr>
      <w:r w:rsidDel="00000000" w:rsidR="00000000" w:rsidRPr="00000000">
        <w:rPr>
          <w:b w:val="1"/>
          <w:bCs w:val="1"/>
          <w:sz w:val="30"/>
          <w:szCs w:val="30"/>
          <w:rtl w:val="0"/>
        </w:rPr>
        <w:t xml:space="preserve">Paper 5: </w:t>
      </w:r>
    </w:p>
    <w:p w:rsidR="00000000" w:rsidDel="00000000" w:rsidP="00000000" w:rsidRDefault="00000000" w:rsidRPr="00000000" w14:paraId="00000012">
      <w:pPr>
        <w:spacing w:after="240" w:before="240" w:lineRule="auto"/>
        <w:rPr>
          <w:sz w:val="30"/>
          <w:szCs w:val="30"/>
        </w:rPr>
      </w:pPr>
      <w:r w:rsidDel="00000000" w:rsidR="00000000" w:rsidRPr="00000000">
        <w:rPr>
          <w:rFonts w:ascii="Georgia" w:cs="Georgia" w:eastAsia="Georgia" w:hAnsi="Georgia"/>
          <w:b w:val="1"/>
          <w:bCs w:val="1"/>
          <w:sz w:val="30"/>
          <w:szCs w:val="30"/>
          <w:rtl w:val="0"/>
        </w:rPr>
        <w:t xml:space="preserve">Literature review: </w:t>
      </w:r>
      <w:r w:rsidDel="00000000" w:rsidR="00000000" w:rsidRPr="00000000">
        <w:rPr>
          <w:sz w:val="30"/>
          <w:szCs w:val="30"/>
          <w:rtl w:val="0"/>
        </w:rPr>
        <w:t xml:space="preserve">In this review paper, the authors examined machine learning-based credit card fraud detection research without artificially balancing the class distribution, focusing on studies that preserved the original severe class imbalance found in real transaction data. Using a rigorous systematic literature approach following PRISMA guidelines, they screened recent work (2019–2025) and organized findings around dataset usage, algorithm choice, evaluation metrics, and interpretability techniques. A key insight from their literature review was that most prior studies rely heavily on benchmark datasets like the European credit card dataset but often perform oversampling or synthetic balancing, which inflates reported performance and does not reflect real-world conditions. Across the literature, tree-based ensemble models (e.g., Random Forest, XGBoost) were dominant due to strong handling of skewed data, but many studies still depended on evaluation metrics like accuracy that don’t adequately represent performance in imbalanced settings. The authors also highlighted a notable lack of explainability tools such as SHAP in existing works, despite its importance for operational deployment in banking systems. A significant gap identified was the scarcity of research combining cost-aware evaluation frameworks and analyst-oriented interpretability to enable real-time, transparent fraud detection. The review concludes that future work should prioritize benchmarks that maintain original class distributions, incorporate better evaluation metrics (AUC-PR, cost matrices), and integrate explainable AI to support practical adoption in real financial environments.</w:t>
      </w:r>
    </w:p>
    <w:p w:rsidR="00000000" w:rsidDel="00000000" w:rsidP="00000000" w:rsidRDefault="00000000" w:rsidRPr="00000000" w14:paraId="00000013">
      <w:pPr>
        <w:spacing w:after="240" w:before="240" w:lineRule="auto"/>
        <w:rPr>
          <w:sz w:val="30"/>
          <w:szCs w:val="30"/>
        </w:rPr>
      </w:pPr>
      <w:r w:rsidDel="00000000" w:rsidR="00000000" w:rsidRPr="00000000">
        <w:rPr>
          <w:rtl w:val="0"/>
        </w:rPr>
      </w:r>
    </w:p>
    <w:p w:rsidR="00000000" w:rsidDel="00000000" w:rsidP="00000000" w:rsidRDefault="00000000" w:rsidRPr="00000000" w14:paraId="00000014">
      <w:pPr>
        <w:rPr>
          <w:rFonts w:ascii="Georgia" w:cs="Georgia" w:eastAsia="Georgia" w:hAnsi="Georgia"/>
          <w:sz w:val="30"/>
          <w:szCs w:val="3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