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v0.6.10 · 25.10.2026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 Якщо Google не дав дозволу, поруч стоїть причина (з v0.6.7): «відкритий доступ (Google: …)».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Laguna II</w:t>
      </w:r>
      <w:r>
        <w:rPr>
          <w:rFonts w:ascii="DejaVu Sans" w:cs="DejaVu Sans" w:eastAsia="DejaVu Sans" w:hAnsi="DejaVu Sans"/>
          <w:b w:val="false"/>
          <w:bCs w:val="false"/>
        </w:rPr>
        <w:t xml:space="preserve"> (каталог v6, з v0.6.7): усі 10 томів — з новою емблемою на титулі. Уже встановлений том не змінюється сам — щоб отримати новий, візьми його з каталогу ще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Після імпорту</w:t>
      </w:r>
      <w:r>
        <w:rPr>
          <w:rFonts w:ascii="DejaVu Sans" w:cs="DejaVu Sans" w:eastAsia="DejaVu Sans" w:hAnsi="DejaVu Sans"/>
          <w:b w:val="false"/>
          <w:bCs w:val="false"/>
        </w:rPr>
        <w:t xml:space="preserve"> угорі каталогу — зелена картка з підсумком. Наступного разу вона стає сірим рядком «Останній імпорт: NT… · дата, час» (з v0.6.8): торкнись — подробиці, × — прибрати. Помилки й скасування лишаються великою карткою.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 Якщо таблиця ширша за екран (з v0.6.9), її можна гортати пальцем уліво-вправо; довгий текст у клітинці переноситься на кілька рядків.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v0.6.10.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2026-10-25T16:15:32.518Z</dcterms:created>
  <dcterms:modified xsi:type="dcterms:W3CDTF">2026-10-25T16:15:32.525Z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