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B688" w14:textId="77777777" w:rsidR="007E30C0" w:rsidRDefault="007E30C0" w:rsidP="007E30C0">
      <w:pPr>
        <w:jc w:val="both"/>
        <w:rPr>
          <w:rFonts w:ascii="Arial" w:hAnsi="Arial" w:cs="Arial"/>
          <w:b/>
          <w:bCs/>
        </w:rPr>
      </w:pPr>
      <w:r w:rsidRPr="007E30C0">
        <w:rPr>
          <w:rFonts w:ascii="Arial" w:hAnsi="Arial" w:cs="Arial"/>
        </w:rPr>
        <w:t xml:space="preserve"> </w:t>
      </w:r>
      <w:r w:rsidRPr="007E30C0">
        <w:rPr>
          <w:rFonts w:ascii="Arial" w:hAnsi="Arial" w:cs="Arial"/>
          <w:b/>
          <w:bCs/>
        </w:rPr>
        <w:t>¿Qué ventaja tiene separar usuarios, cursos y matrículas en servicios diferentes?</w:t>
      </w:r>
    </w:p>
    <w:p w14:paraId="05286D24" w14:textId="7C8B8C13" w:rsidR="007E30C0" w:rsidRDefault="007E30C0" w:rsidP="007E30C0">
      <w:pPr>
        <w:jc w:val="both"/>
        <w:rPr>
          <w:rFonts w:ascii="Arial" w:hAnsi="Arial" w:cs="Arial"/>
        </w:rPr>
      </w:pPr>
      <w:r w:rsidRPr="007E30C0">
        <w:rPr>
          <w:rFonts w:ascii="Arial" w:hAnsi="Arial" w:cs="Arial"/>
        </w:rPr>
        <w:br/>
        <w:t xml:space="preserve">Separar los servicios permite que cada microservicio tenga una responsabilidad específica. Esto facilita el mantenimiento, la escalabilidad y el desarrollo independiente. Por ejemplo, si se necesita modificar la gestión de cursos, no es necesario cambiar el servicio de usuarios ni el de matrículas. </w:t>
      </w:r>
    </w:p>
    <w:p w14:paraId="31B4B4DF" w14:textId="77777777" w:rsidR="007E30C0" w:rsidRPr="007E30C0" w:rsidRDefault="007E30C0" w:rsidP="007E30C0">
      <w:pPr>
        <w:jc w:val="both"/>
        <w:rPr>
          <w:rFonts w:ascii="Arial" w:hAnsi="Arial" w:cs="Arial"/>
        </w:rPr>
      </w:pPr>
    </w:p>
    <w:p w14:paraId="09AA70C4" w14:textId="77777777" w:rsidR="007E30C0" w:rsidRDefault="007E30C0" w:rsidP="007E30C0">
      <w:pPr>
        <w:jc w:val="both"/>
        <w:rPr>
          <w:rFonts w:ascii="Arial" w:hAnsi="Arial" w:cs="Arial"/>
        </w:rPr>
      </w:pPr>
      <w:r w:rsidRPr="007E30C0">
        <w:rPr>
          <w:rFonts w:ascii="Arial" w:hAnsi="Arial" w:cs="Arial"/>
          <w:b/>
          <w:bCs/>
        </w:rPr>
        <w:t>¿Qué problema aparece si un microservicio se apaga?</w:t>
      </w:r>
      <w:r w:rsidRPr="007E30C0">
        <w:rPr>
          <w:rFonts w:ascii="Arial" w:hAnsi="Arial" w:cs="Arial"/>
        </w:rPr>
        <w:br/>
      </w:r>
    </w:p>
    <w:p w14:paraId="6CDE8F2F" w14:textId="3088C2EB" w:rsidR="007E30C0" w:rsidRDefault="007E30C0" w:rsidP="007E30C0">
      <w:pPr>
        <w:jc w:val="both"/>
        <w:rPr>
          <w:rFonts w:ascii="Arial" w:hAnsi="Arial" w:cs="Arial"/>
        </w:rPr>
      </w:pPr>
      <w:r w:rsidRPr="007E30C0">
        <w:rPr>
          <w:rFonts w:ascii="Arial" w:hAnsi="Arial" w:cs="Arial"/>
        </w:rPr>
        <w:t xml:space="preserve">Si un microservicio falla o se detiene, las funciones relacionadas con ese servicio dejarán de estar disponibles. Por ejemplo, si el servicio de cursos se cae, no se podrán consultar ni registrar cursos, aunque los demás servicios continúen funcionando. </w:t>
      </w:r>
    </w:p>
    <w:p w14:paraId="5A66B05D" w14:textId="77777777" w:rsidR="007E30C0" w:rsidRDefault="007E30C0" w:rsidP="007E30C0">
      <w:pPr>
        <w:jc w:val="both"/>
        <w:rPr>
          <w:rFonts w:ascii="Arial" w:hAnsi="Arial" w:cs="Arial"/>
        </w:rPr>
      </w:pPr>
      <w:r w:rsidRPr="007E30C0">
        <w:rPr>
          <w:rFonts w:ascii="Arial" w:hAnsi="Arial" w:cs="Arial"/>
        </w:rPr>
        <w:t xml:space="preserve"> </w:t>
      </w:r>
    </w:p>
    <w:p w14:paraId="3BFB2DF1" w14:textId="2E1E45C0" w:rsidR="007E30C0" w:rsidRDefault="007E30C0" w:rsidP="007E30C0">
      <w:pPr>
        <w:jc w:val="both"/>
        <w:rPr>
          <w:rFonts w:ascii="Arial" w:hAnsi="Arial" w:cs="Arial"/>
        </w:rPr>
      </w:pPr>
      <w:r w:rsidRPr="007E30C0">
        <w:rPr>
          <w:rFonts w:ascii="Arial" w:hAnsi="Arial" w:cs="Arial"/>
          <w:b/>
          <w:bCs/>
        </w:rPr>
        <w:t>¿Por qué el API Gateway no debe guardar directamente todos los datos?</w:t>
      </w:r>
      <w:r w:rsidRPr="007E30C0">
        <w:rPr>
          <w:rFonts w:ascii="Arial" w:hAnsi="Arial" w:cs="Arial"/>
        </w:rPr>
        <w:br/>
      </w:r>
    </w:p>
    <w:p w14:paraId="5841E8D8" w14:textId="1322E014" w:rsidR="007E30C0" w:rsidRDefault="007E30C0" w:rsidP="007E30C0">
      <w:pPr>
        <w:jc w:val="both"/>
        <w:rPr>
          <w:rFonts w:ascii="Arial" w:hAnsi="Arial" w:cs="Arial"/>
        </w:rPr>
      </w:pPr>
      <w:r w:rsidRPr="007E30C0">
        <w:rPr>
          <w:rFonts w:ascii="Arial" w:hAnsi="Arial" w:cs="Arial"/>
        </w:rPr>
        <w:t xml:space="preserve">El API Gateway solo debe encargarse de recibir y redirigir las solicitudes hacia los microservicios correspondientes. Si almacenara todos los datos, perdería el propósito de separación de responsabilidades y se convertiría en un punto único de fallo y sobrecarga. </w:t>
      </w:r>
    </w:p>
    <w:p w14:paraId="3485FC0A" w14:textId="77777777" w:rsidR="007E30C0" w:rsidRPr="007E30C0" w:rsidRDefault="007E30C0" w:rsidP="007E30C0">
      <w:pPr>
        <w:jc w:val="both"/>
        <w:rPr>
          <w:rFonts w:ascii="Arial" w:hAnsi="Arial" w:cs="Arial"/>
        </w:rPr>
      </w:pPr>
    </w:p>
    <w:p w14:paraId="7155A1CA" w14:textId="77777777" w:rsidR="007E30C0" w:rsidRDefault="007E30C0" w:rsidP="007E30C0">
      <w:pPr>
        <w:jc w:val="both"/>
        <w:rPr>
          <w:rFonts w:ascii="Arial" w:hAnsi="Arial" w:cs="Arial"/>
        </w:rPr>
      </w:pPr>
      <w:r w:rsidRPr="007E30C0">
        <w:rPr>
          <w:rFonts w:ascii="Arial" w:hAnsi="Arial" w:cs="Arial"/>
          <w:b/>
          <w:bCs/>
        </w:rPr>
        <w:t xml:space="preserve">¿Qué diferencia hay entre ejecutar los servicios manualmente y ejecutarlos con Docker </w:t>
      </w:r>
      <w:proofErr w:type="spellStart"/>
      <w:r w:rsidRPr="007E30C0">
        <w:rPr>
          <w:rFonts w:ascii="Arial" w:hAnsi="Arial" w:cs="Arial"/>
          <w:b/>
          <w:bCs/>
        </w:rPr>
        <w:t>Compose</w:t>
      </w:r>
      <w:proofErr w:type="spellEnd"/>
      <w:r w:rsidRPr="007E30C0">
        <w:rPr>
          <w:rFonts w:ascii="Arial" w:hAnsi="Arial" w:cs="Arial"/>
          <w:b/>
          <w:bCs/>
        </w:rPr>
        <w:t>?</w:t>
      </w:r>
      <w:r w:rsidRPr="007E30C0">
        <w:rPr>
          <w:rFonts w:ascii="Arial" w:hAnsi="Arial" w:cs="Arial"/>
        </w:rPr>
        <w:br/>
      </w:r>
    </w:p>
    <w:p w14:paraId="738E85B3" w14:textId="734320FE" w:rsidR="007E30C0" w:rsidRPr="007E30C0" w:rsidRDefault="007E30C0" w:rsidP="007E30C0">
      <w:pPr>
        <w:jc w:val="both"/>
        <w:rPr>
          <w:rFonts w:ascii="Arial" w:hAnsi="Arial" w:cs="Arial"/>
        </w:rPr>
      </w:pPr>
      <w:r w:rsidRPr="007E30C0">
        <w:rPr>
          <w:rFonts w:ascii="Arial" w:hAnsi="Arial" w:cs="Arial"/>
        </w:rPr>
        <w:t xml:space="preserve">Ejecutarlos manualmente implica iniciar cada microservicio por separado usando varios comandos y terminales. Con Docker </w:t>
      </w:r>
      <w:proofErr w:type="spellStart"/>
      <w:r w:rsidRPr="007E30C0">
        <w:rPr>
          <w:rFonts w:ascii="Arial" w:hAnsi="Arial" w:cs="Arial"/>
        </w:rPr>
        <w:t>Compose</w:t>
      </w:r>
      <w:proofErr w:type="spellEnd"/>
      <w:r w:rsidRPr="007E30C0">
        <w:rPr>
          <w:rFonts w:ascii="Arial" w:hAnsi="Arial" w:cs="Arial"/>
        </w:rPr>
        <w:t xml:space="preserve">, todos los servicios se levantan automáticamente con un solo comando, facilitando la configuración, comunicación y despliegue del sistema completo. </w:t>
      </w:r>
    </w:p>
    <w:p w14:paraId="6772EA87" w14:textId="77777777" w:rsidR="007E30C0" w:rsidRDefault="007E30C0" w:rsidP="007E30C0">
      <w:pPr>
        <w:jc w:val="both"/>
        <w:rPr>
          <w:rFonts w:ascii="Arial" w:hAnsi="Arial" w:cs="Arial"/>
        </w:rPr>
      </w:pPr>
    </w:p>
    <w:p w14:paraId="57166DF5" w14:textId="75AC20CA" w:rsidR="00D44490" w:rsidRDefault="007E30C0" w:rsidP="007E30C0">
      <w:pPr>
        <w:jc w:val="both"/>
        <w:rPr>
          <w:rFonts w:ascii="Arial" w:hAnsi="Arial" w:cs="Arial"/>
          <w:b/>
          <w:bCs/>
        </w:rPr>
      </w:pPr>
      <w:r w:rsidRPr="007E30C0">
        <w:rPr>
          <w:rFonts w:ascii="Arial" w:hAnsi="Arial" w:cs="Arial"/>
          <w:b/>
          <w:bCs/>
        </w:rPr>
        <w:t>¿Qué cambiaría si se agregara una base de datos independiente para cada microservicio?</w:t>
      </w:r>
    </w:p>
    <w:p w14:paraId="520D49BC" w14:textId="0D620D17" w:rsidR="007E30C0" w:rsidRPr="007E30C0" w:rsidRDefault="007E30C0" w:rsidP="007E30C0">
      <w:pPr>
        <w:jc w:val="both"/>
        <w:rPr>
          <w:rFonts w:ascii="Arial" w:hAnsi="Arial" w:cs="Arial"/>
        </w:rPr>
      </w:pPr>
      <w:r w:rsidRPr="007E30C0">
        <w:rPr>
          <w:rFonts w:ascii="Arial" w:hAnsi="Arial" w:cs="Arial"/>
        </w:rPr>
        <w:t xml:space="preserve">Cada microservicio tendría autonomía total sobre sus datos, mejorando el aislamiento y la independencia. Además, cada servicio podría usar la base de datos </w:t>
      </w:r>
      <w:r w:rsidRPr="007E30C0">
        <w:rPr>
          <w:rFonts w:ascii="Arial" w:hAnsi="Arial" w:cs="Arial"/>
        </w:rPr>
        <w:lastRenderedPageBreak/>
        <w:t>más adecuada para sus necesidades. Sin embargo, aumentaría la complejidad en la comunicación y sincronización de información entre servicios.</w:t>
      </w:r>
    </w:p>
    <w:sectPr w:rsidR="007E30C0" w:rsidRPr="007E30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AE"/>
    <w:rsid w:val="006A55FC"/>
    <w:rsid w:val="007E30C0"/>
    <w:rsid w:val="00851BAE"/>
    <w:rsid w:val="008E01BD"/>
    <w:rsid w:val="00D44490"/>
    <w:rsid w:val="00F835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91FC7"/>
  <w15:chartTrackingRefBased/>
  <w15:docId w15:val="{4FFA734A-4A3A-4B38-89CD-6AD9D770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1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51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51B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51B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51B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51B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1B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1B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1B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B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51B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51B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51B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51B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51B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1B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1B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1BAE"/>
    <w:rPr>
      <w:rFonts w:eastAsiaTheme="majorEastAsia" w:cstheme="majorBidi"/>
      <w:color w:val="272727" w:themeColor="text1" w:themeTint="D8"/>
    </w:rPr>
  </w:style>
  <w:style w:type="paragraph" w:styleId="Ttulo">
    <w:name w:val="Title"/>
    <w:basedOn w:val="Normal"/>
    <w:next w:val="Normal"/>
    <w:link w:val="TtuloCar"/>
    <w:uiPriority w:val="10"/>
    <w:qFormat/>
    <w:rsid w:val="00851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1B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1B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1B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1BAE"/>
    <w:pPr>
      <w:spacing w:before="160"/>
      <w:jc w:val="center"/>
    </w:pPr>
    <w:rPr>
      <w:i/>
      <w:iCs/>
      <w:color w:val="404040" w:themeColor="text1" w:themeTint="BF"/>
    </w:rPr>
  </w:style>
  <w:style w:type="character" w:customStyle="1" w:styleId="CitaCar">
    <w:name w:val="Cita Car"/>
    <w:basedOn w:val="Fuentedeprrafopredeter"/>
    <w:link w:val="Cita"/>
    <w:uiPriority w:val="29"/>
    <w:rsid w:val="00851BAE"/>
    <w:rPr>
      <w:i/>
      <w:iCs/>
      <w:color w:val="404040" w:themeColor="text1" w:themeTint="BF"/>
    </w:rPr>
  </w:style>
  <w:style w:type="paragraph" w:styleId="Prrafodelista">
    <w:name w:val="List Paragraph"/>
    <w:basedOn w:val="Normal"/>
    <w:uiPriority w:val="34"/>
    <w:qFormat/>
    <w:rsid w:val="00851BAE"/>
    <w:pPr>
      <w:ind w:left="720"/>
      <w:contextualSpacing/>
    </w:pPr>
  </w:style>
  <w:style w:type="character" w:styleId="nfasisintenso">
    <w:name w:val="Intense Emphasis"/>
    <w:basedOn w:val="Fuentedeprrafopredeter"/>
    <w:uiPriority w:val="21"/>
    <w:qFormat/>
    <w:rsid w:val="00851BAE"/>
    <w:rPr>
      <w:i/>
      <w:iCs/>
      <w:color w:val="2F5496" w:themeColor="accent1" w:themeShade="BF"/>
    </w:rPr>
  </w:style>
  <w:style w:type="paragraph" w:styleId="Citadestacada">
    <w:name w:val="Intense Quote"/>
    <w:basedOn w:val="Normal"/>
    <w:next w:val="Normal"/>
    <w:link w:val="CitadestacadaCar"/>
    <w:uiPriority w:val="30"/>
    <w:qFormat/>
    <w:rsid w:val="00851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51BAE"/>
    <w:rPr>
      <w:i/>
      <w:iCs/>
      <w:color w:val="2F5496" w:themeColor="accent1" w:themeShade="BF"/>
    </w:rPr>
  </w:style>
  <w:style w:type="character" w:styleId="Referenciaintensa">
    <w:name w:val="Intense Reference"/>
    <w:basedOn w:val="Fuentedeprrafopredeter"/>
    <w:uiPriority w:val="32"/>
    <w:qFormat/>
    <w:rsid w:val="00851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275</Words>
  <Characters>1517</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ch. h.</dc:creator>
  <cp:keywords/>
  <dc:description/>
  <cp:lastModifiedBy>f. ch. h.</cp:lastModifiedBy>
  <cp:revision>2</cp:revision>
  <dcterms:created xsi:type="dcterms:W3CDTF">2026-05-29T02:59:00Z</dcterms:created>
  <dcterms:modified xsi:type="dcterms:W3CDTF">2026-05-29T03:01:00Z</dcterms:modified>
</cp:coreProperties>
</file>