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ДЗ5. Поглиблений аналіз СУМЗ: від загроз до контролів в архітектурі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Значення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Дисципліна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Advanced Security Architecture and Engineering (Master of Science: Cyber Security, GoIT Neoversity)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Вибір заходів контролю: фреймворки, SAMM і мапування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Студент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Фарід Джафарлі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«MedRecordsManager» (СУМЗ), та сама система, що в ДЗ2 (STRIDE, DFD) і ДЗ3 (SQUARE, вимоги SR-01…SR-04)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Ланцюг аналізу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STRIDE → MITRE ATT&amp;CK Enterprise → NIST SP 800-53 Rev. 5 (з опорою на мапування CTID Mappings Explorer) → D3FEND (опційно) → розміщення на DFD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Контекст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У ДЗ2 я побудував для СУМЗ DFD (межі довіри TB1-TB5, потоки F1-F13) і зробив STRIDE-аналіз API, бази медичних записів і сервісу експорту. У ДЗ3 ці результати стали вимогами SR-01…SR-04. Тут я беру три найкритичніші загрози, описую, як їх реалізує атакувальник (техніки MITRE ATT&amp;CK), добираю контролі NIST SP 800-53 і показую, де в архітектурі СУМЗ працює кожен контроль і що з цього можна зробити вже в MVP.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Контролі я відбирав так: кожен має запобігати техніці, виявляти її або зменшувати наслідки. Контроль без прив’язки до конкретної техніки й конкретного компонента я не включав. Інакше документ перетворився б на перелік з каталогу, не пов’язаний з архітектурою захисту.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1-2. Три загрози СУМЗ і їхні категорії STRIDE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50"/>
        <w:gridCol w:w="2500"/>
        <w:gridCol w:w="850"/>
        <w:gridCol w:w="2838"/>
      </w:tblGrid>
      <w:tr>
        <w:trPr>
          <w:tblHeader/>
        </w:trPr>
        <w:tc>
          <w:tcPr>
            <w:tcW w:type="dxa" w:w="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29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Загроза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Компонент DFD</w:t>
            </w:r>
          </w:p>
        </w:tc>
        <w:tc>
          <w:tcPr>
            <w:tcW w:type="dxa" w:w="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STRIDE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Звʼязок з ДЗ2 / ДЗ3</w:t>
            </w:r>
          </w:p>
        </w:tc>
      </w:tr>
      <w:tr>
        <w:tc>
          <w:tcPr>
            <w:tcW w:type="dxa" w:w="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9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Захоплення сесії лікаря через фішинг з AiTM-проксі та повторне використання токена в API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Веб/мобільний застосунок → API Gateway + Backend API (F1, F2); IdP / MFA (F9)</w:t>
            </w:r>
          </w:p>
        </w:tc>
        <w:tc>
          <w:tcPr>
            <w:tcW w:type="dxa" w:w="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ДЗ2: топ-3 (DREAD 7,4); ДЗ3: загроза T3 → вимога SR-02</w:t>
            </w:r>
          </w:p>
        </w:tc>
      </w:tr>
      <w:tr>
        <w:tc>
          <w:tcPr>
            <w:tcW w:type="dxa" w:w="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9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Несанкціонована зміна результату аналізу в БД або дорогою від лабораторії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 API → D1 (F4); вебхук лабораторії LIS → API (F8, межа TB4 → TB2)</w:t>
            </w:r>
          </w:p>
        </w:tc>
        <w:tc>
          <w:tcPr>
            <w:tcW w:type="dxa" w:w="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ДЗ2: топ-2; ДЗ3: загроза T2 → вимога SR-03</w:t>
            </w:r>
          </w:p>
        </w:tc>
      </w:tr>
      <w:tr>
        <w:tc>
          <w:tcPr>
            <w:tcW w:type="dxa" w:w="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9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IDOR / BOLA: читання чужих історій хвороб підміною ідентифікатора в запиті до API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 API (F2/F3) → D1 (F4)</w:t>
            </w:r>
          </w:p>
        </w:tc>
        <w:tc>
          <w:tcPr>
            <w:tcW w:type="dxa" w:w="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ДЗ2: топ-1 (DREAD 9,0); ДЗ3: загроза T1 → вимога SR-01</w:t>
            </w:r>
          </w:p>
        </w:tc>
      </w:tr>
    </w:tbl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0E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Загроза 1 · S (Spoofing)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0E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Захоплення сесії лікаря (фішинг з AiTM-проксі, повторне використання токена)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Вхід у веб/мобільний застосунок (F1), видача токенів IdP і перевірка токена на API Gateway (F2); SMS/OTP-провайдер (F9).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Як реалізується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Лікар отримує лист «Підтвердіть обліковий запис у кабінеті лікаря» з посиланням на проксі-сторінку. Проксі в реальному часі передає пароль і SMS-код у справжню систему, а собі залишає сесійний cookie і refresh-токен. Далі зловмисник з власного пристрою викликає GET /api/patients/{id}/records від імені лікаря.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Чому важлива саме тут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 обліковим записом лікаря можна і читати, і змінювати картки всіх пацієнтів, яких він веде. API бачить валідний токен і не відрізняє зловмисника від лікаря, тож помилка на цьому компоненті обходить усі подальші перевірки. SMS-код тут не допомагає, бо AiTM-проксі просто передає його далі.</w:t>
            </w:r>
          </w:p>
        </w:tc>
      </w:tr>
    </w:tbl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Загроза 2 · T (Tampering)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Несанкціонована зміна результату аналізу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API (запис клінічних полів) і D1 · БД медичних записів (F4); вебхук від лабораторії LIS (F8) на межі TB4 → TB2.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Як реалізується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Шляхів до цієї шкоди три. (а) Через mass assignment або SQL-ін’єкцію в API хтось змінює поле результату. (б) Реєстратор, якому інтерфейс помилково показує форму редагування, перезаписує значення (сценарій T2 з ДЗ3). (в) Якщо взаємної автентифікації немає, будь-хто, хто дізнався URL вебхука, надсилає «результат» від імені лабораторії або змінює його дорогою.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Чому важлива саме тут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Від результату аналізу напряму залежать діагноз і дозування, тобто найвищий рівень ієрархії цінностей (життя та здоров’я). Вебхук F8 є єдиним місцем, де клінічні дані надходять у систему ззовні. У БД без версіонування запис легко перезаписати так, що сліду не залишиться.</w:t>
            </w:r>
          </w:p>
        </w:tc>
      </w:tr>
    </w:tbl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EE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Загроза 3 · I (Information Disclosure)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EE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IDOR / BOLA: доступ до чужих історій хвороб через API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API (F2 → F4 → F3). Варіант тієї ж помилки: видача PDF із D2 за передбачуваним посиланням (F13).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Як реалізується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Пацієнт перехоплює свій запит GET /api/patients/1042/records, змінює 1042 на 1043 і отримує чужу історію хвороби. Скрипт перебирає ідентифікатори й за годину вивантажує тисячі записів. API перевіряє лише валідність токена і не перевіряє, чи належить запис власнику токена.</w:t>
            </w:r>
          </w:p>
        </w:tc>
      </w:tr>
      <w:t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Чому важлива саме тут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Атака масштабується на всю базу і не потребує злому: достатньо бути звичайним автентифікованим пацієнтом. Дані про здоров’я належать до спеціальної категорії персональних даних, тому наслідками будуть масовий витік, штрафи і втрата довіри до клініки.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Техніки MITRE ATT&amp;CK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Для кожної загрози наведено ланцюг технік ATT&amp;CK Enterprise, якими її реалізує атакувальник. Перша техніка в таблиці є точкою входу, наступні показують, як атака доходить до шкоди.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Загроза 1. Захоплення сесії лікаря (фішинг з AiTM-проксі, повторне використання токена)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00"/>
        <w:gridCol w:w="1250"/>
        <w:gridCol w:w="2500"/>
        <w:gridCol w:w="2738"/>
      </w:tblGrid>
      <w:tr>
        <w:trPr>
          <w:tblHeader/>
        </w:trP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Назва техніки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Тактика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Що це (своїми словами)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Чому релевантна загрозі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T1566.002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Phishing: Spearphishing Link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Access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Цільовий лист із посиланням на підроблену сторінку входу.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Перший крок сценарію: так лікар потрапляє на проксі-сторінку.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T1539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Steal Web Session Cookie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Credential Access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Крадіжка сесійного cookie/токена вже після входу, зокрема через AiTM-проксі на кшталт Evilginx.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Пояснює, чому SMS-MFA не допомагає: зловмисник забирає вже автентифіковану сесію, пароль йому не потрібен.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T1550.001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Alternate Authentication Material: Application Access Token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Defense Evasion, Lateral Movement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Використання викраденого токена доступу замість пароля.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Зловмисник звертається до API СУМЗ напряму з токеном лікаря, минаючи UI і повторний вхід.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T1078 (T1110.004)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Accounts (Brute Force: Credential Stuffing)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Access, Persistence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Вхід легітимними обліковими даними, отриманими з витоку іншого сервісу.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Інший шлях до того самого результату, якщо лікар використовує той самий пароль і в інших сервісах.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Загроза 2. Несанкціонована зміна результату аналізу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00"/>
        <w:gridCol w:w="1250"/>
        <w:gridCol w:w="2500"/>
        <w:gridCol w:w="2738"/>
      </w:tblGrid>
      <w:tr>
        <w:trPr>
          <w:tblHeader/>
        </w:trP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Назва техніки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Тактика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Що це (своїми словами)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Чому релевантна загрозі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T1565.001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Manipulation: Stored Data Manipulation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Зміна збережених даних, щоб вплинути на рішення чи бізнес-процес.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Прямо описує зміну результату аналізу в D1, після якої лікар ухвалює хибне клінічне рішення.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T1565.002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Manipulation: Transmitted Data Manipulation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Зміна даних під час передачі між системами.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Відповідає підміні результату у вебхуку F8 від лабораторії до API.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T1190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Exploit Public-Facing Application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Access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Використання вразливості в застосунку, доступному з Інтернету.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Через SQL-ін’єкцію або mass assignment у Backend API можна записати в БД те, на що немає права.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Загроза 3. IDOR / BOLA: доступ до чужих історій хвороб через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00"/>
        <w:gridCol w:w="1250"/>
        <w:gridCol w:w="2500"/>
        <w:gridCol w:w="2738"/>
      </w:tblGrid>
      <w:tr>
        <w:trPr>
          <w:tblHeader/>
        </w:trP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Назва техніки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Тактика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Що це (своїми словами)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Чому релевантна загрозі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T1190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Exploit Public-Facing Application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Access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Використання вразливості (зокрема помилки логіки) в інтернет-доступному застосунку.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Відсутність перевірки належності об’єкта (OWASP API1:2023 BOLA) є дефектом логіки публічного API.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T1078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Accounts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Access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Робота з-під легітимного облікового запису.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Атакувальник є справжнім пацієнтом із власним акаунтом, тому автентифікація його не зупиняє.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T1119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Automated Collection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Автоматизований збір даних скриптом після отримання доступу.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Перебір ідентифікаторів перетворює одиничний IDOR на масовий витік.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T1530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from Cloud Storage</w:t>
            </w:r>
          </w:p>
        </w:tc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Отримання даних із хмарного об’єктного сховища.</w:t>
            </w:r>
          </w:p>
        </w:tc>
        <w:tc>
          <w:tcPr>
            <w:tcW w:type="dxa" w:w="2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Варіант тієї ж помилки: PDF-виписки в D2 доступні за передбачуваним або постійним посиланням.</w:t>
            </w:r>
          </w:p>
        </w:tc>
      </w:tr>
    </w:tbl>
    <w:p>
      <w:pPr>
        <w:spacing w:after="120" w:before="160"/>
        <w:rPr>
          <w:i/>
          <w:iCs/>
          <w:color w:val="4B5563"/>
          <w:sz w:val="18"/>
          <w:szCs w:val="18"/>
        </w:rPr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Примітка щодо ID. У лекційному кейсі «Forge Web Credentials» має номер T1556.004, а «Data Manipulation» має номер T1631. В актуальній матриці ATT&amp;CK Enterprise це T1606 (Forge Web Credentials; під T1556.004 там Network Device Authentication) і T1565 (Data Manipulation; T1631 належить до матриці Mobile). Я використовую ID з Enterprise-матриці. T1606 стане доречною, якщо в СУМЗ витече ключ підпису JWT. Тоді токен лікаря не треба красти, його можна підробити, і від цього захищає вже керування ключами (SC-12), а MFA не допоможе.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Контролі NIST SP 800-53 Rev. 5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Контролі я брав з каталогу NIST SP 800-53 Rev. 5 і звіряв з мапуванням ATT&amp;CK → NIST у CTID Mappings Explorer. Для кожного вказано роль: запобігає атаці, виявляє її або зменшує наслідки. Так видно, що кожну загрозу закривають кілька контролів з різних боків.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Загроза 1. Захоплення сесії лікаря (фішинг з AiTM-проксі, повторне використання токена)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00"/>
        <w:gridCol w:w="1300"/>
        <w:gridCol w:w="4788"/>
      </w:tblGrid>
      <w:tr>
        <w:trPr>
          <w:tblHeader/>
        </w:trP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Код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Назва контролю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Роль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Як допомагає в СУМЗ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IA-2 (1), (2), (8)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Identification and Authentication (Organizational Users): MFA to Privileged / Non-privileged Accounts; Access to Accounts: Replay Resistant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Для лікарів і адміністраторів FIDO2/WebAuthn: ключ прив’язаний до домену, тому проксі-сторінка не отримає відповіді, яку можна повторити. Для пацієнтів TOTP або push з number matching.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SC-23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 Authenticity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Запобігає, зменшує наслідки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Токени лежать у cookie з атрибутами httpOnly, Secure і SameSite. Gateway перевіряє підпис, aud і exp. Refresh-токен одноразовий: якщо хтось повторно надішле старий refresh-токен, уся сесія відкликається.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AC-12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 Termination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Зменшує наслідки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Access-токен короткий (10 хв). Сесія завершується після 15 хв бездіяльності і не пізніше ніж через 12 год (SR-02). За підозри всі сесії лікаря можна примусово відкликати.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AC-7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Unsuccessful Logon Attempts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Ліміт невдалих спроб і затримки, що зростають з кожною спробою, закривають варіант з credential stuffing (T1110.004).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SI-4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Monitoring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Виявляє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Алерти на вхід з нового пристрою чи країни, на одночасні сесії з різних мереж і на різкий ріст кількості відкритих карток за годину.</w:t>
            </w:r>
          </w:p>
        </w:tc>
      </w:tr>
    </w:tbl>
    <w:p>
      <w:pPr>
        <w:spacing w:after="120" w:before="80"/>
        <w:rPr>
          <w:color w:val="374151"/>
          <w:sz w:val="18"/>
          <w:szCs w:val="18"/>
        </w:rPr>
      </w:pPr>
      <w:r>
        <w:rPr>
          <w:rFonts w:ascii="Arial" w:cs="Arial" w:eastAsia="Arial" w:hAnsi="Arial"/>
          <w:color w:val="374151"/>
          <w:sz w:val="18"/>
          <w:szCs w:val="18"/>
        </w:rPr>
        <w:t xml:space="preserve">D3FEND (опційно): Multi-factor Authentication; Authentication Event Thresholding. Це MFA, стійка до фішингу, і пороги для аномальних подій входу.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Загроза 2. Несанкціонована зміна результату аналізу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00"/>
        <w:gridCol w:w="1300"/>
        <w:gridCol w:w="4788"/>
      </w:tblGrid>
      <w:tr>
        <w:trPr>
          <w:tblHeader/>
        </w:trP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Код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Назва контролю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Роль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Як допомагає в СУМЗ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AC-3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Access Enforcement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Перед кожним записом сервер перевіряє роль і те, чи має лікар активне призначення до цього пацієнта. Реєстратор не може змінювати клінічні поля, навіть якщо UI помилково показав йому форму (SR-03).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AC-6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Least Privilege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Запобігає, зменшує наслідки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Обліковий запис API в БД не має прав на DDL і на UPDATE історичних версій. Сервісний акаунт лабораторії може тільки додавати результати до замовлених аналізів.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SI-10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Information Input Validation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DTO з allow-list полів, параметризовані запити або ORM, перевірка FHIR-ресурсу з вебхука за схемою.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SI-7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Software, Firmware, and Information Integrity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Виявляє, зменшує наслідки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Кожна зміна створює нову незмінну версію з автором і часом. Хеш-ланцюг версій і періодична перевірка цілісності виявляють «тихі» зміни в БД.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SC-8 (1) + IA-9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Transmission Confidentiality and Integrity: Cryptographic Protection; Service Identification and Authentication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приймає вебхук F8 лише через TLS з автентифікацією лабораторії (mTLS або HMAC-підпис тіла з міткою часу проти повтору).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AU-10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Non-repudiation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Зменшує наслідки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Критичні зміни (алергія, діагноз, скасування результату) лікар підтверджує електронним підписом, і відмовитися від такої зміни потім неможливо.</w:t>
            </w:r>
          </w:p>
        </w:tc>
      </w:tr>
    </w:tbl>
    <w:p>
      <w:pPr>
        <w:spacing w:after="120" w:before="80"/>
        <w:rPr>
          <w:color w:val="374151"/>
          <w:sz w:val="18"/>
          <w:szCs w:val="18"/>
        </w:rPr>
      </w:pPr>
      <w:r>
        <w:rPr>
          <w:rFonts w:ascii="Arial" w:cs="Arial" w:eastAsia="Arial" w:hAnsi="Arial"/>
          <w:color w:val="374151"/>
          <w:sz w:val="18"/>
          <w:szCs w:val="18"/>
        </w:rPr>
        <w:t xml:space="preserve">D3FEND (опційно): Database Query String Analysis; Message Authentication. Аналіз SQL-запитів до D1 і автентифікація повідомлень вебхука.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Загроза 3. IDOR / BOLA: доступ до чужих історій хвороб через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00"/>
        <w:gridCol w:w="1300"/>
        <w:gridCol w:w="4788"/>
      </w:tblGrid>
      <w:tr>
        <w:trPr>
          <w:tblHeader/>
        </w:trP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Код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Назва контролю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Роль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Як допомагає в СУМЗ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AC-3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Access Enforcement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На кожному запиті перевіряється зв’язок «суб’єкт ↔ об’єкт»: доступ має пацієнт-власник або лікар з активним призначенням (ABAC), решту заборонено за замовчуванням (deny by default). На чужий запис API відповідає HTTP 404 (SR-01).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AC-6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Least Privilege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Зменшує наслідки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Відповідь містить лише поля, потрібні ролі (need to know): пацієнт не отримує службових полів, а адмінпанель узагалі не бачить медичного змісту.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AC-23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Mining Protection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Запобігає, зменшує наслідки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Неінкрементні UUID замість послідовних ID, квоти на кількість різних пацієнтів, яких користувач може відкрити за період, ліміти пагінації.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SA-11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Developer Testing and Evaluation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Запобігає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Негативні тести авторизації в CI за матрицею доступу (2 пацієнти × 2 лікарі × читання/зміна) і DAST-перевірка на IDOR перед кожним релізом.</w:t>
            </w:r>
          </w:p>
        </w:tc>
      </w:tr>
      <w:tr>
        <w:tc>
          <w:tcPr>
            <w:tcW w:type="dxa" w:w="1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SI-4 + AU-6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Monitoring; Audit Record Review, Analysis, and Reporting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Виявляє</w:t>
            </w:r>
          </w:p>
        </w:tc>
        <w:tc>
          <w:tcPr>
            <w:tcW w:type="dxa" w:w="47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Сплеск відповідей 404/403 для одного користувача або звернення до багатьох різних пацієнтів викликає алерт і блокування акаунта. Події аудиту (D3) переглядаються щотижня.</w:t>
            </w:r>
          </w:p>
        </w:tc>
      </w:tr>
    </w:tbl>
    <w:p>
      <w:pPr>
        <w:spacing w:after="120" w:before="80"/>
        <w:rPr>
          <w:color w:val="374151"/>
          <w:sz w:val="18"/>
          <w:szCs w:val="18"/>
        </w:rPr>
      </w:pPr>
      <w:r>
        <w:rPr>
          <w:rFonts w:ascii="Arial" w:cs="Arial" w:eastAsia="Arial" w:hAnsi="Arial"/>
          <w:color w:val="374151"/>
          <w:sz w:val="18"/>
          <w:szCs w:val="18"/>
        </w:rPr>
        <w:t xml:space="preserve">D3FEND (опційно): Resource Access Pattern Analysis. Виявлення нетипового шаблону звернень, коли один користувач відкриває сотні різних пацієнтів.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Розміщення контролів в архітектурі СУМЗ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На рисунку 1 показано DFD з ДЗ2 з накладеними контролями. Колір рядка в мітці відповідає загрозі: S (загроза 1) синій, T (загроза 2) помаранчевий, I (загроза 3) фіолетовий, сірим позначено контролі, спільні для всіх загроз. Таблиця нижче уточнює рівень, реалізацію, готовність до MVP і вартість.</w:t>
      </w:r>
    </w:p>
    <w:p>
      <w:pPr>
        <w:jc w:val="center"/>
      </w:pPr>
      <w:r>
        <w:drawing>
          <wp:inline distT="0" distB="0" distL="0" distR="0">
            <wp:extent cx="6096000" cy="4057650"/>
            <wp:effectExtent t="0" r="0" b="0" l="0"/>
            <wp:docPr id="1" name="dfd-controls" descr="DFD СУМЗ з межами довіри TB1-TB5 і мітками контролів NIST SP 800-53 для трьох загроз" title="DFD СУМЗ з контрол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i/>
          <w:iCs/>
          <w:sz w:val="18"/>
          <w:szCs w:val="18"/>
        </w:rPr>
      </w:pPr>
      <w:r>
        <w:rPr>
          <w:rFonts w:ascii="Arial" w:cs="Arial" w:eastAsia="Arial" w:hAnsi="Arial"/>
          <w:i/>
          <w:iCs/>
          <w:sz w:val="18"/>
          <w:szCs w:val="18"/>
        </w:rPr>
        <w:t xml:space="preserve">Рисунок 1. DFD СУМЗ з ДЗ2: мітки показують, де працює кожен контроль.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650"/>
        <w:gridCol w:w="2150"/>
        <w:gridCol w:w="2838"/>
        <w:gridCol w:w="1000"/>
        <w:gridCol w:w="1750"/>
      </w:tblGrid>
      <w:tr>
        <w:trPr>
          <w:tblHeader/>
        </w:trP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Контроль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Загр.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Рівень / компонент DFD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Реалізація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MVP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Ресурси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IA-2 (1)(2)(8)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Веб/мобільний застосунок (UI входу, WebAuthn) + IdP і API Gateway; адмінпанель (F10)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MVP: TOTP/push для всіх ролей. Фаза 2: FIDO2-ключі для лікарів і адмінів, відмова від SMS для цих ролей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Частково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Середні: ключі для кожного лікаря й адміністратора, налаштування IdP, навчання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SC-23, AC-12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Gateway (перевірка JWT), Auth-сервіс (ротація refresh), застосунок (httpOnly cookie)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Короткі токени, одноразовий refresh, тайм-аути сесії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Так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Низькі: конфігурація бібліотек і gateway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AC-7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IdP / API Gateway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Ліміти невдалих входів, прогресивні затримки, CAPTCHA після N спроб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Так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Низькі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AC-3 (ABAC)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2, 3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 API (policy engine) + D1 (row-level security як другий рубіж)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Обов’язково в MVP: єдина серверна перевірка «суб’єкт ↔ об’єкт ↔ дія» для кожного ендпоінта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Так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Середні: модель призначень лікарів пацієнтам, політики, тести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AC-6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2, 3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Обліковий запис API в D1; сервісний акаунт LIS; фільтр полів у Backend; адмінпанель без медданих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Мінімальні права в БД, append-only для лабораторії, need to know у відповідях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Так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Низькі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SI-10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 API; приймач вебхука F8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DTO allow-list, ORM, FHIR-валідація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Так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Низькі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SI-7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 API + D1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MVP: версії записів з автором. Пізніше: хеш-ланцюг і нічна перевірка цілісності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Частково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Середні: зміна схеми даних, міграції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SC-8 (1) + IA-9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Межа TB4 → TB2: API Gateway ↔ лабораторія (LIS)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MVP: TLS + HMAC-підпис вебхука + allow-list IP. Потім: mTLS з сертифікатом лабораторії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Частково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Середні: узгодження з лабораторією, ротація сертифікатів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AU-10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Веб-застосунок лікаря + Backend API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Електронний підпис лікаря для критичних змін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Пізніше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Високі: інтеграція з надавачем довірчих послуг, ключі для кожного лікаря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AC-23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Gateway (квоти) + Backend API (UUID)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UUID-ідентифікатори, квоти на кількість різних пацієнтів, ліміти пагінації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Так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Низькі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SA-11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CI/CD-конвеєр (перевіряє Backend API до релізу)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Негативні тести авторизації + DAST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Так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Від низьких до середніх: написання й підтримка тестів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SI-4, AU-6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1, 3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 · журнал аудиту → SIEM; логи API Gateway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MVP: кілька правил-алертів і щотижневий ручний перегляд. Пізніше: SIEM з кореляцією й чергуванням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Частково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Високі: ліцензія SIEM, люди на моніторингу</w:t>
            </w:r>
          </w:p>
        </w:tc>
      </w:tr>
      <w:tr>
        <w:tc>
          <w:tcPr>
            <w:tcW w:type="dxa" w:w="12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AU-9, AU-12</w:t>
            </w:r>
          </w:p>
        </w:tc>
        <w:tc>
          <w:tcPr>
            <w:tcW w:type="dxa" w:w="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усі</w:t>
            </w:r>
          </w:p>
        </w:tc>
        <w:tc>
          <w:tcPr>
            <w:tcW w:type="dxa" w:w="21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D3 · журнал аудиту (WORM); адмінпанель тільки читає журнал</w:t>
            </w:r>
          </w:p>
        </w:tc>
        <w:tc>
          <w:tcPr>
            <w:tcW w:type="dxa" w:w="28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Незмінне сховище подій (SR-04), доказова база для всіх трьох загроз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Частково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Середні: object lock, розділення ролей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Що можна зробити в MVP і що потребує ресурсів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Уже в MVP: AC-3 + AC-6 (обʼєктна авторизація й мінімальні права), SI-10, SC-23 + AC-12, AC-7, AC-23 (UUID і квоти), SA-11 (негативні тести), TOTP/push-MFA для всіх, TLS + HMAC для вебхука лабораторії, версіонування записів. Здебільшого це код і конфігурація, закупівель не потрібно.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Найбільше ресурсів потребують AU-10 (електронний підпис лікаря), повноцінний SIEM з людьми на моніторингу (SI-4/AU-6), FIDO2-ключі для всіх лікарів, mTLS з лабораторією й хеш-ланцюг версій. Їх я б планував на наступні квартали, а в MVP закрив тимчасовими замінниками (див. висновок).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Висновок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Питання</w:t>
            </w:r>
          </w:p>
        </w:tc>
        <w:tc>
          <w:tcPr>
            <w:tcW w:type="dxa" w:w="73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Відповідь</w:t>
            </w:r>
          </w:p>
        </w:tc>
      </w:tr>
      <w:tr>
        <w:tc>
          <w:tcPr>
            <w:tcW w:type="dxa" w:w="2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Що потрібно вже зараз</w:t>
            </w:r>
          </w:p>
        </w:tc>
        <w:tc>
          <w:tcPr>
            <w:tcW w:type="dxa" w:w="73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Насамперед AC-3 з перевіркою належності обʼєкта. Цей один контроль закриває найсерйознішу загрозу 3 і більшість шляхів загрози 2. Далі йдуть MFA для лікарів і адміністраторів із короткими сесіями (IA-2, SC-23, AC-12), валідація вводу й версіонування клінічних записів (SI-10, SI-7) та автентифікація вебхука лабораторії (SC-8(1) + IA-9). Без цих контролів я б не пускав СУМЗ до реальних пацієнтів.</w:t>
            </w:r>
          </w:p>
        </w:tc>
      </w:tr>
      <w:tr>
        <w:tc>
          <w:tcPr>
            <w:tcW w:type="dxa" w:w="2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 можна піти на компроміси</w:t>
            </w:r>
          </w:p>
        </w:tc>
        <w:tc>
          <w:tcPr>
            <w:tcW w:type="dxa" w:w="73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Пацієнтам вистачить TOTP/push замість FIDO2: пацієнт бачить лише власні дані, тому ризик нижчий. SIEM на старті можна відкласти й обмежитися кількома алертами і щотижневим переглядом журналу (AU-6). Поки немає електронного підпису лікаря, зміни фіксує версіонування з автором і причиною зміни. Замість mTLS спочатку підійдуть HMAC-підпис вебхука й allow-list IP лабораторії. Для кожного компромісу в дорожній карті стоїть дата перегляду.</w:t>
            </w:r>
          </w:p>
        </w:tc>
      </w:tr>
      <w:tr>
        <w:tc>
          <w:tcPr>
            <w:tcW w:type="dxa" w:w="2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Що залишається невирішеним</w:t>
            </w:r>
          </w:p>
        </w:tc>
        <w:tc>
          <w:tcPr>
            <w:tcW w:type="dxa" w:w="73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Лікар з легітимним призначенням, який переглядає більше, ніж потрібно для лікування. AC-3 його не зупинить, залишаються аудит і процедура «break the glass». Компрометація пристрою лікаря шкідливим ПЗ (T1185 Browser Session Hijacking): FIDO2 не захищає сесію, яка вже відкрита на зараженому пристрої, тут потрібен EDR. Витік через експорт PDF і листи (ДЗ2, топ-4) закрито лише частково. Ransomware і недоступність D1 (ДЗ2, топ-5), а також залежності від сторонніх бібліотек виходять за межі цих трьох загроз і потребують окремого аналізу.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Додатково: лабораторний модуль передають вендору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Прийом замовлень на аналізи, отримання результатів від LIS і їх відображення тепер працюють в інфраструктурі стороннього вендора. На DFD з’являються нова межа довіри TB6 «Вендор» і два потоки: F14 між модулем вендора і API СУМЗ (сервісний токен) та F15 для підтримки вендора (віддалений доступ інженерів).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Як змінюються загрози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38"/>
        <w:gridCol w:w="3500"/>
      </w:tblGrid>
      <w:tr>
        <w:trPr>
          <w:tblHeader/>
        </w:trP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STRIDE</w:t>
            </w:r>
          </w:p>
        </w:tc>
        <w:tc>
          <w:tcPr>
            <w:tcW w:type="dxa" w:w="52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Нова або змінена загроза</w:t>
            </w:r>
          </w:p>
        </w:tc>
        <w:tc>
          <w:tcPr>
            <w:tcW w:type="dxa" w:w="3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ATT&amp;CK</w:t>
            </w:r>
          </w:p>
        </w:tc>
      </w:tr>
      <w:t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/ S</w:t>
            </w:r>
          </w:p>
        </w:tc>
        <w:tc>
          <w:tcPr>
            <w:tcW w:type="dxa" w:w="52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Компрометація вендора означає масову підміну результатів: через шкідливе оновлення модуля або викрадений сервісний ключ вендора</w:t>
            </w:r>
          </w:p>
        </w:tc>
        <w:tc>
          <w:tcPr>
            <w:tcW w:type="dxa" w:w="3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T1195.002 Supply Chain Compromise: Compromise Software Supply Chain; T1199 Trusted Relationship</w:t>
            </w:r>
          </w:p>
        </w:tc>
      </w:tr>
      <w:t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52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Модуль вендора отримує токен із надто широким scope і читає історії хвороб, хоча йому потрібні лише замовлені аналізи; інженери підтримки бачать реальні дані</w:t>
            </w:r>
          </w:p>
        </w:tc>
        <w:tc>
          <w:tcPr>
            <w:tcW w:type="dxa" w:w="3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T1199 Trusted Relationship; T1078 Valid Accounts</w:t>
            </w:r>
          </w:p>
        </w:tc>
      </w:tr>
      <w:t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52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Розмита відповідальність: неможливо довести, хто змінив результат, клініка чи вендор</w:t>
            </w:r>
          </w:p>
        </w:tc>
        <w:tc>
          <w:tcPr>
            <w:tcW w:type="dxa" w:w="35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Прямої відповідності немає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Які контролі додати або посилити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738"/>
      </w:tblGrid>
      <w:tr>
        <w:trPr>
          <w:tblHeader/>
        </w:trPr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Код</w:t>
            </w:r>
          </w:p>
        </w:tc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Назва</w:t>
            </w:r>
          </w:p>
        </w:tc>
        <w:tc>
          <w:tcPr>
            <w:tcW w:type="dxa" w:w="5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Що змінюється</w:t>
            </w:r>
          </w:p>
        </w:tc>
      </w:tr>
      <w:tr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SA-9</w:t>
            </w:r>
          </w:p>
        </w:tc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External System Services</w:t>
            </w:r>
          </w:p>
        </w:tc>
        <w:tc>
          <w:tcPr>
            <w:tcW w:type="dxa" w:w="5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Вимоги безпеки, SLA на інциденти й право аудиту записані в договорі; вендор відповідає за свою частину</w:t>
            </w:r>
          </w:p>
        </w:tc>
      </w:tr>
      <w:tr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SR-6</w:t>
            </w:r>
          </w:p>
        </w:tc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Supplier Assessments and Reviews</w:t>
            </w:r>
          </w:p>
        </w:tc>
        <w:tc>
          <w:tcPr>
            <w:tcW w:type="dxa" w:w="5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Оцінка вендора до підписання і щороку: звіт SOC 2 Type II або сертифікат ISO/IEC 27001, результати пентестів</w:t>
            </w:r>
          </w:p>
        </w:tc>
      </w:tr>
      <w:tr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CA-3</w:t>
            </w:r>
          </w:p>
        </w:tc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Information Exchange</w:t>
            </w:r>
          </w:p>
        </w:tc>
        <w:tc>
          <w:tcPr>
            <w:tcW w:type="dxa" w:w="5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Угода про обмін даними: які поля, канал, шифрування, строки зберігання; для персональних даних також договір з обробником (DPA)</w:t>
            </w:r>
          </w:p>
        </w:tc>
      </w:tr>
      <w:tr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AC-6 + AC-3</w:t>
            </w:r>
          </w:p>
        </w:tc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Least Privilege; Access Enforcement</w:t>
            </w:r>
          </w:p>
        </w:tc>
        <w:tc>
          <w:tcPr>
            <w:tcW w:type="dxa" w:w="5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Сервісний токен вендора дозволяє лише додавати результати до замовлених аналізів, без читання історії хвороби; на кожну операцію окремий scope</w:t>
            </w:r>
          </w:p>
        </w:tc>
      </w:tr>
      <w:tr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IA-9 + SC-8 (1)</w:t>
            </w:r>
          </w:p>
        </w:tc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Identification and Authentication; Cryptographic Protection</w:t>
            </w:r>
          </w:p>
        </w:tc>
        <w:tc>
          <w:tcPr>
            <w:tcW w:type="dxa" w:w="5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mTLS із сертифікатом вендора й регулярною ротацією; результати підписуються ключем вендора (SI-7)</w:t>
            </w:r>
          </w:p>
        </w:tc>
      </w:tr>
      <w:tr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PS-7</w:t>
            </w:r>
          </w:p>
        </w:tc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External Personnel Security</w:t>
            </w:r>
          </w:p>
        </w:tc>
        <w:tc>
          <w:tcPr>
            <w:tcW w:type="dxa" w:w="5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Доступ інженерів вендора лише JIT через PAM із записом сесії й маскованими даними</w:t>
            </w:r>
          </w:p>
        </w:tc>
      </w:tr>
      <w:tr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SI-4 + AU-6</w:t>
            </w:r>
          </w:p>
        </w:tc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Monitoring; Audit Record Review</w:t>
            </w:r>
          </w:p>
        </w:tc>
        <w:tc>
          <w:tcPr>
            <w:tcW w:type="dxa" w:w="57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Окремий профіль моніторингу для акаунта вендора: нетипові обсяги, час і типи операцій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Зведена матриця трасування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850"/>
        <w:gridCol w:w="1900"/>
        <w:gridCol w:w="1900"/>
        <w:gridCol w:w="1588"/>
        <w:gridCol w:w="1750"/>
      </w:tblGrid>
      <w:tr>
        <w:trPr>
          <w:tblHeader/>
        </w:trPr>
        <w:tc>
          <w:tcPr>
            <w:tcW w:type="dxa" w:w="1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Загроза</w:t>
            </w:r>
          </w:p>
        </w:tc>
        <w:tc>
          <w:tcPr>
            <w:tcW w:type="dxa" w:w="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STRIDE</w:t>
            </w:r>
          </w:p>
        </w:tc>
        <w:tc>
          <w:tcPr>
            <w:tcW w:type="dxa" w:w="1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ATT&amp;CK</w:t>
            </w:r>
          </w:p>
        </w:tc>
        <w:tc>
          <w:tcPr>
            <w:tcW w:type="dxa" w:w="1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NIST SP 800-53</w:t>
            </w:r>
          </w:p>
        </w:tc>
        <w:tc>
          <w:tcPr>
            <w:tcW w:type="dxa" w:w="15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Рівень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Загроза 1 · захоплення сесії лікаря</w:t>
            </w:r>
          </w:p>
        </w:tc>
        <w:tc>
          <w:tcPr>
            <w:tcW w:type="dxa" w:w="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1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T1566.002 → T1539 → T1550.001 (варіант T1078 / T1110.004)</w:t>
            </w:r>
          </w:p>
        </w:tc>
        <w:tc>
          <w:tcPr>
            <w:tcW w:type="dxa" w:w="1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IA-2 (1)(2)(8), SC-23, AC-12, AC-7, SI-4</w:t>
            </w:r>
          </w:p>
        </w:tc>
        <w:tc>
          <w:tcPr>
            <w:tcW w:type="dxa" w:w="15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Застосунок, IdP / API Gateway, адмінпанель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SC-23, AC-12, AC-7, TOTP: так; FIDO2, SIEM: пізніше</w:t>
            </w:r>
          </w:p>
        </w:tc>
      </w:tr>
      <w:tr>
        <w:tc>
          <w:tcPr>
            <w:tcW w:type="dxa" w:w="1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Загроза 2 · зміна результату аналізу</w:t>
            </w:r>
          </w:p>
        </w:tc>
        <w:tc>
          <w:tcPr>
            <w:tcW w:type="dxa" w:w="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</w:t>
            </w:r>
          </w:p>
        </w:tc>
        <w:tc>
          <w:tcPr>
            <w:tcW w:type="dxa" w:w="1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T1190 → T1565.001; T1565.002 (вебхук F8)</w:t>
            </w:r>
          </w:p>
        </w:tc>
        <w:tc>
          <w:tcPr>
            <w:tcW w:type="dxa" w:w="1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AC-3, AC-6, SI-10, SI-7, SC-8 (1) + IA-9, AU-10</w:t>
            </w:r>
          </w:p>
        </w:tc>
        <w:tc>
          <w:tcPr>
            <w:tcW w:type="dxa" w:w="15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 API, D1, межа TB4 → TB2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AC-3, AC-6, SI-10, версії, HMAC: так; mTLS, хеш-ланцюг: частково; AU-10: пізніше</w:t>
            </w:r>
          </w:p>
        </w:tc>
      </w:tr>
      <w:tr>
        <w:tc>
          <w:tcPr>
            <w:tcW w:type="dxa" w:w="16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Загроза 3 · IDOR / BOLA</w:t>
            </w:r>
          </w:p>
        </w:tc>
        <w:tc>
          <w:tcPr>
            <w:tcW w:type="dxa" w:w="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T1078 + T1190 → T1119 (варіант T1530 для D2)</w:t>
            </w:r>
          </w:p>
        </w:tc>
        <w:tc>
          <w:tcPr>
            <w:tcW w:type="dxa" w:w="1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AC-3, AC-6, AC-23, SA-11, SI-4 + AU-6</w:t>
            </w:r>
          </w:p>
        </w:tc>
        <w:tc>
          <w:tcPr>
            <w:tcW w:type="dxa" w:w="158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 API, API Gateway, CI/CD, D3 → SIEM</w:t>
            </w:r>
          </w:p>
        </w:tc>
        <w:tc>
          <w:tcPr>
            <w:tcW w:type="dxa" w:w="17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Так (крім повноцінного SIEM)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5b734abd6349d2fc3d8ce2869dfd0d86a07745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ДЗ5. Поглиблений аналіз СУМЗ: від загроз до контролів в архітектурі</dc:title>
  <dc:creator>Фарід Джафарлі</dc:creator>
  <cp:lastModifiedBy>Un-named</cp:lastModifiedBy>
  <cp:revision>1</cp:revision>
  <dcterms:created xsi:type="dcterms:W3CDTF">2026-10-01T01:09:53.034Z</dcterms:created>
  <dcterms:modified xsi:type="dcterms:W3CDTF">2026-10-01T01:09:53.035Z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