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drawing>
          <wp:inline distT="0" distB="0" distL="0" distR="0">
            <wp:extent cx="2000250" cy="581025"/>
            <wp:effectExtent t="0" r="0" b="0" l="0"/>
            <wp:docPr id="1" name="logo" descr="DOCex logo" title="DOC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600"/>
      </w:pPr>
      <w:r>
        <w:rPr>
          <w:rFonts w:ascii="Arial" w:cs="Arial" w:eastAsia="Arial" w:hAnsi="Arial"/>
          <w:b/>
          <w:bCs/>
          <w:color w:val="2563EB"/>
          <w:spacing w:val="30"/>
          <w:sz w:val="24"/>
          <w:szCs w:val="24"/>
        </w:rPr>
        <w:t xml:space="preserve">PILOT PROPOSAL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Document intelligence &amp; compliance, run against your own documents</w:t>
      </w:r>
    </w:p>
    <w:p>
      <w:pPr>
        <w:spacing w:after="60" w:before="5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Prepared for   </w:t>
      </w:r>
      <w:r>
        <w:rPr>
          <w:rFonts w:ascii="Arial" w:cs="Arial" w:eastAsia="Arial" w:hAnsi="Arial"/>
          <w:b/>
          <w:bCs/>
          <w:color w:val="2563EB"/>
        </w:rPr>
        <w:t xml:space="preserve">[CLIENT ORGANISATION]</w:t>
      </w:r>
    </w:p>
    <w:p>
      <w:p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Attention   </w:t>
      </w:r>
      <w:r>
        <w:rPr>
          <w:rFonts w:ascii="Arial" w:cs="Arial" w:eastAsia="Arial" w:hAnsi="Arial"/>
          <w:b/>
          <w:bCs/>
          <w:color w:val="2563EB"/>
        </w:rPr>
        <w:t xml:space="preserve">[CONTACT NAME, TITLE]</w:t>
      </w:r>
    </w:p>
    <w:p>
      <w:p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Prepared by 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Farid · DOCex · founder@docex.app</w:t>
      </w:r>
    </w:p>
    <w:p>
      <w:p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   </w:t>
      </w:r>
      <w:r>
        <w:rPr>
          <w:rFonts w:ascii="Arial" w:cs="Arial" w:eastAsia="Arial" w:hAnsi="Arial"/>
          <w:b/>
          <w:bCs/>
          <w:color w:val="2563EB"/>
        </w:rPr>
        <w:t xml:space="preserve">[DATE]</w:t>
      </w:r>
    </w:p>
    <w:p>
      <w:pPr>
        <w:pBdr>
          <w:top w:val="single" w:color="D9E2EC" w:sz="6" w:space="8"/>
        </w:pBdr>
        <w:spacing w:before="52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Commercial in confidence. Prepared for the named recipient only.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1 · Executive summary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2563EB"/>
        </w:rPr>
        <w:t xml:space="preserve">[CLIENT ORGANISATION]</w:t>
      </w:r>
      <w:r>
        <w:rPr>
          <w:rFonts w:ascii="Arial" w:cs="Arial" w:eastAsia="Arial" w:hAnsi="Arial"/>
        </w:rPr>
        <w:t xml:space="preserve"> receives documents in bulk — </w:t>
      </w:r>
      <w:r>
        <w:rPr>
          <w:rFonts w:ascii="Arial" w:cs="Arial" w:eastAsia="Arial" w:hAnsi="Arial"/>
          <w:b/>
          <w:bCs/>
          <w:color w:val="2563EB"/>
        </w:rPr>
        <w:t xml:space="preserve">[e.g. partner applications / supplier invoices / expense claims]</w:t>
      </w:r>
      <w:r>
        <w:rPr>
          <w:rFonts w:ascii="Arial" w:cs="Arial" w:eastAsia="Arial" w:hAnsi="Arial"/>
        </w:rPr>
        <w:t xml:space="preserve"> — and a small team reviews each one by hand to answer the same questions and apply the same rules. The work is slow, varies between reviewers, and leaves little trail when a funder or auditor later asks why a decision was made.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This proposal sets out a time-boxed pilot in which DOCex is configured against </w:t>
      </w:r>
      <w:r>
        <w:rPr>
          <w:rFonts w:ascii="Arial" w:cs="Arial" w:eastAsia="Arial" w:hAnsi="Arial"/>
          <w:b/>
          <w:bCs/>
          <w:color w:val="2563EB"/>
        </w:rPr>
        <w:t xml:space="preserve">[CLIENT ORGANISATION]</w:t>
      </w:r>
      <w:r>
        <w:rPr>
          <w:rFonts w:ascii="Arial" w:cs="Arial" w:eastAsia="Arial" w:hAnsi="Arial"/>
        </w:rPr>
        <w:t xml:space="preserve">'s own documents and run through one real review cycle. The goal is simple: prove, on your data, that DOCex turns a stack of documents into cited, audit-ready answers in a fraction of the time — applied consistently to every file.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2 · The problem we are solving for you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From our conversations, the cost today shows up in three places: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b/>
          <w:bCs/>
        </w:rPr>
        <w:t xml:space="preserve">Time. </w:t>
      </w:r>
      <w:r>
        <w:rPr>
          <w:rFonts w:ascii="Arial" w:cs="Arial" w:eastAsia="Arial" w:hAnsi="Arial"/>
          <w:b/>
          <w:bCs/>
          <w:color w:val="2563EB"/>
        </w:rPr>
        <w:t xml:space="preserve">[e.g. ~2 weeks]</w:t>
      </w:r>
      <w:r>
        <w:rPr>
          <w:rFonts w:ascii="Arial" w:cs="Arial" w:eastAsia="Arial" w:hAnsi="Arial"/>
        </w:rPr>
        <w:t xml:space="preserve"> of skilled time per cycle is spent reading rather than deciding.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b/>
          <w:bCs/>
        </w:rPr>
        <w:t xml:space="preserve">Consistency. </w:t>
      </w:r>
      <w:r>
        <w:rPr>
          <w:rFonts w:ascii="Arial" w:cs="Arial" w:eastAsia="Arial" w:hAnsi="Arial"/>
        </w:rPr>
        <w:t xml:space="preserve">The standard applied to the first document drifts by the last, and the variance is invisible.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b/>
          <w:bCs/>
        </w:rPr>
        <w:t xml:space="preserve">Defensibility. </w:t>
      </w:r>
      <w:r>
        <w:rPr>
          <w:rFonts w:ascii="Arial" w:cs="Arial" w:eastAsia="Arial" w:hAnsi="Arial"/>
        </w:rPr>
        <w:t xml:space="preserve">When </w:t>
      </w:r>
      <w:r>
        <w:rPr>
          <w:rFonts w:ascii="Arial" w:cs="Arial" w:eastAsia="Arial" w:hAnsi="Arial"/>
          <w:b/>
          <w:bCs/>
          <w:color w:val="2563EB"/>
        </w:rPr>
        <w:t xml:space="preserve">[a donor / auditor / board]</w:t>
      </w:r>
      <w:r>
        <w:rPr>
          <w:rFonts w:ascii="Arial" w:cs="Arial" w:eastAsia="Arial" w:hAnsi="Arial"/>
        </w:rPr>
        <w:t xml:space="preserve"> asks why something was approved, the reasoning lives in an inbox, not a record.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3 · What DOCex does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DOCex is a compliance and document-intelligence platform. The same engine powers six capabilities; the pilot focuses on the ones that map to your workflow (marked </w:t>
      </w:r>
      <w:r>
        <w:rPr>
          <w:rFonts w:ascii="Arial" w:cs="Arial" w:eastAsia="Arial" w:hAnsi="Arial"/>
          <w:b/>
          <w:bCs/>
          <w:color w:val="2563EB"/>
        </w:rPr>
        <w:t xml:space="preserve">In scope</w:t>
      </w:r>
      <w:r>
        <w:rPr>
          <w:rFonts w:ascii="Arial" w:cs="Arial" w:eastAsia="Arial" w:hAnsi="Arial"/>
        </w:rPr>
        <w:t xml:space="preserve"> below).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160"/>
        <w:gridCol w:w="1200"/>
      </w:tblGrid>
      <w:tr>
        <w:trPr>
          <w:tblHeader/>
        </w:trP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51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Pilot</w:t>
            </w:r>
          </w:p>
        </w:tc>
      </w:tr>
      <w:t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 extraction</w:t>
            </w:r>
          </w:p>
        </w:tc>
        <w:tc>
          <w:tcPr>
            <w:tcW w:type="dxa" w:w="51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Plain-language questions across a document stack; every answer cites source file, exact quote, page and confidence.</w:t>
            </w:r>
          </w:p>
        </w:tc>
        <w:tc>
          <w:tcPr>
            <w:tcW w:type="dxa" w:w="1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Compliance &amp; approvals</w:t>
            </w:r>
          </w:p>
        </w:tc>
        <w:tc>
          <w:tcPr>
            <w:tcW w:type="dxa" w:w="51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Turns a policy into a reusable rulebook; checks each payment rule-by-rule with citations and a frozen audit trail.</w:t>
            </w:r>
          </w:p>
        </w:tc>
        <w:tc>
          <w:tcPr>
            <w:tcW w:type="dxa" w:w="1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Reusable templates</w:t>
            </w:r>
          </w:p>
        </w:tc>
        <w:tc>
          <w:tcPr>
            <w:tcW w:type="dxa" w:w="51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Saves the question or policy sets your team runs every cycle, applied identically at scale.</w:t>
            </w:r>
          </w:p>
        </w:tc>
        <w:tc>
          <w:tcPr>
            <w:tcW w:type="dxa" w:w="1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Attendance &amp; payment</w:t>
            </w:r>
          </w:p>
        </w:tc>
        <w:tc>
          <w:tcPr>
            <w:tcW w:type="dxa" w:w="51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Matches attendance to a payment list, applies per-diem, verifies bank accounts before finance.</w:t>
            </w:r>
          </w:p>
        </w:tc>
        <w:tc>
          <w:tcPr>
            <w:tcW w:type="dxa" w:w="1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Knowledge Q&amp;A</w:t>
            </w:r>
          </w:p>
        </w:tc>
        <w:tc>
          <w:tcPr>
            <w:tcW w:type="dxa" w:w="51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Answers questions over a library of reports and decks with citations to the exact page.</w:t>
            </w:r>
          </w:p>
        </w:tc>
        <w:tc>
          <w:tcPr>
            <w:tcW w:type="dxa" w:w="1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Bank verification</w:t>
            </w:r>
          </w:p>
        </w:tc>
        <w:tc>
          <w:tcPr>
            <w:tcW w:type="dxa" w:w="51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Confirms a recipient name matches the bank-of-record holder before money moves.</w:t>
            </w:r>
          </w:p>
        </w:tc>
        <w:tc>
          <w:tcPr>
            <w:tcW w:type="dxa" w:w="12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Edit any capability row above to reflect what this pilot will and won't cover.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4 · Proposed pilot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Documents</w:t>
            </w:r>
          </w:p>
        </w:tc>
        <w:tc>
          <w:tcPr>
            <w:tcW w:type="dxa" w:w="63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The document types DOCex will read: </w:t>
            </w:r>
            <w:r>
              <w:rPr>
                <w:rFonts w:ascii="Arial" w:cs="Arial" w:eastAsia="Arial" w:hAnsi="Arial"/>
                <w:b/>
                <w:bCs/>
                <w:color w:val="2563EB"/>
              </w:rPr>
              <w:t xml:space="preserve">[e.g. registration certificate, audit report, financials, proposal]</w:t>
            </w:r>
          </w:p>
        </w:tc>
      </w:tr>
      <w:t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Questions / rules</w:t>
            </w:r>
          </w:p>
        </w:tc>
        <w:tc>
          <w:tcPr>
            <w:tcW w:type="dxa" w:w="63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</w:rPr>
              <w:t xml:space="preserve">[list the ~10–15 standard questions, or attach the policy to be turned into a rulebook]</w:t>
            </w:r>
          </w:p>
        </w:tc>
      </w:tr>
      <w:t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Volume</w:t>
            </w:r>
          </w:p>
        </w:tc>
        <w:tc>
          <w:tcPr>
            <w:tcW w:type="dxa" w:w="63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</w:rPr>
              <w:t xml:space="preserve">[e.g. one cycle of ~150 applications, 5–8 documents each]</w:t>
            </w:r>
          </w:p>
        </w:tc>
      </w:tr>
      <w:t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</w:rPr>
              <w:t xml:space="preserve">[named people on your side who will run the cycle]</w:t>
            </w:r>
          </w:p>
        </w:tc>
      </w:tr>
      <w:t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63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</w:rPr>
              <w:t xml:space="preserve">[anything explicitly excluded — e.g. integrations, data migration, additional policies]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5 · How the pilot 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5160"/>
      </w:tblGrid>
      <w:tr>
        <w:trPr>
          <w:tblHeader/>
        </w:trPr>
        <w:tc>
          <w:tcPr>
            <w:tcW w:type="dxa" w:w="1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1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Week 1</w:t>
            </w:r>
          </w:p>
        </w:tc>
        <w:tc>
          <w:tcPr>
            <w:tcW w:type="dxa" w:w="2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Scope &amp; setup</w:t>
            </w:r>
          </w:p>
        </w:tc>
        <w:tc>
          <w:tcPr>
            <w:tcW w:type="dxa" w:w="51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 agree the questions or policy, then stand up your rulebooks and templates in DOCex.</w:t>
            </w:r>
          </w:p>
        </w:tc>
      </w:tr>
      <w:tr>
        <w:tc>
          <w:tcPr>
            <w:tcW w:type="dxa" w:w="1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 2–3</w:t>
            </w:r>
          </w:p>
        </w:tc>
        <w:tc>
          <w:tcPr>
            <w:tcW w:type="dxa" w:w="2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a live cycle</w:t>
            </w:r>
          </w:p>
        </w:tc>
        <w:tc>
          <w:tcPr>
            <w:tcW w:type="dxa" w:w="51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team runs a real batch end-to-end. We tune against the edge cases your documents surface.</w:t>
            </w:r>
          </w:p>
        </w:tc>
      </w:tr>
      <w:tr>
        <w:tc>
          <w:tcPr>
            <w:tcW w:type="dxa" w:w="1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 4</w:t>
            </w:r>
          </w:p>
        </w:tc>
        <w:tc>
          <w:tcPr>
            <w:tcW w:type="dxa" w:w="2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Review &amp; decide</w:t>
            </w:r>
          </w:p>
        </w:tc>
        <w:tc>
          <w:tcPr>
            <w:tcW w:type="dxa" w:w="51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 walk through the results and the time saved together, and agree how to proceed.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Indicative four-week shape; adjust the cadence to your cycle.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6 · How we will measure success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We agree these targets up front, so the pilot has a clear pass/fail you can take to your stakeholders.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2800"/>
        <w:gridCol w:w="2800"/>
      </w:tblGrid>
      <w:tr>
        <w:trPr>
          <w:tblHeader/>
        </w:trPr>
        <w:tc>
          <w:tcPr>
            <w:tcW w:type="dxa" w:w="3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Today (baseline)</w:t>
            </w:r>
          </w:p>
        </w:tc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0F17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Pilot target</w:t>
            </w:r>
          </w:p>
        </w:tc>
      </w:tr>
      <w:tr>
        <w:tc>
          <w:tcPr>
            <w:tcW w:type="dxa" w:w="3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 per review cycle</w:t>
            </w:r>
          </w:p>
        </w:tc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</w:rPr>
              <w:t xml:space="preserve">[e.g. ~2 weeks]</w:t>
            </w:r>
          </w:p>
        </w:tc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</w:rPr>
              <w:t xml:space="preserve">[e.g. &lt; 1 day]</w:t>
            </w:r>
          </w:p>
        </w:tc>
      </w:tr>
      <w:tr>
        <w:tc>
          <w:tcPr>
            <w:tcW w:type="dxa" w:w="3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Documents handled per cycle</w:t>
            </w:r>
          </w:p>
        </w:tc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</w:rPr>
              <w:t xml:space="preserve">[baseline]</w:t>
            </w:r>
          </w:p>
        </w:tc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</w:rPr>
              <w:t xml:space="preserve">[target]</w:t>
            </w:r>
          </w:p>
        </w:tc>
      </w:tr>
      <w:tr>
        <w:tc>
          <w:tcPr>
            <w:tcW w:type="dxa" w:w="3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Answers with a citation</w:t>
            </w:r>
          </w:p>
        </w:tc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</w:rPr>
              <w:t xml:space="preserve">[baseline]</w:t>
            </w:r>
          </w:p>
        </w:tc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</w:rPr>
              <w:t xml:space="preserve">100%</w:t>
            </w:r>
          </w:p>
        </w:tc>
      </w:tr>
      <w:tr>
        <w:tc>
          <w:tcPr>
            <w:tcW w:type="dxa" w:w="3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Reviewer consistency</w:t>
            </w:r>
          </w:p>
        </w:tc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</w:rPr>
              <w:t xml:space="preserve">[baseline]</w:t>
            </w:r>
          </w:p>
        </w:tc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</w:rPr>
              <w:t xml:space="preserve">[target]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7 · What we will need from you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</w:rPr>
        <w:t xml:space="preserve">A representative set of real documents for one cycle (the messier, the better).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</w:rPr>
        <w:t xml:space="preserve">Your current questions, scoring sheet, or the policy document(s) to be turned into rulebooks.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</w:rPr>
        <w:t xml:space="preserve">One or two named users who will run the cycle and give us feedback.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</w:rPr>
        <w:t xml:space="preserve">A 30-minute kickoff and a 30-minute review at the end.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8 · Commercials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Pilots are scoped per engagement, in conversation — sized to the volume and the capabilities in scope above. We will confirm the commercial terms for this pilot with </w:t>
      </w:r>
      <w:r>
        <w:rPr>
          <w:rFonts w:ascii="Arial" w:cs="Arial" w:eastAsia="Arial" w:hAnsi="Arial"/>
          <w:b/>
          <w:bCs/>
          <w:color w:val="2563EB"/>
        </w:rPr>
        <w:t xml:space="preserve">[CONTACT NAME]</w:t>
      </w:r>
      <w:r>
        <w:rPr>
          <w:rFonts w:ascii="Arial" w:cs="Arial" w:eastAsia="Arial" w:hAnsi="Arial"/>
        </w:rPr>
        <w:t xml:space="preserve"> directly before any work begins. There is no obligation to continue beyond the pilot.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9 · About DOCex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DOCex was built from a volunteer engagement with TA Connect, a public-health NGO in Abuja whose sub-award team screens 200+ partner applications a cycle. It is designed for teams working under real deadlines in demanding environments: fast, trustworthy, and built so the person reviewing documents at 11pm before a deadline is respected, not slowed down. Every answer is cited; every decision leaves a trail that holds up later.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10 · Next steps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If this looks right, reply to confirm scope and we will send a kickoff date. To formalise, sign below.</w:t>
      </w:r>
    </w:p>
    <w:p>
      <w:pPr>
        <w:spacing w:after="0" w:before="360"/>
      </w:pPr>
      <w:r>
        <w:rPr>
          <w:rFonts w:ascii="Arial" w:cs="Arial" w:eastAsia="Arial" w:hAnsi="Arial"/>
          <w:color w:val="475569"/>
        </w:rPr>
        <w:t xml:space="preserve">Agreed for </w:t>
      </w:r>
      <w:r>
        <w:rPr>
          <w:rFonts w:ascii="Arial" w:cs="Arial" w:eastAsia="Arial" w:hAnsi="Arial"/>
          <w:b/>
          <w:bCs/>
          <w:color w:val="2563EB"/>
        </w:rPr>
        <w:t xml:space="preserve">[CLIENT ORGANISATION]</w:t>
      </w:r>
    </w:p>
    <w:p>
      <w:pPr>
        <w:tabs>
          <w:tab w:val="right" w:pos="9026"/>
        </w:tabs>
        <w:spacing w:before="520"/>
      </w:pPr>
      <w:r>
        <w:rPr>
          <w:rFonts w:ascii="Arial" w:cs="Arial" w:eastAsia="Arial" w:hAnsi="Arial"/>
          <w:color w:val="1E293B"/>
        </w:rPr>
        <w:t xml:space="preserve">_______________________________</w:t>
      </w:r>
      <w:r>
        <w:rPr>
          <w:rFonts w:ascii="Arial" w:cs="Arial" w:eastAsia="Arial" w:hAnsi="Arial"/>
        </w:rPr>
        <w:t xml:space="preserve">	Farid — DOCex</w:t>
      </w:r>
    </w:p>
    <w:p>
      <w:pPr>
        <w:tabs>
          <w:tab w:val="right" w:pos="9026"/>
        </w:tabs>
        <w:spacing w:before="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Name / title / date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	founder@docex.app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EC" w:sz="4" w:space="6"/>
      </w:pBdr>
      <w:tabs>
        <w:tab w:val="right" w:pos="9026"/>
      </w:tabs>
    </w:pPr>
    <w:r>
      <w:rPr>
        <w:rFonts w:ascii="Arial" w:cs="Arial" w:eastAsia="Arial" w:hAnsi="Arial"/>
        <w:color w:val="475569"/>
        <w:sz w:val="16"/>
        <w:szCs w:val="16"/>
      </w:rPr>
      <w:t xml:space="preserve">DOCex · Pilot Proposal</w:t>
    </w:r>
    <w:r>
      <w:rPr>
        <w:rFonts w:ascii="Arial" w:cs="Arial" w:eastAsia="Arial" w:hAnsi="Arial"/>
        <w:color w:val="47556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6"/>
      </w:pBdr>
      <w:spacing w:after="140" w:before="280"/>
      <w:outlineLvl w:val="0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1E29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660e123e53963fc6d0504b163ce0754e9ce490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2026-06-11T09:37:37.012Z</dcterms:created>
  <dcterms:modified xsi:type="dcterms:W3CDTF">2026-06-11T09:37:37.015Z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