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pPr>
      <w:r>
        <w:rPr>
          <w:rFonts w:ascii="Calibri" w:cs="Calibri" w:eastAsia="Calibri" w:hAnsi="Calibri"/>
          <w:b/>
          <w:bCs/>
          <w:color w:val="6B7280"/>
          <w:sz w:val="24"/>
          <w:szCs w:val="24"/>
        </w:rPr>
        <w:t xml:space="preserve">MICHIKA LABS LIMITED</w:t>
      </w:r>
    </w:p>
    <w:p>
      <w:pPr>
        <w:spacing w:after="100"/>
      </w:pPr>
      <w:r>
        <w:rPr>
          <w:rFonts w:ascii="Calibri" w:cs="Calibri" w:eastAsia="Calibri" w:hAnsi="Calibri"/>
          <w:b/>
          <w:bCs/>
          <w:color w:val="1F3A5F"/>
          <w:sz w:val="46"/>
          <w:szCs w:val="46"/>
        </w:rPr>
        <w:t xml:space="preserve">Offer for Neem Foundation</w:t>
      </w:r>
    </w:p>
    <w:p>
      <w:pPr>
        <w:spacing w:after="300"/>
      </w:pPr>
      <w:r>
        <w:rPr>
          <w:rFonts w:ascii="Calibri" w:cs="Calibri" w:eastAsia="Calibri" w:hAnsi="Calibri"/>
          <w:color w:val="374151"/>
          <w:sz w:val="24"/>
          <w:szCs w:val="24"/>
        </w:rPr>
        <w:t xml:space="preserve">DOCex — payment requisition, compliance and approval workflow</w:t>
      </w:r>
    </w:p>
    <w:tbl>
      <w:tblPr>
        <w:tblW w:type="dxa" w:w="8400"/>
        <w:tblBorders>
          <w:top w:val="single" w:color="D1D5DB" w:sz="4"/>
          <w:left w:val="single" w:color="D1D5DB" w:sz="4"/>
          <w:bottom w:val="single" w:color="D1D5DB" w:sz="4"/>
          <w:right w:val="single" w:color="D1D5DB" w:sz="4"/>
          <w:insideH w:val="single" w:color="D1D5DB" w:sz="4"/>
          <w:insideV w:val="single" w:color="D1D5DB" w:sz="4"/>
        </w:tblBorders>
      </w:tblPr>
      <w:tblGrid>
        <w:gridCol w:w="2400"/>
        <w:gridCol w:w="6000"/>
      </w:tblGrid>
      <w:tr>
        <w:tc>
          <w:tcPr>
            <w:tcW w:type="dxa" w:w="2400"/>
            <w:tcMar>
              <w:top w:type="dxa" w:w="80"/>
              <w:left w:type="dxa" w:w="120"/>
              <w:bottom w:type="dxa" w:w="80"/>
              <w:right w:type="dxa" w:w="120"/>
            </w:tcMar>
          </w:tcPr>
          <w:p>
            <w:pPr>
              <w:spacing w:after="0" w:line="240"/>
            </w:pPr>
            <w:r>
              <w:rPr>
                <w:rFonts w:ascii="Calibri" w:cs="Calibri" w:eastAsia="Calibri" w:hAnsi="Calibri"/>
                <w:color w:val="111827"/>
                <w:sz w:val="20"/>
                <w:szCs w:val="20"/>
              </w:rPr>
              <w:t xml:space="preserve">Prepared for</w:t>
            </w:r>
          </w:p>
        </w:tc>
        <w:tc>
          <w:tcPr>
            <w:tcW w:type="dxa" w:w="6000"/>
            <w:tcMar>
              <w:top w:type="dxa" w:w="80"/>
              <w:left w:type="dxa" w:w="120"/>
              <w:bottom w:type="dxa" w:w="80"/>
              <w:right w:type="dxa" w:w="120"/>
            </w:tcMar>
          </w:tcPr>
          <w:p>
            <w:pPr>
              <w:spacing w:after="0" w:line="240"/>
            </w:pPr>
            <w:r>
              <w:rPr>
                <w:rFonts w:ascii="Calibri" w:cs="Calibri" w:eastAsia="Calibri" w:hAnsi="Calibri"/>
                <w:color w:val="111827"/>
                <w:sz w:val="20"/>
                <w:szCs w:val="20"/>
              </w:rPr>
              <w:t xml:space="preserve">Neem Foundation</w:t>
            </w:r>
          </w:p>
        </w:tc>
      </w:tr>
      <w:tr>
        <w:tc>
          <w:tcPr>
            <w:tcW w:type="dxa" w:w="2400"/>
            <w:shd w:fill="F9FAFB" w:color="auto" w:val="clear"/>
            <w:tcMar>
              <w:top w:type="dxa" w:w="80"/>
              <w:left w:type="dxa" w:w="120"/>
              <w:bottom w:type="dxa" w:w="80"/>
              <w:right w:type="dxa" w:w="120"/>
            </w:tcMar>
          </w:tcPr>
          <w:p>
            <w:pPr>
              <w:spacing w:after="0" w:line="240"/>
            </w:pPr>
            <w:r>
              <w:rPr>
                <w:rFonts w:ascii="Calibri" w:cs="Calibri" w:eastAsia="Calibri" w:hAnsi="Calibri"/>
                <w:color w:val="111827"/>
                <w:sz w:val="20"/>
                <w:szCs w:val="20"/>
              </w:rPr>
              <w:t xml:space="preserve">Prepared by</w:t>
            </w:r>
          </w:p>
        </w:tc>
        <w:tc>
          <w:tcPr>
            <w:tcW w:type="dxa" w:w="6000"/>
            <w:shd w:fill="F9FAFB" w:color="auto" w:val="clear"/>
            <w:tcMar>
              <w:top w:type="dxa" w:w="80"/>
              <w:left w:type="dxa" w:w="120"/>
              <w:bottom w:type="dxa" w:w="80"/>
              <w:right w:type="dxa" w:w="120"/>
            </w:tcMar>
          </w:tcPr>
          <w:p>
            <w:pPr>
              <w:spacing w:after="0" w:line="240"/>
            </w:pPr>
            <w:r>
              <w:rPr>
                <w:rFonts w:ascii="Calibri" w:cs="Calibri" w:eastAsia="Calibri" w:hAnsi="Calibri"/>
                <w:color w:val="111827"/>
                <w:sz w:val="20"/>
                <w:szCs w:val="20"/>
              </w:rPr>
              <w:t xml:space="preserve">MICHIKA LABS LIMITED</w:t>
            </w:r>
          </w:p>
        </w:tc>
      </w:tr>
      <w:tr>
        <w:tc>
          <w:tcPr>
            <w:tcW w:type="dxa" w:w="2400"/>
            <w:tcMar>
              <w:top w:type="dxa" w:w="80"/>
              <w:left w:type="dxa" w:w="120"/>
              <w:bottom w:type="dxa" w:w="80"/>
              <w:right w:type="dxa" w:w="120"/>
            </w:tcMar>
          </w:tcPr>
          <w:p>
            <w:pPr>
              <w:spacing w:after="0" w:line="240"/>
            </w:pPr>
            <w:r>
              <w:rPr>
                <w:rFonts w:ascii="Calibri" w:cs="Calibri" w:eastAsia="Calibri" w:hAnsi="Calibri"/>
                <w:color w:val="111827"/>
                <w:sz w:val="20"/>
                <w:szCs w:val="20"/>
              </w:rPr>
              <w:t xml:space="preserve">Date</w:t>
            </w:r>
          </w:p>
        </w:tc>
        <w:tc>
          <w:tcPr>
            <w:tcW w:type="dxa" w:w="6000"/>
            <w:tcMar>
              <w:top w:type="dxa" w:w="80"/>
              <w:left w:type="dxa" w:w="120"/>
              <w:bottom w:type="dxa" w:w="80"/>
              <w:right w:type="dxa" w:w="120"/>
            </w:tcMar>
          </w:tcPr>
          <w:p>
            <w:pPr>
              <w:spacing w:after="0" w:line="240"/>
            </w:pPr>
            <w:r>
              <w:rPr>
                <w:rFonts w:ascii="Calibri" w:cs="Calibri" w:eastAsia="Calibri" w:hAnsi="Calibri"/>
                <w:color w:val="111827"/>
                <w:sz w:val="20"/>
                <w:szCs w:val="20"/>
              </w:rPr>
              <w:t xml:space="preserve">_______________________</w:t>
            </w:r>
          </w:p>
        </w:tc>
      </w:tr>
      <w:tr>
        <w:tc>
          <w:tcPr>
            <w:tcW w:type="dxa" w:w="2400"/>
            <w:shd w:fill="F9FAFB" w:color="auto" w:val="clear"/>
            <w:tcMar>
              <w:top w:type="dxa" w:w="80"/>
              <w:left w:type="dxa" w:w="120"/>
              <w:bottom w:type="dxa" w:w="80"/>
              <w:right w:type="dxa" w:w="120"/>
            </w:tcMar>
          </w:tcPr>
          <w:p>
            <w:pPr>
              <w:spacing w:after="0" w:line="240"/>
            </w:pPr>
            <w:r>
              <w:rPr>
                <w:rFonts w:ascii="Calibri" w:cs="Calibri" w:eastAsia="Calibri" w:hAnsi="Calibri"/>
                <w:color w:val="111827"/>
                <w:sz w:val="20"/>
                <w:szCs w:val="20"/>
              </w:rPr>
              <w:t xml:space="preserve">Valid for</w:t>
            </w:r>
          </w:p>
        </w:tc>
        <w:tc>
          <w:tcPr>
            <w:tcW w:type="dxa" w:w="6000"/>
            <w:shd w:fill="F9FAFB" w:color="auto" w:val="clear"/>
            <w:tcMar>
              <w:top w:type="dxa" w:w="80"/>
              <w:left w:type="dxa" w:w="120"/>
              <w:bottom w:type="dxa" w:w="80"/>
              <w:right w:type="dxa" w:w="120"/>
            </w:tcMar>
          </w:tcPr>
          <w:p>
            <w:pPr>
              <w:spacing w:after="0" w:line="240"/>
            </w:pPr>
            <w:r>
              <w:rPr>
                <w:rFonts w:ascii="Calibri" w:cs="Calibri" w:eastAsia="Calibri" w:hAnsi="Calibri"/>
                <w:color w:val="111827"/>
                <w:sz w:val="20"/>
                <w:szCs w:val="20"/>
              </w:rPr>
              <w:t xml:space="preserve">30 days from the date above</w:t>
            </w:r>
          </w:p>
        </w:tc>
      </w:tr>
    </w:tbl>
    <w:p>
      <w:pPr>
        <w:spacing w:after="280"/>
      </w:pPr>
      <w:r>
        <w:rPr>
          <w:sz w:val="2"/>
          <w:szCs w:val="2"/>
        </w:rPr>
        <w:t xml:space="preserve"/>
      </w:r>
    </w:p>
    <w:p>
      <w:pPr>
        <w:pStyle w:val="Heading1"/>
        <w:spacing w:after="180" w:before="360"/>
      </w:pPr>
      <w:r>
        <w:rPr>
          <w:rFonts w:ascii="Calibri" w:cs="Calibri" w:eastAsia="Calibri" w:hAnsi="Calibri"/>
          <w:b/>
          <w:bCs/>
          <w:color w:val="1F3A5F"/>
          <w:sz w:val="30"/>
          <w:szCs w:val="30"/>
        </w:rPr>
        <w:t xml:space="preserve">1.  The offer in one page</w:t>
      </w:r>
    </w:p>
    <w:p>
      <w:pPr>
        <w:spacing w:after="140" w:line="276"/>
      </w:pPr>
      <w:r>
        <w:rPr>
          <w:rFonts w:ascii="Calibri" w:cs="Calibri" w:eastAsia="Calibri" w:hAnsi="Calibri"/>
          <w:color w:val="111827"/>
          <w:sz w:val="21"/>
          <w:szCs w:val="21"/>
        </w:rPr>
        <w:t xml:space="preserve">Neem asked to begin using the system in January. This offer is built around that date, in two phases.</w:t>
      </w:r>
    </w:p>
    <w:tbl>
      <w:tblPr>
        <w:tblW w:type="dxa" w:w="8400"/>
        <w:tblBorders>
          <w:top w:val="single" w:color="D1D5DB" w:sz="4"/>
          <w:left w:val="single" w:color="D1D5DB" w:sz="4"/>
          <w:bottom w:val="single" w:color="D1D5DB" w:sz="4"/>
          <w:right w:val="single" w:color="D1D5DB" w:sz="4"/>
          <w:insideH w:val="single" w:color="D1D5DB" w:sz="4"/>
          <w:insideV w:val="single" w:color="D1D5DB" w:sz="4"/>
        </w:tblBorders>
      </w:tblPr>
      <w:tblGrid>
        <w:gridCol w:w="1300"/>
        <w:gridCol w:w="3550"/>
        <w:gridCol w:w="3550"/>
      </w:tblGrid>
      <w:tr>
        <w:trPr>
          <w:tblHeader/>
        </w:trPr>
        <w:tc>
          <w:tcPr>
            <w:tcW w:type="dxa" w:w="1300"/>
            <w:shd w:fill="1F3A5F" w:color="auto" w:val="clear"/>
            <w:tcMar>
              <w:top w:type="dxa" w:w="80"/>
              <w:left w:type="dxa" w:w="120"/>
              <w:bottom w:type="dxa" w:w="80"/>
              <w:right w:type="dxa" w:w="120"/>
            </w:tcMar>
          </w:tcPr>
          <w:p>
            <w:pPr>
              <w:spacing w:after="0" w:line="240"/>
            </w:pPr>
            <w:r>
              <w:rPr>
                <w:rFonts w:ascii="Calibri" w:cs="Calibri" w:eastAsia="Calibri" w:hAnsi="Calibri"/>
                <w:b/>
                <w:bCs/>
                <w:color w:val="FFFFFF"/>
                <w:sz w:val="20"/>
                <w:szCs w:val="20"/>
              </w:rPr>
              <w:t xml:space="preserve"/>
            </w:r>
          </w:p>
        </w:tc>
        <w:tc>
          <w:tcPr>
            <w:tcW w:type="dxa" w:w="3550"/>
            <w:shd w:fill="1F3A5F" w:color="auto" w:val="clear"/>
            <w:tcMar>
              <w:top w:type="dxa" w:w="80"/>
              <w:left w:type="dxa" w:w="120"/>
              <w:bottom w:type="dxa" w:w="80"/>
              <w:right w:type="dxa" w:w="120"/>
            </w:tcMar>
          </w:tcPr>
          <w:p>
            <w:pPr>
              <w:spacing w:after="0" w:line="240"/>
            </w:pPr>
            <w:r>
              <w:rPr>
                <w:rFonts w:ascii="Calibri" w:cs="Calibri" w:eastAsia="Calibri" w:hAnsi="Calibri"/>
                <w:b/>
                <w:bCs/>
                <w:color w:val="FFFFFF"/>
                <w:sz w:val="20"/>
                <w:szCs w:val="20"/>
              </w:rPr>
              <w:t xml:space="preserve">Deployment</w:t>
            </w:r>
          </w:p>
        </w:tc>
        <w:tc>
          <w:tcPr>
            <w:tcW w:type="dxa" w:w="3550"/>
            <w:shd w:fill="1F3A5F" w:color="auto" w:val="clear"/>
            <w:tcMar>
              <w:top w:type="dxa" w:w="80"/>
              <w:left w:type="dxa" w:w="120"/>
              <w:bottom w:type="dxa" w:w="80"/>
              <w:right w:type="dxa" w:w="120"/>
            </w:tcMar>
          </w:tcPr>
          <w:p>
            <w:pPr>
              <w:spacing w:after="0" w:line="240"/>
            </w:pPr>
            <w:r>
              <w:rPr>
                <w:rFonts w:ascii="Calibri" w:cs="Calibri" w:eastAsia="Calibri" w:hAnsi="Calibri"/>
                <w:b/>
                <w:bCs/>
                <w:color w:val="FFFFFF"/>
                <w:sz w:val="20"/>
                <w:szCs w:val="20"/>
              </w:rPr>
              <w:t xml:space="preserve">Service</w:t>
            </w:r>
          </w:p>
        </w:tc>
      </w:tr>
      <w:tr>
        <w:tc>
          <w:tcPr>
            <w:tcW w:type="dxa" w:w="1300"/>
            <w:tcMar>
              <w:top w:type="dxa" w:w="80"/>
              <w:left w:type="dxa" w:w="120"/>
              <w:bottom w:type="dxa" w:w="80"/>
              <w:right w:type="dxa" w:w="120"/>
            </w:tcMar>
          </w:tcPr>
          <w:p>
            <w:pPr>
              <w:spacing w:after="0" w:line="240"/>
            </w:pPr>
            <w:r>
              <w:rPr>
                <w:rFonts w:ascii="Calibri" w:cs="Calibri" w:eastAsia="Calibri" w:hAnsi="Calibri"/>
                <w:color w:val="111827"/>
                <w:sz w:val="20"/>
                <w:szCs w:val="20"/>
              </w:rPr>
              <w:t xml:space="preserve">When</w:t>
            </w:r>
          </w:p>
        </w:tc>
        <w:tc>
          <w:tcPr>
            <w:tcW w:type="dxa" w:w="3550"/>
            <w:tcMar>
              <w:top w:type="dxa" w:w="80"/>
              <w:left w:type="dxa" w:w="120"/>
              <w:bottom w:type="dxa" w:w="80"/>
              <w:right w:type="dxa" w:w="120"/>
            </w:tcMar>
          </w:tcPr>
          <w:p>
            <w:pPr>
              <w:spacing w:after="0" w:line="240"/>
              <w:jc w:val="left"/>
            </w:pPr>
            <w:r>
              <w:rPr>
                <w:rFonts w:ascii="Calibri" w:cs="Calibri" w:eastAsia="Calibri" w:hAnsi="Calibri"/>
                <w:color w:val="111827"/>
                <w:sz w:val="20"/>
                <w:szCs w:val="20"/>
              </w:rPr>
              <w:t xml:space="preserve">November – December 2026</w:t>
            </w:r>
          </w:p>
        </w:tc>
        <w:tc>
          <w:tcPr>
            <w:tcW w:type="dxa" w:w="3550"/>
            <w:tcMar>
              <w:top w:type="dxa" w:w="80"/>
              <w:left w:type="dxa" w:w="120"/>
              <w:bottom w:type="dxa" w:w="80"/>
              <w:right w:type="dxa" w:w="120"/>
            </w:tcMar>
          </w:tcPr>
          <w:p>
            <w:pPr>
              <w:spacing w:after="0" w:line="240"/>
              <w:jc w:val="left"/>
            </w:pPr>
            <w:r>
              <w:rPr>
                <w:rFonts w:ascii="Calibri" w:cs="Calibri" w:eastAsia="Calibri" w:hAnsi="Calibri"/>
                <w:color w:val="111827"/>
                <w:sz w:val="20"/>
                <w:szCs w:val="20"/>
              </w:rPr>
              <w:t xml:space="preserve">From 1 January 2027</w:t>
            </w:r>
          </w:p>
        </w:tc>
      </w:tr>
      <w:tr>
        <w:tc>
          <w:tcPr>
            <w:tcW w:type="dxa" w:w="1300"/>
            <w:shd w:fill="F9FAFB" w:color="auto" w:val="clear"/>
            <w:tcMar>
              <w:top w:type="dxa" w:w="80"/>
              <w:left w:type="dxa" w:w="120"/>
              <w:bottom w:type="dxa" w:w="80"/>
              <w:right w:type="dxa" w:w="120"/>
            </w:tcMar>
          </w:tcPr>
          <w:p>
            <w:pPr>
              <w:spacing w:after="0" w:line="240"/>
            </w:pPr>
            <w:r>
              <w:rPr>
                <w:rFonts w:ascii="Calibri" w:cs="Calibri" w:eastAsia="Calibri" w:hAnsi="Calibri"/>
                <w:color w:val="111827"/>
                <w:sz w:val="20"/>
                <w:szCs w:val="20"/>
              </w:rPr>
              <w:t xml:space="preserve">What</w:t>
            </w:r>
          </w:p>
        </w:tc>
        <w:tc>
          <w:tcPr>
            <w:tcW w:type="dxa" w:w="3550"/>
            <w:shd w:fill="F9FAFB" w:color="auto" w:val="clear"/>
            <w:tcMar>
              <w:top w:type="dxa" w:w="80"/>
              <w:left w:type="dxa" w:w="120"/>
              <w:bottom w:type="dxa" w:w="80"/>
              <w:right w:type="dxa" w:w="120"/>
            </w:tcMar>
          </w:tcPr>
          <w:p>
            <w:pPr>
              <w:spacing w:after="0" w:line="240"/>
              <w:jc w:val="left"/>
            </w:pPr>
            <w:r>
              <w:rPr>
                <w:rFonts w:ascii="Calibri" w:cs="Calibri" w:eastAsia="Calibri" w:hAnsi="Calibri"/>
                <w:color w:val="111827"/>
                <w:sz w:val="20"/>
                <w:szCs w:val="20"/>
              </w:rPr>
              <w:t xml:space="preserve">We deploy, configure against your policies, run it alongside your team, and train your staff</w:t>
            </w:r>
          </w:p>
        </w:tc>
        <w:tc>
          <w:tcPr>
            <w:tcW w:type="dxa" w:w="3550"/>
            <w:shd w:fill="F9FAFB" w:color="auto" w:val="clear"/>
            <w:tcMar>
              <w:top w:type="dxa" w:w="80"/>
              <w:left w:type="dxa" w:w="120"/>
              <w:bottom w:type="dxa" w:w="80"/>
              <w:right w:type="dxa" w:w="120"/>
            </w:tcMar>
          </w:tcPr>
          <w:p>
            <w:pPr>
              <w:spacing w:after="0" w:line="240"/>
              <w:jc w:val="left"/>
            </w:pPr>
            <w:r>
              <w:rPr>
                <w:rFonts w:ascii="Calibri" w:cs="Calibri" w:eastAsia="Calibri" w:hAnsi="Calibri"/>
                <w:color w:val="111827"/>
                <w:sz w:val="20"/>
                <w:szCs w:val="20"/>
              </w:rPr>
              <w:t xml:space="preserve">Neem runs its payments on DOCex; we operate and support it</w:t>
            </w:r>
          </w:p>
        </w:tc>
      </w:tr>
      <w:tr>
        <w:tc>
          <w:tcPr>
            <w:tcW w:type="dxa" w:w="1300"/>
            <w:tcMar>
              <w:top w:type="dxa" w:w="80"/>
              <w:left w:type="dxa" w:w="120"/>
              <w:bottom w:type="dxa" w:w="80"/>
              <w:right w:type="dxa" w:w="120"/>
            </w:tcMar>
          </w:tcPr>
          <w:p>
            <w:pPr>
              <w:spacing w:after="0" w:line="240"/>
            </w:pPr>
            <w:r>
              <w:rPr>
                <w:rFonts w:ascii="Calibri" w:cs="Calibri" w:eastAsia="Calibri" w:hAnsi="Calibri"/>
                <w:color w:val="111827"/>
                <w:sz w:val="20"/>
                <w:szCs w:val="20"/>
              </w:rPr>
              <w:t xml:space="preserve">Cost</w:t>
            </w:r>
          </w:p>
        </w:tc>
        <w:tc>
          <w:tcPr>
            <w:tcW w:type="dxa" w:w="3550"/>
            <w:tcMar>
              <w:top w:type="dxa" w:w="80"/>
              <w:left w:type="dxa" w:w="120"/>
              <w:bottom w:type="dxa" w:w="80"/>
              <w:right w:type="dxa" w:w="120"/>
            </w:tcMar>
          </w:tcPr>
          <w:p>
            <w:pPr>
              <w:spacing w:after="0" w:line="240"/>
              <w:jc w:val="left"/>
            </w:pPr>
            <w:r>
              <w:rPr>
                <w:rFonts w:ascii="Calibri" w:cs="Calibri" w:eastAsia="Calibri" w:hAnsi="Calibri"/>
                <w:color w:val="111827"/>
                <w:sz w:val="20"/>
                <w:szCs w:val="20"/>
              </w:rPr>
              <w:t xml:space="preserve">₦300,000 per month</w:t>
            </w:r>
          </w:p>
        </w:tc>
        <w:tc>
          <w:tcPr>
            <w:tcW w:type="dxa" w:w="3550"/>
            <w:tcMar>
              <w:top w:type="dxa" w:w="80"/>
              <w:left w:type="dxa" w:w="120"/>
              <w:bottom w:type="dxa" w:w="80"/>
              <w:right w:type="dxa" w:w="120"/>
            </w:tcMar>
          </w:tcPr>
          <w:p>
            <w:pPr>
              <w:spacing w:after="0" w:line="240"/>
              <w:jc w:val="left"/>
            </w:pPr>
            <w:r>
              <w:rPr>
                <w:rFonts w:ascii="Calibri" w:cs="Calibri" w:eastAsia="Calibri" w:hAnsi="Calibri"/>
                <w:color w:val="111827"/>
                <w:sz w:val="20"/>
                <w:szCs w:val="20"/>
              </w:rPr>
              <w:t xml:space="preserve">₦450,000 per month</w:t>
            </w:r>
          </w:p>
        </w:tc>
      </w:tr>
    </w:tbl>
    <w:p>
      <w:pPr>
        <w:spacing w:after="200"/>
      </w:pPr>
      <w:r>
        <w:rPr>
          <w:sz w:val="2"/>
          <w:szCs w:val="2"/>
        </w:rPr>
        <w:t xml:space="preserve"/>
      </w:r>
    </w:p>
    <w:p>
      <w:pPr>
        <w:spacing w:after="140" w:line="276"/>
      </w:pPr>
      <w:r>
        <w:rPr>
          <w:rFonts w:ascii="Calibri" w:cs="Calibri" w:eastAsia="Calibri" w:hAnsi="Calibri"/>
          <w:b/>
          <w:bCs/>
          <w:color w:val="111827"/>
          <w:sz w:val="21"/>
          <w:szCs w:val="21"/>
        </w:rPr>
        <w:t xml:space="preserve">Why two phases rather than a long unpaid setup. </w:t>
      </w:r>
      <w:r>
        <w:rPr>
          <w:rFonts w:ascii="Calibri" w:cs="Calibri" w:eastAsia="Calibri" w:hAnsi="Calibri"/>
          <w:b w:val="false"/>
          <w:bCs w:val="false"/>
          <w:color w:val="111827"/>
          <w:sz w:val="21"/>
          <w:szCs w:val="21"/>
        </w:rPr>
        <w:t xml:space="preserve">Configuring a finance system against a real organisation is the work, not the preparation for it. During deployment your policies are translated into the system, your people are trained on it, and your first payments run through it with us sitting alongside. Charging for that period keeps it short and keeps it finished — an open-ended setup has no date on which anybody has to be ready.</w:t>
      </w:r>
    </w:p>
    <w:p>
      <w:pPr>
        <w:spacing w:after="140"/>
      </w:pPr>
      <w:r>
        <w:rPr>
          <w:sz w:val="2"/>
          <w:szCs w:val="2"/>
        </w:rPr>
        <w:t xml:space="preserve"/>
      </w:r>
    </w:p>
    <w:p>
      <w:pPr>
        <w:pStyle w:val="Heading1"/>
        <w:spacing w:after="180" w:before="360"/>
      </w:pPr>
      <w:r>
        <w:rPr>
          <w:rFonts w:ascii="Calibri" w:cs="Calibri" w:eastAsia="Calibri" w:hAnsi="Calibri"/>
          <w:b/>
          <w:bCs/>
          <w:color w:val="1F3A5F"/>
          <w:sz w:val="30"/>
          <w:szCs w:val="30"/>
        </w:rPr>
        <w:t xml:space="preserve">2.  Deployment — November and December</w:t>
      </w:r>
    </w:p>
    <w:p>
      <w:pPr>
        <w:spacing w:after="140" w:line="276"/>
      </w:pPr>
      <w:r>
        <w:rPr>
          <w:rFonts w:ascii="Calibri" w:cs="Calibri" w:eastAsia="Calibri" w:hAnsi="Calibri"/>
          <w:color w:val="111827"/>
          <w:sz w:val="21"/>
          <w:szCs w:val="21"/>
        </w:rPr>
        <w:t xml:space="preserve">₦300,000 per month, invoiced monthly. This is a reduced rate for the period in which Neem is not yet relying on the system.</w:t>
      </w:r>
    </w:p>
    <w:p>
      <w:pPr>
        <w:spacing w:after="140" w:line="276"/>
      </w:pPr>
      <w:r>
        <w:rPr>
          <w:rFonts w:ascii="Calibri" w:cs="Calibri" w:eastAsia="Calibri" w:hAnsi="Calibri"/>
          <w:b/>
          <w:bCs/>
          <w:color w:val="111827"/>
          <w:sz w:val="21"/>
          <w:szCs w:val="21"/>
        </w:rPr>
        <w:t xml:space="preserve">Your policies become the system's rules. </w:t>
      </w:r>
      <w:r>
        <w:rPr>
          <w:rFonts w:ascii="Calibri" w:cs="Calibri" w:eastAsia="Calibri" w:hAnsi="Calibri"/>
          <w:b w:val="false"/>
          <w:bCs w:val="false"/>
          <w:color w:val="111827"/>
          <w:sz w:val="21"/>
          <w:szCs w:val="21"/>
        </w:rPr>
        <w:t xml:space="preserve">Your approval chain, spend bands, the nineteen document packs from your Finance Processes deck, your chart of accounts, project codes and reference format. Much of this is already built from the documents you have given us.</w:t>
      </w:r>
    </w:p>
    <w:p>
      <w:pPr>
        <w:spacing w:after="140" w:line="276"/>
      </w:pPr>
      <w:r>
        <w:rPr>
          <w:rFonts w:ascii="Calibri" w:cs="Calibri" w:eastAsia="Calibri" w:hAnsi="Calibri"/>
          <w:b/>
          <w:bCs/>
          <w:color w:val="111827"/>
          <w:sz w:val="21"/>
          <w:szCs w:val="21"/>
        </w:rPr>
        <w:t xml:space="preserve">We test it against payments you have already made. </w:t>
      </w:r>
      <w:r>
        <w:rPr>
          <w:rFonts w:ascii="Calibri" w:cs="Calibri" w:eastAsia="Calibri" w:hAnsi="Calibri"/>
          <w:b w:val="false"/>
          <w:bCs w:val="false"/>
          <w:color w:val="111827"/>
          <w:sz w:val="21"/>
          <w:szCs w:val="21"/>
        </w:rPr>
        <w:t xml:space="preserve">We run historical payments through the configuration and confirm the system reaches the same answers your team did. You see that comparison before you rely on it.</w:t>
      </w:r>
    </w:p>
    <w:p>
      <w:pPr>
        <w:spacing w:after="140" w:line="276"/>
      </w:pPr>
      <w:r>
        <w:rPr>
          <w:rFonts w:ascii="Calibri" w:cs="Calibri" w:eastAsia="Calibri" w:hAnsi="Calibri"/>
          <w:b/>
          <w:bCs/>
          <w:color w:val="111827"/>
          <w:sz w:val="21"/>
          <w:szCs w:val="21"/>
        </w:rPr>
        <w:t xml:space="preserve">Your people are trained on it. </w:t>
      </w:r>
      <w:r>
        <w:rPr>
          <w:rFonts w:ascii="Calibri" w:cs="Calibri" w:eastAsia="Calibri" w:hAnsi="Calibri"/>
          <w:b w:val="false"/>
          <w:bCs w:val="false"/>
          <w:color w:val="111827"/>
          <w:sz w:val="21"/>
          <w:szCs w:val="21"/>
        </w:rPr>
        <w:t xml:space="preserve">Two sessions plus a written guide reflecting your own configuration, not a generic manual. Further sessions during the period at no charge.</w:t>
      </w:r>
    </w:p>
    <w:p>
      <w:pPr>
        <w:spacing w:after="140" w:line="276"/>
      </w:pPr>
      <w:r>
        <w:rPr>
          <w:rFonts w:ascii="Calibri" w:cs="Calibri" w:eastAsia="Calibri" w:hAnsi="Calibri"/>
          <w:b/>
          <w:bCs/>
          <w:color w:val="111827"/>
          <w:sz w:val="21"/>
          <w:szCs w:val="21"/>
        </w:rPr>
        <w:t xml:space="preserve">We run your first cycles with you. </w:t>
      </w:r>
      <w:r>
        <w:rPr>
          <w:rFonts w:ascii="Calibri" w:cs="Calibri" w:eastAsia="Calibri" w:hAnsi="Calibri"/>
          <w:b w:val="false"/>
          <w:bCs w:val="false"/>
          <w:color w:val="111827"/>
          <w:sz w:val="21"/>
          <w:szCs w:val="21"/>
        </w:rPr>
        <w:t xml:space="preserve">Your first weekly payment run and your first month-end, alongside your team rather than handed over with a phone number.</w:t>
      </w:r>
    </w:p>
    <w:p>
      <w:pPr>
        <w:spacing w:after="140" w:line="276"/>
      </w:pPr>
      <w:r>
        <w:rPr>
          <w:rFonts w:ascii="Calibri" w:cs="Calibri" w:eastAsia="Calibri" w:hAnsi="Calibri"/>
          <w:b/>
          <w:bCs/>
          <w:color w:val="111827"/>
          <w:sz w:val="21"/>
          <w:szCs w:val="21"/>
        </w:rPr>
        <w:t xml:space="preserve">Adjustments during this period are included. </w:t>
      </w:r>
      <w:r>
        <w:rPr>
          <w:rFonts w:ascii="Calibri" w:cs="Calibri" w:eastAsia="Calibri" w:hAnsi="Calibri"/>
          <w:b w:val="false"/>
          <w:bCs w:val="false"/>
          <w:color w:val="111827"/>
          <w:sz w:val="21"/>
          <w:szCs w:val="21"/>
        </w:rPr>
        <w:t xml:space="preserve">Thresholds, categories, document packs, approval stages, users, new accounts and new grant codes. This is what the deployment period is for.</w:t>
      </w:r>
    </w:p>
    <w:p>
      <w:pPr>
        <w:spacing w:after="60"/>
      </w:pPr>
      <w:r>
        <w:rPr>
          <w:sz w:val="2"/>
          <w:szCs w:val="2"/>
        </w:rPr>
        <w:t xml:space="preserve"/>
      </w:r>
    </w:p>
    <w:tbl>
      <w:tblPr>
        <w:tblW w:type="dxa" w:w="8400"/>
        <w:tblBorders>
          <w:top w:val="single" w:color="E5E7EB" w:sz="4"/>
          <w:left w:val="single" w:color="1F3A5F" w:sz="18"/>
          <w:bottom w:val="single" w:color="E5E7EB" w:sz="4"/>
          <w:right w:val="single" w:color="E5E7EB" w:sz="4"/>
          <w:insideH w:val="none"/>
          <w:insideV w:val="none"/>
        </w:tblBorders>
      </w:tblPr>
      <w:tblGrid>
        <w:gridCol w:w="8400"/>
      </w:tblGrid>
      <w:tr>
        <w:trPr>
          <w:cantSplit/>
        </w:trPr>
        <w:tc>
          <w:tcPr>
            <w:tcW w:type="dxa" w:w="8400"/>
            <w:shd w:fill="F8FAFC" w:color="auto" w:val="clear"/>
            <w:tcMar>
              <w:top w:type="dxa" w:w="160"/>
              <w:left w:type="dxa" w:w="220"/>
              <w:bottom w:type="dxa" w:w="160"/>
              <w:right w:type="dxa" w:w="200"/>
            </w:tcMar>
          </w:tcPr>
          <w:p>
            <w:pPr>
              <w:spacing w:after="0" w:line="276"/>
            </w:pPr>
            <w:r>
              <w:rPr>
                <w:rFonts w:ascii="Calibri" w:cs="Calibri" w:eastAsia="Calibri" w:hAnsi="Calibri"/>
                <w:b/>
                <w:bCs/>
                <w:color w:val="111827"/>
                <w:sz w:val="21"/>
                <w:szCs w:val="21"/>
              </w:rPr>
              <w:t xml:space="preserve">At the end of December, Neem decides. </w:t>
            </w:r>
            <w:r>
              <w:rPr>
                <w:rFonts w:ascii="Calibri" w:cs="Calibri" w:eastAsia="Calibri" w:hAnsi="Calibri"/>
                <w:b w:val="false"/>
                <w:bCs w:val="false"/>
                <w:color w:val="111827"/>
                <w:sz w:val="21"/>
                <w:szCs w:val="21"/>
              </w:rPr>
              <w:t xml:space="preserve">If the system has done what this document says it will, it converts to the service in section 3 from 1 January. If it has not, Neem owes nothing further and walks away with a complete export of everything in it. There is no penalty and no notice period to serve.</w:t>
            </w:r>
          </w:p>
        </w:tc>
      </w:tr>
    </w:tbl>
    <w:p>
      <w:pPr>
        <w:spacing w:after="200"/>
      </w:pPr>
      <w:r>
        <w:rPr>
          <w:sz w:val="2"/>
          <w:szCs w:val="2"/>
        </w:rPr>
        <w:t xml:space="preserve"/>
      </w:r>
    </w:p>
    <w:p>
      <w:pPr>
        <w:pStyle w:val="Heading1"/>
        <w:spacing w:after="180" w:before="360"/>
      </w:pPr>
      <w:r>
        <w:rPr>
          <w:rFonts w:ascii="Calibri" w:cs="Calibri" w:eastAsia="Calibri" w:hAnsi="Calibri"/>
          <w:b/>
          <w:bCs/>
          <w:color w:val="1F3A5F"/>
          <w:sz w:val="30"/>
          <w:szCs w:val="30"/>
        </w:rPr>
        <w:t xml:space="preserve">3.  Service — from January</w:t>
      </w:r>
    </w:p>
    <w:p>
      <w:pPr>
        <w:spacing w:after="140" w:line="276"/>
      </w:pPr>
      <w:r>
        <w:rPr>
          <w:rFonts w:ascii="Calibri" w:cs="Calibri" w:eastAsia="Calibri" w:hAnsi="Calibri"/>
          <w:color w:val="111827"/>
          <w:sz w:val="21"/>
          <w:szCs w:val="21"/>
        </w:rPr>
        <w:t xml:space="preserve">₦450,000 per month, invoiced monthly in advance, payable within 14 days. No charge per user — everyone at Neem who needs visibility should have it without that decision costing anything.</w:t>
      </w:r>
    </w:p>
    <w:p>
      <w:pPr>
        <w:spacing w:after="140" w:line="276"/>
      </w:pPr>
      <w:r>
        <w:rPr>
          <w:rFonts w:ascii="Calibri" w:cs="Calibri" w:eastAsia="Calibri" w:hAnsi="Calibri"/>
          <w:b/>
          <w:bCs/>
          <w:color w:val="111827"/>
          <w:sz w:val="21"/>
          <w:szCs w:val="21"/>
        </w:rPr>
        <w:t xml:space="preserve">Included: </w:t>
      </w:r>
      <w:r>
        <w:rPr>
          <w:rFonts w:ascii="Calibri" w:cs="Calibri" w:eastAsia="Calibri" w:hAnsi="Calibri"/>
          <w:b w:val="false"/>
          <w:bCs w:val="false"/>
          <w:color w:val="111827"/>
          <w:sz w:val="21"/>
          <w:szCs w:val="21"/>
        </w:rPr>
        <w:t xml:space="preserve">the platform, unlimited users, hosting, all configuration changes, support with a named contact, further training, monthly data exports, and platform improvements as they are released.</w:t>
      </w:r>
    </w:p>
    <w:p>
      <w:pPr>
        <w:spacing w:after="140" w:line="276"/>
      </w:pPr>
      <w:r>
        <w:rPr>
          <w:rFonts w:ascii="Calibri" w:cs="Calibri" w:eastAsia="Calibri" w:hAnsi="Calibri"/>
          <w:b/>
          <w:bCs/>
          <w:color w:val="111827"/>
          <w:sz w:val="21"/>
          <w:szCs w:val="21"/>
        </w:rPr>
        <w:t xml:space="preserve">Initial term: six months from 1 January</w:t>
      </w:r>
      <w:r>
        <w:rPr>
          <w:rFonts w:ascii="Calibri" w:cs="Calibri" w:eastAsia="Calibri" w:hAnsi="Calibri"/>
          <w:b w:val="false"/>
          <w:bCs w:val="false"/>
          <w:color w:val="111827"/>
          <w:sz w:val="21"/>
          <w:szCs w:val="21"/>
        </w:rPr>
        <w:t xml:space="preserve">, reviewed at the end. After that it continues monthly and either party may end it on 30 days' notice.</w:t>
      </w:r>
    </w:p>
    <w:p>
      <w:pPr>
        <w:spacing w:after="140"/>
      </w:pPr>
      <w:r>
        <w:rPr>
          <w:sz w:val="2"/>
          <w:szCs w:val="2"/>
        </w:rPr>
        <w:t xml:space="preserve"/>
      </w:r>
    </w:p>
    <w:p>
      <w:pPr>
        <w:pStyle w:val="Heading1"/>
        <w:spacing w:after="180" w:before="360"/>
      </w:pPr>
      <w:r>
        <w:rPr>
          <w:rFonts w:ascii="Calibri" w:cs="Calibri" w:eastAsia="Calibri" w:hAnsi="Calibri"/>
          <w:b/>
          <w:bCs/>
          <w:color w:val="1F3A5F"/>
          <w:sz w:val="30"/>
          <w:szCs w:val="30"/>
        </w:rPr>
        <w:t xml:space="preserve">4.  What is the system, and what is extra</w:t>
      </w:r>
    </w:p>
    <w:p>
      <w:pPr>
        <w:spacing w:after="140" w:line="276"/>
      </w:pPr>
      <w:r>
        <w:rPr>
          <w:rFonts w:ascii="Calibri" w:cs="Calibri" w:eastAsia="Calibri" w:hAnsi="Calibri"/>
          <w:color w:val="111827"/>
          <w:sz w:val="21"/>
          <w:szCs w:val="21"/>
        </w:rPr>
        <w:t xml:space="preserve">The core system is payment requisition, compliance checking and the approval workflow — everything a payment passes through from memo to bank, and the audit trail it leaves behind. That is what the monthly fee buys.</w:t>
      </w:r>
    </w:p>
    <w:p>
      <w:pPr>
        <w:spacing w:after="140" w:line="276"/>
      </w:pPr>
      <w:r>
        <w:rPr>
          <w:rFonts w:ascii="Calibri" w:cs="Calibri" w:eastAsia="Calibri" w:hAnsi="Calibri"/>
          <w:color w:val="111827"/>
          <w:sz w:val="21"/>
          <w:szCs w:val="21"/>
        </w:rPr>
        <w:t xml:space="preserve">Other capabilities are built and available, and are priced separately because not every organisation needs them:</w:t>
      </w:r>
    </w:p>
    <w:tbl>
      <w:tblPr>
        <w:tblW w:type="dxa" w:w="84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4500"/>
        <w:gridCol w:w="1800"/>
      </w:tblGrid>
      <w:tr>
        <w:trPr>
          <w:tblHeader/>
        </w:trPr>
        <w:tc>
          <w:tcPr>
            <w:tcW w:type="dxa" w:w="2100"/>
            <w:shd w:fill="1F3A5F" w:color="auto" w:val="clear"/>
            <w:tcMar>
              <w:top w:type="dxa" w:w="80"/>
              <w:left w:type="dxa" w:w="120"/>
              <w:bottom w:type="dxa" w:w="80"/>
              <w:right w:type="dxa" w:w="120"/>
            </w:tcMar>
          </w:tcPr>
          <w:p>
            <w:pPr>
              <w:spacing w:after="0" w:line="240"/>
            </w:pPr>
            <w:r>
              <w:rPr>
                <w:rFonts w:ascii="Calibri" w:cs="Calibri" w:eastAsia="Calibri" w:hAnsi="Calibri"/>
                <w:b/>
                <w:bCs/>
                <w:color w:val="FFFFFF"/>
                <w:sz w:val="20"/>
                <w:szCs w:val="20"/>
              </w:rPr>
              <w:t xml:space="preserve">Module</w:t>
            </w:r>
          </w:p>
        </w:tc>
        <w:tc>
          <w:tcPr>
            <w:tcW w:type="dxa" w:w="4500"/>
            <w:shd w:fill="1F3A5F" w:color="auto" w:val="clear"/>
            <w:tcMar>
              <w:top w:type="dxa" w:w="80"/>
              <w:left w:type="dxa" w:w="120"/>
              <w:bottom w:type="dxa" w:w="80"/>
              <w:right w:type="dxa" w:w="120"/>
            </w:tcMar>
          </w:tcPr>
          <w:p>
            <w:pPr>
              <w:spacing w:after="0" w:line="240"/>
            </w:pPr>
            <w:r>
              <w:rPr>
                <w:rFonts w:ascii="Calibri" w:cs="Calibri" w:eastAsia="Calibri" w:hAnsi="Calibri"/>
                <w:b/>
                <w:bCs/>
                <w:color w:val="FFFFFF"/>
                <w:sz w:val="20"/>
                <w:szCs w:val="20"/>
              </w:rPr>
              <w:t xml:space="preserve">What it does</w:t>
            </w:r>
          </w:p>
        </w:tc>
        <w:tc>
          <w:tcPr>
            <w:tcW w:type="dxa" w:w="1800"/>
            <w:shd w:fill="1F3A5F" w:color="auto" w:val="clear"/>
            <w:tcMar>
              <w:top w:type="dxa" w:w="80"/>
              <w:left w:type="dxa" w:w="120"/>
              <w:bottom w:type="dxa" w:w="80"/>
              <w:right w:type="dxa" w:w="120"/>
            </w:tcMar>
          </w:tcPr>
          <w:p>
            <w:pPr>
              <w:spacing w:after="0" w:line="240"/>
            </w:pPr>
            <w:r>
              <w:rPr>
                <w:rFonts w:ascii="Calibri" w:cs="Calibri" w:eastAsia="Calibri" w:hAnsi="Calibri"/>
                <w:b/>
                <w:bCs/>
                <w:color w:val="FFFFFF"/>
                <w:sz w:val="20"/>
                <w:szCs w:val="20"/>
              </w:rPr>
              <w:t xml:space="preserve">Monthly</w:t>
            </w:r>
          </w:p>
        </w:tc>
      </w:tr>
      <w:tr>
        <w:tc>
          <w:tcPr>
            <w:tcW w:type="dxa" w:w="2100"/>
            <w:tcMar>
              <w:top w:type="dxa" w:w="80"/>
              <w:left w:type="dxa" w:w="120"/>
              <w:bottom w:type="dxa" w:w="80"/>
              <w:right w:type="dxa" w:w="120"/>
            </w:tcMar>
          </w:tcPr>
          <w:p>
            <w:pPr>
              <w:spacing w:after="0" w:line="240"/>
            </w:pPr>
            <w:r>
              <w:rPr>
                <w:rFonts w:ascii="Calibri" w:cs="Calibri" w:eastAsia="Calibri" w:hAnsi="Calibri"/>
                <w:color w:val="111827"/>
                <w:sz w:val="20"/>
                <w:szCs w:val="20"/>
              </w:rPr>
              <w:t xml:space="preserve">Timesheets &amp; grant allocation</w:t>
            </w:r>
          </w:p>
        </w:tc>
        <w:tc>
          <w:tcPr>
            <w:tcW w:type="dxa" w:w="4500"/>
            <w:tcMar>
              <w:top w:type="dxa" w:w="80"/>
              <w:left w:type="dxa" w:w="120"/>
              <w:bottom w:type="dxa" w:w="80"/>
              <w:right w:type="dxa" w:w="120"/>
            </w:tcMar>
          </w:tcPr>
          <w:p>
            <w:pPr>
              <w:spacing w:after="0" w:line="240"/>
              <w:jc w:val="left"/>
            </w:pPr>
            <w:r>
              <w:rPr>
                <w:rFonts w:ascii="Calibri" w:cs="Calibri" w:eastAsia="Calibri" w:hAnsi="Calibri"/>
                <w:color w:val="111827"/>
                <w:sz w:val="20"/>
                <w:szCs w:val="20"/>
              </w:rPr>
              <w:t xml:space="preserve">Approved staff effort decides what each grant is charged for a salary, instead of a budgeted percentage nobody revisits. Answers the donor question “can you prove this person's time on this project”</w:t>
            </w:r>
          </w:p>
        </w:tc>
        <w:tc>
          <w:tcPr>
            <w:tcW w:type="dxa" w:w="1800"/>
            <w:tcMar>
              <w:top w:type="dxa" w:w="80"/>
              <w:left w:type="dxa" w:w="120"/>
              <w:bottom w:type="dxa" w:w="80"/>
              <w:right w:type="dxa" w:w="120"/>
            </w:tcMar>
          </w:tcPr>
          <w:p>
            <w:pPr>
              <w:spacing w:after="0" w:line="240"/>
              <w:jc w:val="left"/>
            </w:pPr>
            <w:r>
              <w:rPr>
                <w:rFonts w:ascii="Calibri" w:cs="Calibri" w:eastAsia="Calibri" w:hAnsi="Calibri"/>
                <w:color w:val="111827"/>
                <w:sz w:val="20"/>
                <w:szCs w:val="20"/>
              </w:rPr>
              <w:t xml:space="preserve">₦100,000</w:t>
            </w:r>
          </w:p>
        </w:tc>
      </w:tr>
      <w:tr>
        <w:tc>
          <w:tcPr>
            <w:tcW w:type="dxa" w:w="2100"/>
            <w:shd w:fill="F9FAFB" w:color="auto" w:val="clear"/>
            <w:tcMar>
              <w:top w:type="dxa" w:w="80"/>
              <w:left w:type="dxa" w:w="120"/>
              <w:bottom w:type="dxa" w:w="80"/>
              <w:right w:type="dxa" w:w="120"/>
            </w:tcMar>
          </w:tcPr>
          <w:p>
            <w:pPr>
              <w:spacing w:after="0" w:line="240"/>
            </w:pPr>
            <w:r>
              <w:rPr>
                <w:rFonts w:ascii="Calibri" w:cs="Calibri" w:eastAsia="Calibri" w:hAnsi="Calibri"/>
                <w:color w:val="111827"/>
                <w:sz w:val="20"/>
                <w:szCs w:val="20"/>
              </w:rPr>
              <w:t xml:space="preserve">Bank account verification</w:t>
            </w:r>
          </w:p>
        </w:tc>
        <w:tc>
          <w:tcPr>
            <w:tcW w:type="dxa" w:w="4500"/>
            <w:shd w:fill="F9FAFB" w:color="auto" w:val="clear"/>
            <w:tcMar>
              <w:top w:type="dxa" w:w="80"/>
              <w:left w:type="dxa" w:w="120"/>
              <w:bottom w:type="dxa" w:w="80"/>
              <w:right w:type="dxa" w:w="120"/>
            </w:tcMar>
          </w:tcPr>
          <w:p>
            <w:pPr>
              <w:spacing w:after="0" w:line="240"/>
              <w:jc w:val="left"/>
            </w:pPr>
            <w:r>
              <w:rPr>
                <w:rFonts w:ascii="Calibri" w:cs="Calibri" w:eastAsia="Calibri" w:hAnsi="Calibri"/>
                <w:color w:val="111827"/>
                <w:sz w:val="20"/>
                <w:szCs w:val="20"/>
              </w:rPr>
              <w:t xml:space="preserve">Confirms an account number resolves to the name on the invoice before money moves — the check that catches a redirected payment</w:t>
            </w:r>
          </w:p>
        </w:tc>
        <w:tc>
          <w:tcPr>
            <w:tcW w:type="dxa" w:w="1800"/>
            <w:shd w:fill="F9FAFB" w:color="auto" w:val="clear"/>
            <w:tcMar>
              <w:top w:type="dxa" w:w="80"/>
              <w:left w:type="dxa" w:w="120"/>
              <w:bottom w:type="dxa" w:w="80"/>
              <w:right w:type="dxa" w:w="120"/>
            </w:tcMar>
          </w:tcPr>
          <w:p>
            <w:pPr>
              <w:spacing w:after="0" w:line="240"/>
              <w:jc w:val="left"/>
            </w:pPr>
            <w:r>
              <w:rPr>
                <w:rFonts w:ascii="Calibri" w:cs="Calibri" w:eastAsia="Calibri" w:hAnsi="Calibri"/>
                <w:color w:val="111827"/>
                <w:sz w:val="20"/>
                <w:szCs w:val="20"/>
              </w:rPr>
              <w:t xml:space="preserve">₦60,000</w:t>
            </w:r>
          </w:p>
        </w:tc>
      </w:tr>
      <w:tr>
        <w:tc>
          <w:tcPr>
            <w:tcW w:type="dxa" w:w="2100"/>
            <w:tcMar>
              <w:top w:type="dxa" w:w="80"/>
              <w:left w:type="dxa" w:w="120"/>
              <w:bottom w:type="dxa" w:w="80"/>
              <w:right w:type="dxa" w:w="120"/>
            </w:tcMar>
          </w:tcPr>
          <w:p>
            <w:pPr>
              <w:spacing w:after="0" w:line="240"/>
            </w:pPr>
            <w:r>
              <w:rPr>
                <w:rFonts w:ascii="Calibri" w:cs="Calibri" w:eastAsia="Calibri" w:hAnsi="Calibri"/>
                <w:color w:val="111827"/>
                <w:sz w:val="20"/>
                <w:szCs w:val="20"/>
              </w:rPr>
              <w:t xml:space="preserve">Document screening</w:t>
            </w:r>
          </w:p>
        </w:tc>
        <w:tc>
          <w:tcPr>
            <w:tcW w:type="dxa" w:w="4500"/>
            <w:tcMar>
              <w:top w:type="dxa" w:w="80"/>
              <w:left w:type="dxa" w:w="120"/>
              <w:bottom w:type="dxa" w:w="80"/>
              <w:right w:type="dxa" w:w="120"/>
            </w:tcMar>
          </w:tcPr>
          <w:p>
            <w:pPr>
              <w:spacing w:after="0" w:line="240"/>
              <w:jc w:val="left"/>
            </w:pPr>
            <w:r>
              <w:rPr>
                <w:rFonts w:ascii="Calibri" w:cs="Calibri" w:eastAsia="Calibri" w:hAnsi="Calibri"/>
                <w:color w:val="111827"/>
                <w:sz w:val="20"/>
                <w:szCs w:val="20"/>
              </w:rPr>
              <w:t xml:space="preserve">Ask plain-language questions across a stack of documents — sub-award applications, partner due diligence — and get answers with the source, the quote and a confidence level</w:t>
            </w:r>
          </w:p>
        </w:tc>
        <w:tc>
          <w:tcPr>
            <w:tcW w:type="dxa" w:w="1800"/>
            <w:tcMar>
              <w:top w:type="dxa" w:w="80"/>
              <w:left w:type="dxa" w:w="120"/>
              <w:bottom w:type="dxa" w:w="80"/>
              <w:right w:type="dxa" w:w="120"/>
            </w:tcMar>
          </w:tcPr>
          <w:p>
            <w:pPr>
              <w:spacing w:after="0" w:line="240"/>
              <w:jc w:val="left"/>
            </w:pPr>
            <w:r>
              <w:rPr>
                <w:rFonts w:ascii="Calibri" w:cs="Calibri" w:eastAsia="Calibri" w:hAnsi="Calibri"/>
                <w:color w:val="111827"/>
                <w:sz w:val="20"/>
                <w:szCs w:val="20"/>
              </w:rPr>
              <w:t xml:space="preserve">Quoted on scope</w:t>
            </w:r>
          </w:p>
        </w:tc>
      </w:tr>
    </w:tbl>
    <w:p>
      <w:pPr>
        <w:spacing w:after="180"/>
      </w:pPr>
      <w:r>
        <w:rPr>
          <w:sz w:val="2"/>
          <w:szCs w:val="2"/>
        </w:rPr>
        <w:t xml:space="preserve"/>
      </w:r>
    </w:p>
    <w:p>
      <w:pPr>
        <w:spacing w:after="140" w:line="276"/>
      </w:pPr>
      <w:r>
        <w:rPr>
          <w:rFonts w:ascii="Calibri" w:cs="Calibri" w:eastAsia="Calibri" w:hAnsi="Calibri"/>
          <w:b/>
          <w:bCs/>
          <w:color w:val="111827"/>
          <w:sz w:val="21"/>
          <w:szCs w:val="21"/>
        </w:rPr>
        <w:t xml:space="preserve">Configuration is included; new systems are quoted. </w:t>
      </w:r>
      <w:r>
        <w:rPr>
          <w:rFonts w:ascii="Calibri" w:cs="Calibri" w:eastAsia="Calibri" w:hAnsi="Calibri"/>
          <w:b w:val="false"/>
          <w:bCs w:val="false"/>
          <w:color w:val="111827"/>
          <w:sz w:val="21"/>
          <w:szCs w:val="21"/>
        </w:rPr>
        <w:t xml:space="preserve">Moving a threshold, adding a category, changing the approval chain or opening a new grant account is a setting, and it is part of the service. Building something that does not exist today — a different workflow, another department's process, an integration with a system you already run — is separate work, scoped and priced before anything begins. We would rather say which is which at the start than discover the disagreement later.</w:t>
      </w:r>
    </w:p>
    <w:p>
      <w:pPr>
        <w:spacing w:after="140"/>
      </w:pPr>
      <w:r>
        <w:rPr>
          <w:sz w:val="2"/>
          <w:szCs w:val="2"/>
        </w:rPr>
        <w:t xml:space="preserve"/>
      </w:r>
    </w:p>
    <w:p>
      <w:pPr>
        <w:pStyle w:val="Heading1"/>
        <w:spacing w:after="180" w:before="360"/>
      </w:pPr>
      <w:r>
        <w:rPr>
          <w:rFonts w:ascii="Calibri" w:cs="Calibri" w:eastAsia="Calibri" w:hAnsi="Calibri"/>
          <w:b/>
          <w:bCs/>
          <w:color w:val="1F3A5F"/>
          <w:sz w:val="30"/>
          <w:szCs w:val="30"/>
        </w:rPr>
        <w:t xml:space="preserve">5.  Other systems at Neem</w:t>
      </w:r>
    </w:p>
    <w:p>
      <w:pPr>
        <w:spacing w:after="140" w:line="276"/>
      </w:pPr>
      <w:r>
        <w:rPr>
          <w:rFonts w:ascii="Calibri" w:cs="Calibri" w:eastAsia="Calibri" w:hAnsi="Calibri"/>
          <w:color w:val="111827"/>
          <w:sz w:val="21"/>
          <w:szCs w:val="21"/>
        </w:rPr>
        <w:t xml:space="preserve">Through deployment we will see how Neem's other processes work — procurement, grant reporting, programme data. Where we can help, we will say so and quote it separately. Nothing in this offer commits Neem to any of it, and nothing in it is contingent on Neem buying any of it.</w:t>
      </w:r>
    </w:p>
    <w:p>
      <w:pPr>
        <w:spacing w:after="140"/>
      </w:pPr>
      <w:r>
        <w:rPr>
          <w:sz w:val="2"/>
          <w:szCs w:val="2"/>
        </w:rPr>
        <w:t xml:space="preserve"/>
      </w:r>
    </w:p>
    <w:p>
      <w:pPr>
        <w:pStyle w:val="Heading1"/>
        <w:spacing w:after="180" w:before="360"/>
      </w:pPr>
      <w:r>
        <w:rPr>
          <w:rFonts w:ascii="Calibri" w:cs="Calibri" w:eastAsia="Calibri" w:hAnsi="Calibri"/>
          <w:b/>
          <w:bCs/>
          <w:color w:val="1F3A5F"/>
          <w:sz w:val="30"/>
          <w:szCs w:val="30"/>
        </w:rPr>
        <w:t xml:space="preserve">6.  What we need from Neem</w:t>
      </w:r>
    </w:p>
    <w:p>
      <w:pPr>
        <w:spacing w:after="140" w:line="276"/>
      </w:pPr>
      <w:r>
        <w:rPr>
          <w:rFonts w:ascii="Calibri" w:cs="Calibri" w:eastAsia="Calibri" w:hAnsi="Calibri"/>
          <w:color w:val="111827"/>
          <w:sz w:val="21"/>
          <w:szCs w:val="21"/>
        </w:rPr>
        <w:t xml:space="preserve">Short, and mostly things you already hold.</w:t>
      </w:r>
    </w:p>
    <w:p>
      <w:pPr>
        <w:pStyle w:val="ListParagraph"/>
        <w:numPr>
          <w:ilvl w:val="0"/>
          <w:numId w:val="2"/>
        </w:numPr>
        <w:spacing w:after="100" w:line="276"/>
      </w:pPr>
      <w:r>
        <w:rPr>
          <w:rFonts w:ascii="Calibri" w:cs="Calibri" w:eastAsia="Calibri" w:hAnsi="Calibri"/>
          <w:color w:val="111827"/>
          <w:sz w:val="21"/>
          <w:szCs w:val="21"/>
        </w:rPr>
        <w:t xml:space="preserve">A named contact who can confirm configuration decisions.</w:t>
      </w:r>
    </w:p>
    <w:p>
      <w:pPr>
        <w:pStyle w:val="ListParagraph"/>
        <w:numPr>
          <w:ilvl w:val="0"/>
          <w:numId w:val="2"/>
        </w:numPr>
        <w:spacing w:after="100" w:line="276"/>
      </w:pPr>
      <w:r>
        <w:rPr>
          <w:rFonts w:ascii="Calibri" w:cs="Calibri" w:eastAsia="Calibri" w:hAnsi="Calibri"/>
          <w:color w:val="111827"/>
          <w:sz w:val="21"/>
          <w:szCs w:val="21"/>
        </w:rPr>
        <w:t xml:space="preserve">Which governs in the ₦200,001–₦499,999 band — the signed Procurement Policy requires three quotes; the Finance Processes material allows a direct memo. We will enforce whichever you confirm.</w:t>
      </w:r>
    </w:p>
    <w:p>
      <w:pPr>
        <w:pStyle w:val="ListParagraph"/>
        <w:numPr>
          <w:ilvl w:val="0"/>
          <w:numId w:val="2"/>
        </w:numPr>
        <w:spacing w:after="100" w:line="276"/>
      </w:pPr>
      <w:r>
        <w:rPr>
          <w:rFonts w:ascii="Calibri" w:cs="Calibri" w:eastAsia="Calibri" w:hAnsi="Calibri"/>
          <w:color w:val="111827"/>
          <w:sz w:val="21"/>
          <w:szCs w:val="21"/>
        </w:rPr>
        <w:t xml:space="preserve">Your withholding tax rates, and whether the GAPS statement shows one debit per payee or one per weekly batch.</w:t>
      </w:r>
    </w:p>
    <w:p>
      <w:pPr>
        <w:pStyle w:val="ListParagraph"/>
        <w:numPr>
          <w:ilvl w:val="0"/>
          <w:numId w:val="2"/>
        </w:numPr>
        <w:spacing w:after="100" w:line="276"/>
      </w:pPr>
      <w:r>
        <w:rPr>
          <w:rFonts w:ascii="Calibri" w:cs="Calibri" w:eastAsia="Calibri" w:hAnsi="Calibri"/>
          <w:color w:val="111827"/>
          <w:sz w:val="21"/>
          <w:szCs w:val="21"/>
        </w:rPr>
        <w:t xml:space="preserve">One representative bank statement per bank — GTBank, Zenith and Lotus.</w:t>
      </w:r>
    </w:p>
    <w:p>
      <w:pPr>
        <w:pStyle w:val="ListParagraph"/>
        <w:numPr>
          <w:ilvl w:val="0"/>
          <w:numId w:val="2"/>
        </w:numPr>
        <w:spacing w:after="100" w:line="276"/>
      </w:pPr>
      <w:r>
        <w:rPr>
          <w:rFonts w:ascii="Calibri" w:cs="Calibri" w:eastAsia="Calibri" w:hAnsi="Calibri"/>
          <w:color w:val="111827"/>
          <w:sz w:val="21"/>
          <w:szCs w:val="21"/>
        </w:rPr>
        <w:t xml:space="preserve">A set of recent payments we can test the configuration against.</w:t>
      </w:r>
    </w:p>
    <w:p>
      <w:pPr>
        <w:pStyle w:val="ListParagraph"/>
        <w:numPr>
          <w:ilvl w:val="0"/>
          <w:numId w:val="2"/>
        </w:numPr>
        <w:spacing w:after="100" w:line="276"/>
      </w:pPr>
      <w:r>
        <w:rPr>
          <w:rFonts w:ascii="Calibri" w:cs="Calibri" w:eastAsia="Calibri" w:hAnsi="Calibri"/>
          <w:color w:val="111827"/>
          <w:sz w:val="21"/>
          <w:szCs w:val="21"/>
        </w:rPr>
        <w:t xml:space="preserve">How many overdue advances make a collective default. Your policy does not say; we have assumed two.</w:t>
      </w:r>
    </w:p>
    <w:p>
      <w:pPr>
        <w:pStyle w:val="ListParagraph"/>
        <w:numPr>
          <w:ilvl w:val="0"/>
          <w:numId w:val="2"/>
        </w:numPr>
        <w:spacing w:after="100" w:line="276"/>
      </w:pPr>
      <w:r>
        <w:rPr>
          <w:rFonts w:ascii="Calibri" w:cs="Calibri" w:eastAsia="Calibri" w:hAnsi="Calibri"/>
          <w:color w:val="111827"/>
          <w:sz w:val="21"/>
          <w:szCs w:val="21"/>
        </w:rPr>
        <w:t xml:space="preserve">Attendance at the two training sessions.</w:t>
      </w:r>
    </w:p>
    <w:p>
      <w:pPr>
        <w:spacing w:after="140"/>
      </w:pPr>
      <w:r>
        <w:rPr>
          <w:sz w:val="2"/>
          <w:szCs w:val="2"/>
        </w:rPr>
        <w:t xml:space="preserve"/>
      </w:r>
    </w:p>
    <w:p>
      <w:pPr>
        <w:pStyle w:val="Heading1"/>
        <w:spacing w:after="180" w:before="360"/>
      </w:pPr>
      <w:r>
        <w:rPr>
          <w:rFonts w:ascii="Calibri" w:cs="Calibri" w:eastAsia="Calibri" w:hAnsi="Calibri"/>
          <w:b/>
          <w:bCs/>
          <w:color w:val="1F3A5F"/>
          <w:sz w:val="30"/>
          <w:szCs w:val="30"/>
        </w:rPr>
        <w:t xml:space="preserve">7.  What is deliberately not included</w:t>
      </w:r>
    </w:p>
    <w:p>
      <w:pPr>
        <w:spacing w:after="140" w:line="276"/>
      </w:pPr>
      <w:r>
        <w:rPr>
          <w:rFonts w:ascii="Calibri" w:cs="Calibri" w:eastAsia="Calibri" w:hAnsi="Calibri"/>
          <w:color w:val="111827"/>
          <w:sz w:val="21"/>
          <w:szCs w:val="21"/>
        </w:rPr>
        <w:t xml:space="preserve">We would rather tell you now than have you find it later.</w:t>
      </w:r>
    </w:p>
    <w:p>
      <w:pPr>
        <w:spacing w:after="140" w:line="276"/>
      </w:pPr>
      <w:r>
        <w:rPr>
          <w:rFonts w:ascii="Calibri" w:cs="Calibri" w:eastAsia="Calibri" w:hAnsi="Calibri"/>
          <w:b/>
          <w:bCs/>
          <w:color w:val="111827"/>
          <w:sz w:val="21"/>
          <w:szCs w:val="21"/>
        </w:rPr>
        <w:t xml:space="preserve">Payroll is switched off </w:t>
      </w:r>
      <w:r>
        <w:rPr>
          <w:rFonts w:ascii="Calibri" w:cs="Calibri" w:eastAsia="Calibri" w:hAnsi="Calibri"/>
          <w:b w:val="false"/>
          <w:bCs w:val="false"/>
          <w:color w:val="111827"/>
          <w:sz w:val="21"/>
          <w:szCs w:val="21"/>
        </w:rPr>
        <w:t xml:space="preserve">until Neem confirms PAYE bands and pension rates. A payroll run on assumed rates produces payslips that look right and are wrong.</w:t>
      </w:r>
    </w:p>
    <w:p>
      <w:pPr>
        <w:spacing w:after="140" w:line="276"/>
      </w:pPr>
      <w:r>
        <w:rPr>
          <w:rFonts w:ascii="Calibri" w:cs="Calibri" w:eastAsia="Calibri" w:hAnsi="Calibri"/>
          <w:b/>
          <w:bCs/>
          <w:color w:val="111827"/>
          <w:sz w:val="21"/>
          <w:szCs w:val="21"/>
        </w:rPr>
        <w:t xml:space="preserve">Tax-ID checking confirms a TIN is well formed. </w:t>
      </w:r>
      <w:r>
        <w:rPr>
          <w:rFonts w:ascii="Calibri" w:cs="Calibri" w:eastAsia="Calibri" w:hAnsi="Calibri"/>
          <w:b w:val="false"/>
          <w:bCs w:val="false"/>
          <w:color w:val="111827"/>
          <w:sz w:val="21"/>
          <w:szCs w:val="21"/>
        </w:rPr>
        <w:t xml:space="preserve">Confirming it is registered to that company needs a paid provider, and we would rather say so than imply a check we are not making.</w:t>
      </w:r>
    </w:p>
    <w:p>
      <w:pPr>
        <w:spacing w:after="140" w:line="276"/>
      </w:pPr>
      <w:r>
        <w:rPr>
          <w:rFonts w:ascii="Calibri" w:cs="Calibri" w:eastAsia="Calibri" w:hAnsi="Calibri"/>
          <w:b/>
          <w:bCs/>
          <w:color w:val="111827"/>
          <w:sz w:val="21"/>
          <w:szCs w:val="21"/>
        </w:rPr>
        <w:t xml:space="preserve">There is no direct bank integration. </w:t>
      </w:r>
      <w:r>
        <w:rPr>
          <w:rFonts w:ascii="Calibri" w:cs="Calibri" w:eastAsia="Calibri" w:hAnsi="Calibri"/>
          <w:b w:val="false"/>
          <w:bCs w:val="false"/>
          <w:color w:val="111827"/>
          <w:sz w:val="21"/>
          <w:szCs w:val="21"/>
        </w:rPr>
        <w:t xml:space="preserve">Payments are prepared, checked and evidenced in DOCex, then uploaded to GAPS as they are today.</w:t>
      </w:r>
    </w:p>
    <w:p>
      <w:pPr>
        <w:spacing w:after="140"/>
      </w:pPr>
      <w:r>
        <w:rPr>
          <w:sz w:val="2"/>
          <w:szCs w:val="2"/>
        </w:rPr>
        <w:t xml:space="preserve"/>
      </w:r>
    </w:p>
    <w:p>
      <w:pPr>
        <w:pStyle w:val="Heading1"/>
        <w:spacing w:after="180" w:before="360"/>
      </w:pPr>
      <w:r>
        <w:rPr>
          <w:rFonts w:ascii="Calibri" w:cs="Calibri" w:eastAsia="Calibri" w:hAnsi="Calibri"/>
          <w:b/>
          <w:bCs/>
          <w:color w:val="1F3A5F"/>
          <w:sz w:val="30"/>
          <w:szCs w:val="30"/>
        </w:rPr>
        <w:t xml:space="preserve">8.  Your data</w:t>
      </w:r>
    </w:p>
    <w:p>
      <w:pPr>
        <w:spacing w:after="140" w:line="276"/>
      </w:pPr>
      <w:r>
        <w:rPr>
          <w:rFonts w:ascii="Calibri" w:cs="Calibri" w:eastAsia="Calibri" w:hAnsi="Calibri"/>
          <w:color w:val="111827"/>
          <w:sz w:val="21"/>
          <w:szCs w:val="21"/>
        </w:rPr>
        <w:t xml:space="preserve">Named accounts with role-based permissions, approval actions restricted to the department that owns each stage, all traffic encrypted, and records held in a managed database with nightly backups — each one verified by an actual restore.</w:t>
      </w:r>
    </w:p>
    <w:p>
      <w:pPr>
        <w:spacing w:after="140" w:line="276"/>
      </w:pPr>
      <w:r>
        <w:rPr>
          <w:rFonts w:ascii="Calibri" w:cs="Calibri" w:eastAsia="Calibri" w:hAnsi="Calibri"/>
          <w:b/>
          <w:bCs/>
          <w:color w:val="111827"/>
          <w:sz w:val="21"/>
          <w:szCs w:val="21"/>
        </w:rPr>
        <w:t xml:space="preserve">Neem's data belongs to Neem. </w:t>
      </w:r>
      <w:r>
        <w:rPr>
          <w:rFonts w:ascii="Calibri" w:cs="Calibri" w:eastAsia="Calibri" w:hAnsi="Calibri"/>
          <w:b w:val="false"/>
          <w:bCs w:val="false"/>
          <w:color w:val="111827"/>
          <w:sz w:val="21"/>
          <w:szCs w:val="21"/>
        </w:rPr>
        <w:t xml:space="preserve">Exportable in full at any time including on exit. It is not used for any purpose other than providing this service, and it is not used to train any model.</w:t>
      </w:r>
    </w:p>
    <w:p>
      <w:pPr>
        <w:spacing w:after="140" w:line="276"/>
      </w:pPr>
      <w:r>
        <w:rPr>
          <w:rFonts w:ascii="Calibri" w:cs="Calibri" w:eastAsia="Calibri" w:hAnsi="Calibri"/>
          <w:b/>
          <w:bCs/>
          <w:color w:val="111827"/>
          <w:sz w:val="21"/>
          <w:szCs w:val="21"/>
        </w:rPr>
        <w:t xml:space="preserve">We can read your database; we cannot approve anything in it. </w:t>
      </w:r>
      <w:r>
        <w:rPr>
          <w:rFonts w:ascii="Calibri" w:cs="Calibri" w:eastAsia="Calibri" w:hAnsi="Calibri"/>
          <w:b w:val="false"/>
          <w:bCs w:val="false"/>
          <w:color w:val="111827"/>
          <w:sz w:val="21"/>
          <w:szCs w:val="21"/>
        </w:rPr>
        <w:t xml:space="preserve">Somebody has to be able to operate and repair the system, and we would rather say so. Every approval is recorded against a named Neem account in a tamper-evident chain, so no payment can be authorised without one of your people doing it.</w:t>
      </w:r>
    </w:p>
    <w:p>
      <w:pPr>
        <w:spacing w:after="140" w:line="276"/>
      </w:pPr>
      <w:r>
        <w:rPr>
          <w:rFonts w:ascii="Calibri" w:cs="Calibri" w:eastAsia="Calibri" w:hAnsi="Calibri"/>
          <w:color w:val="111827"/>
          <w:sz w:val="21"/>
          <w:szCs w:val="21"/>
        </w:rPr>
        <w:t xml:space="preserve">A Data Processing Agreement is signed alongside the service agreement. Real payment data enters the system only once that is executed.</w:t>
      </w:r>
    </w:p>
    <w:p>
      <w:pPr>
        <w:spacing w:after="140"/>
      </w:pPr>
      <w:r>
        <w:rPr>
          <w:sz w:val="2"/>
          <w:szCs w:val="2"/>
        </w:rPr>
        <w:t xml:space="preserve"/>
      </w:r>
    </w:p>
    <w:p>
      <w:pPr>
        <w:pStyle w:val="Heading1"/>
        <w:spacing w:after="180" w:before="360"/>
      </w:pPr>
      <w:r>
        <w:rPr>
          <w:rFonts w:ascii="Calibri" w:cs="Calibri" w:eastAsia="Calibri" w:hAnsi="Calibri"/>
          <w:b/>
          <w:bCs/>
          <w:color w:val="1F3A5F"/>
          <w:sz w:val="30"/>
          <w:szCs w:val="30"/>
        </w:rPr>
        <w:t xml:space="preserve">9.  Next steps</w:t>
      </w:r>
    </w:p>
    <w:p>
      <w:pPr>
        <w:pStyle w:val="ListParagraph"/>
        <w:numPr>
          <w:ilvl w:val="0"/>
          <w:numId w:val="3"/>
        </w:numPr>
        <w:spacing w:after="100" w:line="276"/>
      </w:pPr>
      <w:r>
        <w:rPr>
          <w:rFonts w:ascii="Calibri" w:cs="Calibri" w:eastAsia="Calibri" w:hAnsi="Calibri"/>
          <w:color w:val="111827"/>
          <w:sz w:val="21"/>
          <w:szCs w:val="21"/>
        </w:rPr>
        <w:t xml:space="preserve">Neem confirms the items in section 6.</w:t>
      </w:r>
    </w:p>
    <w:p>
      <w:pPr>
        <w:pStyle w:val="ListParagraph"/>
        <w:numPr>
          <w:ilvl w:val="0"/>
          <w:numId w:val="3"/>
        </w:numPr>
        <w:spacing w:after="100" w:line="276"/>
      </w:pPr>
      <w:r>
        <w:rPr>
          <w:rFonts w:ascii="Calibri" w:cs="Calibri" w:eastAsia="Calibri" w:hAnsi="Calibri"/>
          <w:color w:val="111827"/>
          <w:sz w:val="21"/>
          <w:szCs w:val="21"/>
        </w:rPr>
        <w:t xml:space="preserve">Service agreement and Data Processing Agreement issued.</w:t>
      </w:r>
    </w:p>
    <w:p>
      <w:pPr>
        <w:pStyle w:val="ListParagraph"/>
        <w:numPr>
          <w:ilvl w:val="0"/>
          <w:numId w:val="3"/>
        </w:numPr>
        <w:spacing w:after="100" w:line="276"/>
      </w:pPr>
      <w:r>
        <w:rPr>
          <w:rFonts w:ascii="Calibri" w:cs="Calibri" w:eastAsia="Calibri" w:hAnsi="Calibri"/>
          <w:color w:val="111827"/>
          <w:sz w:val="21"/>
          <w:szCs w:val="21"/>
        </w:rPr>
        <w:t xml:space="preserve">Signature, and deployment begins within a week.</w:t>
      </w:r>
    </w:p>
    <w:p>
      <w:pPr>
        <w:spacing w:after="200"/>
      </w:pPr>
      <w:r>
        <w:rPr>
          <w:sz w:val="2"/>
          <w:szCs w:val="2"/>
        </w:rPr>
        <w:t xml:space="preserve"/>
      </w:r>
    </w:p>
    <w:p>
      <w:pPr>
        <w:pStyle w:val="Heading1"/>
        <w:spacing w:after="180" w:before="360"/>
      </w:pPr>
      <w:r>
        <w:rPr>
          <w:rFonts w:ascii="Calibri" w:cs="Calibri" w:eastAsia="Calibri" w:hAnsi="Calibri"/>
          <w:b/>
          <w:bCs/>
          <w:color w:val="1F3A5F"/>
          <w:sz w:val="30"/>
          <w:szCs w:val="30"/>
        </w:rPr>
        <w:t xml:space="preserve">10.  Acceptance</w:t>
      </w:r>
    </w:p>
    <w:p>
      <w:pPr>
        <w:spacing w:after="140" w:line="276"/>
      </w:pPr>
      <w:r>
        <w:rPr>
          <w:rFonts w:ascii="Calibri" w:cs="Calibri" w:eastAsia="Calibri" w:hAnsi="Calibri"/>
          <w:color w:val="111827"/>
          <w:sz w:val="21"/>
          <w:szCs w:val="21"/>
        </w:rPr>
        <w:t xml:space="preserve">By signing below, Neem Foundation accepts the scope and commercial terms in this offer, subject to a service agreement and Data Processing Agreement.</w:t>
      </w:r>
    </w:p>
    <w:p>
      <w:pPr>
        <w:pBdr>
          <w:bottom w:val="single" w:color="D1D5DB" w:sz="6"/>
        </w:pBdr>
        <w:spacing w:after="160" w:before="160"/>
      </w:pPr>
      <w:r>
        <w:rPr>
          <w:sz w:val="2"/>
          <w:szCs w:val="2"/>
        </w:rPr>
        <w:t xml:space="preserve"/>
      </w:r>
    </w:p>
    <w:p>
      <w:pPr>
        <w:spacing w:after="200" w:line="276"/>
      </w:pPr>
      <w:r>
        <w:rPr>
          <w:rFonts w:ascii="Calibri" w:cs="Calibri" w:eastAsia="Calibri" w:hAnsi="Calibri"/>
          <w:b/>
          <w:bCs/>
          <w:color w:val="111827"/>
          <w:sz w:val="21"/>
          <w:szCs w:val="21"/>
        </w:rPr>
        <w:t xml:space="preserve">For Neem Foundation</w:t>
      </w:r>
    </w:p>
    <w:p>
      <w:pPr>
        <w:spacing w:after="200" w:line="276"/>
      </w:pPr>
      <w:r>
        <w:rPr>
          <w:rFonts w:ascii="Calibri" w:cs="Calibri" w:eastAsia="Calibri" w:hAnsi="Calibri"/>
          <w:color w:val="111827"/>
          <w:sz w:val="21"/>
          <w:szCs w:val="21"/>
        </w:rPr>
        <w:t xml:space="preserve">Name:  ______________________________________</w:t>
      </w:r>
    </w:p>
    <w:p>
      <w:pPr>
        <w:spacing w:after="200" w:line="276"/>
      </w:pPr>
      <w:r>
        <w:rPr>
          <w:rFonts w:ascii="Calibri" w:cs="Calibri" w:eastAsia="Calibri" w:hAnsi="Calibri"/>
          <w:color w:val="111827"/>
          <w:sz w:val="21"/>
          <w:szCs w:val="21"/>
        </w:rPr>
        <w:t xml:space="preserve">Position:  ___________________________________</w:t>
      </w:r>
    </w:p>
    <w:p>
      <w:pPr>
        <w:spacing w:after="200" w:line="276"/>
      </w:pPr>
      <w:r>
        <w:rPr>
          <w:rFonts w:ascii="Calibri" w:cs="Calibri" w:eastAsia="Calibri" w:hAnsi="Calibri"/>
          <w:color w:val="111827"/>
          <w:sz w:val="21"/>
          <w:szCs w:val="21"/>
        </w:rPr>
        <w:t xml:space="preserve">Signature:  __________________________________</w:t>
      </w:r>
    </w:p>
    <w:p>
      <w:pPr>
        <w:spacing w:after="320" w:line="276"/>
      </w:pPr>
      <w:r>
        <w:rPr>
          <w:rFonts w:ascii="Calibri" w:cs="Calibri" w:eastAsia="Calibri" w:hAnsi="Calibri"/>
          <w:color w:val="111827"/>
          <w:sz w:val="21"/>
          <w:szCs w:val="21"/>
        </w:rPr>
        <w:t xml:space="preserve">Date:  _______________________________________</w:t>
      </w:r>
    </w:p>
    <w:p>
      <w:pPr>
        <w:spacing w:after="200" w:line="276"/>
      </w:pPr>
      <w:r>
        <w:rPr>
          <w:rFonts w:ascii="Calibri" w:cs="Calibri" w:eastAsia="Calibri" w:hAnsi="Calibri"/>
          <w:b/>
          <w:bCs/>
          <w:color w:val="111827"/>
          <w:sz w:val="21"/>
          <w:szCs w:val="21"/>
        </w:rPr>
        <w:t xml:space="preserve">For MICHIKA LABS LIMITED</w:t>
      </w:r>
    </w:p>
    <w:p>
      <w:pPr>
        <w:spacing w:after="200" w:line="276"/>
      </w:pPr>
      <w:r>
        <w:rPr>
          <w:rFonts w:ascii="Calibri" w:cs="Calibri" w:eastAsia="Calibri" w:hAnsi="Calibri"/>
          <w:color w:val="111827"/>
          <w:sz w:val="21"/>
          <w:szCs w:val="21"/>
        </w:rPr>
        <w:t xml:space="preserve">Name:  ______________________________________</w:t>
      </w:r>
    </w:p>
    <w:p>
      <w:pPr>
        <w:spacing w:after="200" w:line="276"/>
      </w:pPr>
      <w:r>
        <w:rPr>
          <w:rFonts w:ascii="Calibri" w:cs="Calibri" w:eastAsia="Calibri" w:hAnsi="Calibri"/>
          <w:color w:val="111827"/>
          <w:sz w:val="21"/>
          <w:szCs w:val="21"/>
        </w:rPr>
        <w:t xml:space="preserve">Position:  ___________________________________</w:t>
      </w:r>
    </w:p>
    <w:p>
      <w:pPr>
        <w:spacing w:after="200" w:line="276"/>
      </w:pPr>
      <w:r>
        <w:rPr>
          <w:rFonts w:ascii="Calibri" w:cs="Calibri" w:eastAsia="Calibri" w:hAnsi="Calibri"/>
          <w:color w:val="111827"/>
          <w:sz w:val="21"/>
          <w:szCs w:val="21"/>
        </w:rPr>
        <w:t xml:space="preserve">Signature:  __________________________________</w:t>
      </w:r>
    </w:p>
    <w:p>
      <w:pPr>
        <w:spacing w:after="320" w:line="276"/>
      </w:pPr>
      <w:r>
        <w:rPr>
          <w:rFonts w:ascii="Calibri" w:cs="Calibri" w:eastAsia="Calibri" w:hAnsi="Calibri"/>
          <w:color w:val="111827"/>
          <w:sz w:val="21"/>
          <w:szCs w:val="21"/>
        </w:rPr>
        <w:t xml:space="preserve">Date:  _______________________________________</w:t>
      </w:r>
    </w:p>
    <w:sectPr>
      <w:pgSz w:w="11906" w:h="16838" w:orient="portrait"/>
      <w:pgMar w:top="1296" w:right="1367" w:bottom="1296" w:left="13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decimal"/>
      <w:lvlText w:val="%1."/>
      <w:lvlJc w:val="left"/>
      <w:pPr>
        <w:ind w:left="460" w:hanging="280"/>
      </w:pPr>
    </w:lvl>
  </w:abstractNum>
  <w:abstractNum w:abstractNumId="4"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Offer for Neem Foundation</dc:title>
  <dc:creator>MICHIKA LABS LIMITED</dc:creator>
  <dc:description>DOCex — finance and compliance workflow platform</dc:description>
  <cp:lastModifiedBy>Un-named</cp:lastModifiedBy>
  <cp:revision>1</cp:revision>
  <dcterms:created xsi:type="dcterms:W3CDTF">2026-09-21T12:11:25.102Z</dcterms:created>
  <dcterms:modified xsi:type="dcterms:W3CDTF">2026-09-21T12:11:25.102Z</dcterms:modified>
</cp:coreProperties>
</file>

<file path=docProps/custom.xml><?xml version="1.0" encoding="utf-8"?>
<Properties xmlns="http://schemas.openxmlformats.org/officeDocument/2006/custom-properties" xmlns:vt="http://schemas.openxmlformats.org/officeDocument/2006/docPropsVTypes"/>
</file>