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سياسة حوكمة البيانات الوطنية</w:t>
      </w:r>
    </w:p>
    <w:p>
      <w:r>
        <w:t xml:space="preserve">تنظم هذه السياسة جمع البيانات ومعالجتها ومشاركتها بين الجهات.</w:t>
      </w:r>
    </w:p>
    <w:p>
      <w:r>
        <w:t xml:space="preserve">يجب توثيق مصدر كل مجموعة بيانات والترخيص الذي يحكم استخدامها.</w:t>
      </w:r>
    </w:p>
  </w:body>
</w:document>
</file>