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b/>
          <w:color w:val="B8860B"/>
          <w:sz w:val="26"/>
        </w:rPr>
        <w:t>DOKUMEN KEBUTUHAN SISTEM</w:t>
      </w:r>
    </w:p>
    <w:p>
      <w:pPr>
        <w:pStyle w:val="Title"/>
      </w:pPr>
      <w:r>
        <w:t>Sistem Manajemen Layanan</w:t>
        <w:br/>
        <w:t>Pentashihan Mushaf Al-Qur’an</w:t>
      </w:r>
    </w:p>
    <w:p>
      <w:pPr>
        <w:pStyle w:val="Subtitle"/>
      </w:pPr>
      <w:r>
        <w:t>Software Requirements Specification (SRS) — Versi 2.0</w:t>
      </w:r>
    </w:p>
    <w:p>
      <w:pPr>
        <w:spacing w:before="360" w:after="400"/>
      </w:pPr>
      <w:r>
        <w:rPr>
          <w:rFonts w:ascii="Calibri" w:hAnsi="Calibri"/>
          <w:b/>
          <w:color w:val="0B5E3B"/>
          <w:sz w:val="24"/>
        </w:rPr>
        <w:t>LAJNAH PENTASHIHAN MUSHAF AL-QUR’AN</w:t>
        <w:br/>
        <w:t>KEMENTERIAN AGAMA REPUBLIK INDONESIA</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304"/>
            <w:shd w:fill="0B5E3B"/>
            <w:vAlign w:val="center"/>
            <w:tcMar>
              <w:top w:w="80" w:type="dxa"/>
              <w:start w:w="120" w:type="dxa"/>
              <w:bottom w:w="80" w:type="dxa"/>
              <w:end w:w="120" w:type="dxa"/>
            </w:tcMar>
          </w:tcPr>
          <w:p>
            <w:r>
              <w:rPr>
                <w:b/>
                <w:color w:val="FFFFFF"/>
                <w:sz w:val="18"/>
              </w:rPr>
              <w:t>Informasi</w:t>
            </w:r>
          </w:p>
        </w:tc>
        <w:tc>
          <w:tcPr>
            <w:tcW w:type="dxa" w:w="7056"/>
            <w:shd w:fill="0B5E3B"/>
            <w:vAlign w:val="center"/>
            <w:tcMar>
              <w:top w:w="80" w:type="dxa"/>
              <w:start w:w="120" w:type="dxa"/>
              <w:bottom w:w="80" w:type="dxa"/>
              <w:end w:w="120" w:type="dxa"/>
            </w:tcMar>
          </w:tcPr>
          <w:p>
            <w:r>
              <w:rPr>
                <w:b/>
                <w:color w:val="FFFFFF"/>
                <w:sz w:val="18"/>
              </w:rPr>
              <w:t>Keterangan</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Versi</w:t>
            </w:r>
          </w:p>
        </w:tc>
        <w:tc>
          <w:tcPr>
            <w:tcW w:type="dxa" w:w="7056"/>
            <w:vAlign w:val="center"/>
            <w:tcMar>
              <w:top w:w="80" w:type="dxa"/>
              <w:start w:w="120" w:type="dxa"/>
              <w:bottom w:w="80" w:type="dxa"/>
              <w:end w:w="120" w:type="dxa"/>
            </w:tcMar>
          </w:tcPr>
          <w:p>
            <w:pPr>
              <w:spacing w:after="20"/>
            </w:pPr>
            <w:r>
              <w:rPr>
                <w:rFonts w:ascii="Calibri" w:hAnsi="Calibri"/>
                <w:color w:val="2A2E2B"/>
                <w:sz w:val="18"/>
              </w:rPr>
              <w:t>2.0 — Draft Baseline MVP</w:t>
            </w:r>
          </w:p>
        </w:tc>
      </w:tr>
      <w:tr>
        <w:trPr>
          <w:cantSplit w:val="true"/>
        </w:trPr>
        <w:tc>
          <w:tcPr>
            <w:tcW w:type="dxa" w:w="2304"/>
            <w:shd w:fill="F7FAF8"/>
            <w:vAlign w:val="center"/>
            <w:tcMar>
              <w:top w:w="80" w:type="dxa"/>
              <w:start w:w="120" w:type="dxa"/>
              <w:bottom w:w="80" w:type="dxa"/>
              <w:end w:w="120" w:type="dxa"/>
            </w:tcMar>
          </w:tcPr>
          <w:p>
            <w:pPr>
              <w:spacing w:after="20"/>
            </w:pPr>
            <w:r>
              <w:rPr>
                <w:rFonts w:ascii="Calibri" w:hAnsi="Calibri"/>
                <w:color w:val="2A2E2B"/>
                <w:sz w:val="18"/>
              </w:rPr>
              <w:t>Tanggal</w:t>
            </w:r>
          </w:p>
        </w:tc>
        <w:tc>
          <w:tcPr>
            <w:tcW w:type="dxa" w:w="7056"/>
            <w:shd w:fill="F7FAF8"/>
            <w:vAlign w:val="center"/>
            <w:tcMar>
              <w:top w:w="80" w:type="dxa"/>
              <w:start w:w="120" w:type="dxa"/>
              <w:bottom w:w="80" w:type="dxa"/>
              <w:end w:w="120" w:type="dxa"/>
            </w:tcMar>
          </w:tcPr>
          <w:p>
            <w:pPr>
              <w:spacing w:after="20"/>
            </w:pPr>
            <w:r>
              <w:rPr>
                <w:rFonts w:ascii="Calibri" w:hAnsi="Calibri"/>
                <w:color w:val="2A2E2B"/>
                <w:sz w:val="18"/>
              </w:rPr>
              <w:t>8 September 2026</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Status</w:t>
            </w:r>
          </w:p>
        </w:tc>
        <w:tc>
          <w:tcPr>
            <w:tcW w:type="dxa" w:w="7056"/>
            <w:vAlign w:val="center"/>
            <w:tcMar>
              <w:top w:w="80" w:type="dxa"/>
              <w:start w:w="120" w:type="dxa"/>
              <w:bottom w:w="80" w:type="dxa"/>
              <w:end w:w="120" w:type="dxa"/>
            </w:tcMar>
          </w:tcPr>
          <w:p>
            <w:pPr>
              <w:spacing w:after="20"/>
            </w:pPr>
            <w:r>
              <w:rPr>
                <w:rFonts w:ascii="Calibri" w:hAnsi="Calibri"/>
                <w:color w:val="2A2E2B"/>
                <w:sz w:val="18"/>
              </w:rPr>
              <w:t>Untuk validasi internal dan stakeholder</w:t>
            </w:r>
          </w:p>
        </w:tc>
      </w:tr>
      <w:tr>
        <w:trPr>
          <w:cantSplit w:val="true"/>
        </w:trPr>
        <w:tc>
          <w:tcPr>
            <w:tcW w:type="dxa" w:w="2304"/>
            <w:shd w:fill="F7FAF8"/>
            <w:vAlign w:val="center"/>
            <w:tcMar>
              <w:top w:w="80" w:type="dxa"/>
              <w:start w:w="120" w:type="dxa"/>
              <w:bottom w:w="80" w:type="dxa"/>
              <w:end w:w="120" w:type="dxa"/>
            </w:tcMar>
          </w:tcPr>
          <w:p>
            <w:pPr>
              <w:spacing w:after="20"/>
            </w:pPr>
            <w:r>
              <w:rPr>
                <w:rFonts w:ascii="Calibri" w:hAnsi="Calibri"/>
                <w:color w:val="2A2E2B"/>
                <w:sz w:val="18"/>
              </w:rPr>
              <w:t>Ruang lingkup</w:t>
            </w:r>
          </w:p>
        </w:tc>
        <w:tc>
          <w:tcPr>
            <w:tcW w:type="dxa" w:w="7056"/>
            <w:shd w:fill="F7FAF8"/>
            <w:vAlign w:val="center"/>
            <w:tcMar>
              <w:top w:w="80" w:type="dxa"/>
              <w:start w:w="120" w:type="dxa"/>
              <w:bottom w:w="80" w:type="dxa"/>
              <w:end w:w="120" w:type="dxa"/>
            </w:tcMar>
          </w:tcPr>
          <w:p>
            <w:pPr>
              <w:spacing w:after="20"/>
            </w:pPr>
            <w:r>
              <w:rPr>
                <w:rFonts w:ascii="Calibri" w:hAnsi="Calibri"/>
                <w:color w:val="2A2E2B"/>
                <w:sz w:val="18"/>
              </w:rPr>
              <w:t>Aplikasi internal LPMQ dan portal penerbit</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Dasar penyusunan</w:t>
            </w:r>
          </w:p>
        </w:tc>
        <w:tc>
          <w:tcPr>
            <w:tcW w:type="dxa" w:w="7056"/>
            <w:vAlign w:val="center"/>
            <w:tcMar>
              <w:top w:w="80" w:type="dxa"/>
              <w:start w:w="120" w:type="dxa"/>
              <w:bottom w:w="80" w:type="dxa"/>
              <w:end w:w="120" w:type="dxa"/>
            </w:tcMar>
          </w:tcPr>
          <w:p>
            <w:pPr>
              <w:spacing w:after="20"/>
            </w:pPr>
            <w:r>
              <w:rPr>
                <w:rFonts w:ascii="Calibri" w:hAnsi="Calibri"/>
                <w:color w:val="2A2E2B"/>
                <w:sz w:val="18"/>
              </w:rPr>
              <w:t>SRS v1.0, persiapan implementasi v2, artefak implementasi v1.0, rancangan UI, dan keputusan diskusi 8 September 2026</w:t>
            </w:r>
          </w:p>
        </w:tc>
      </w:tr>
    </w:tbl>
    <w:p>
      <w:pPr>
        <w:spacing w:after="0"/>
      </w:pPr>
    </w:p>
    <w:p>
      <w:pPr>
        <w:spacing w:before="280"/>
      </w:pPr>
      <w:r>
        <w:rPr>
          <w:b/>
          <w:color w:val="B3261E"/>
        </w:rPr>
        <w:t xml:space="preserve">CATATAN STATUS: </w:t>
      </w:r>
      <w:r>
        <w:t>Tarif, SLA, istilah SOP, pejabat penandatangan, dan format dokumen tertentu masih bersifat konfigurasi sementara sampai disahkan stakeholder.</w:t>
      </w:r>
    </w:p>
    <w:p>
      <w:r>
        <w:br w:type="page"/>
      </w:r>
    </w:p>
    <w:p>
      <w:pPr>
        <w:pStyle w:val="Heading1"/>
      </w:pPr>
      <w:r>
        <w:t>Kendali Dokumen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152"/>
            <w:shd w:fill="0B5E3B"/>
            <w:vAlign w:val="center"/>
            <w:tcMar>
              <w:top w:w="80" w:type="dxa"/>
              <w:start w:w="120" w:type="dxa"/>
              <w:bottom w:w="80" w:type="dxa"/>
              <w:end w:w="120" w:type="dxa"/>
            </w:tcMar>
          </w:tcPr>
          <w:p>
            <w:r>
              <w:rPr>
                <w:b/>
                <w:color w:val="FFFFFF"/>
                <w:sz w:val="17"/>
              </w:rPr>
              <w:t>Versi</w:t>
            </w:r>
          </w:p>
        </w:tc>
        <w:tc>
          <w:tcPr>
            <w:tcW w:type="dxa" w:w="1800"/>
            <w:shd w:fill="0B5E3B"/>
            <w:vAlign w:val="center"/>
            <w:tcMar>
              <w:top w:w="80" w:type="dxa"/>
              <w:start w:w="120" w:type="dxa"/>
              <w:bottom w:w="80" w:type="dxa"/>
              <w:end w:w="120" w:type="dxa"/>
            </w:tcMar>
          </w:tcPr>
          <w:p>
            <w:r>
              <w:rPr>
                <w:b/>
                <w:color w:val="FFFFFF"/>
                <w:sz w:val="17"/>
              </w:rPr>
              <w:t>Tanggal</w:t>
            </w:r>
          </w:p>
        </w:tc>
        <w:tc>
          <w:tcPr>
            <w:tcW w:type="dxa" w:w="6408"/>
            <w:shd w:fill="0B5E3B"/>
            <w:vAlign w:val="center"/>
            <w:tcMar>
              <w:top w:w="80" w:type="dxa"/>
              <w:start w:w="120" w:type="dxa"/>
              <w:bottom w:w="80" w:type="dxa"/>
              <w:end w:w="120" w:type="dxa"/>
            </w:tcMar>
          </w:tcPr>
          <w:p>
            <w:r>
              <w:rPr>
                <w:b/>
                <w:color w:val="FFFFFF"/>
                <w:sz w:val="17"/>
              </w:rPr>
              <w:t>Perubahan</w:t>
            </w:r>
          </w:p>
        </w:tc>
      </w:tr>
      <w:tr>
        <w:trPr>
          <w:cantSplit w:val="true"/>
        </w:trPr>
        <w:tc>
          <w:tcPr>
            <w:tcW w:type="dxa" w:w="1152"/>
            <w:vAlign w:val="center"/>
            <w:tcMar>
              <w:top w:w="80" w:type="dxa"/>
              <w:start w:w="120" w:type="dxa"/>
              <w:bottom w:w="80" w:type="dxa"/>
              <w:end w:w="120" w:type="dxa"/>
            </w:tcMar>
          </w:tcPr>
          <w:p>
            <w:pPr>
              <w:spacing w:after="20"/>
            </w:pPr>
            <w:r>
              <w:rPr>
                <w:rFonts w:ascii="Calibri" w:hAnsi="Calibri"/>
                <w:color w:val="2A2E2B"/>
                <w:sz w:val="17"/>
              </w:rPr>
              <w:t>1.0</w:t>
            </w:r>
          </w:p>
        </w:tc>
        <w:tc>
          <w:tcPr>
            <w:tcW w:type="dxa" w:w="1800"/>
            <w:vAlign w:val="center"/>
            <w:tcMar>
              <w:top w:w="80" w:type="dxa"/>
              <w:start w:w="120" w:type="dxa"/>
              <w:bottom w:w="80" w:type="dxa"/>
              <w:end w:w="120" w:type="dxa"/>
            </w:tcMar>
          </w:tcPr>
          <w:p>
            <w:pPr>
              <w:spacing w:after="20"/>
            </w:pPr>
            <w:r>
              <w:rPr>
                <w:rFonts w:ascii="Calibri" w:hAnsi="Calibri"/>
                <w:color w:val="2A2E2B"/>
                <w:sz w:val="17"/>
              </w:rPr>
              <w:t>1 September 2026</w:t>
            </w:r>
          </w:p>
        </w:tc>
        <w:tc>
          <w:tcPr>
            <w:tcW w:type="dxa" w:w="6408"/>
            <w:vAlign w:val="center"/>
            <w:tcMar>
              <w:top w:w="80" w:type="dxa"/>
              <w:start w:w="120" w:type="dxa"/>
              <w:bottom w:w="80" w:type="dxa"/>
              <w:end w:w="120" w:type="dxa"/>
            </w:tcMar>
          </w:tcPr>
          <w:p>
            <w:pPr>
              <w:spacing w:after="20"/>
            </w:pPr>
            <w:r>
              <w:rPr>
                <w:rFonts w:ascii="Calibri" w:hAnsi="Calibri"/>
                <w:color w:val="2A2E2B"/>
                <w:sz w:val="17"/>
              </w:rPr>
              <w:t>Requirement awal berdasarkan prototipe dan diskusi hari pertama.</w:t>
            </w:r>
          </w:p>
        </w:tc>
      </w:tr>
      <w:tr>
        <w:trPr>
          <w:cantSplit w:val="true"/>
        </w:trPr>
        <w:tc>
          <w:tcPr>
            <w:tcW w:type="dxa" w:w="1152"/>
            <w:shd w:fill="F7FAF8"/>
            <w:vAlign w:val="center"/>
            <w:tcMar>
              <w:top w:w="80" w:type="dxa"/>
              <w:start w:w="120" w:type="dxa"/>
              <w:bottom w:w="80" w:type="dxa"/>
              <w:end w:w="120" w:type="dxa"/>
            </w:tcMar>
          </w:tcPr>
          <w:p>
            <w:pPr>
              <w:spacing w:after="20"/>
            </w:pPr>
            <w:r>
              <w:rPr>
                <w:rFonts w:ascii="Calibri" w:hAnsi="Calibri"/>
                <w:color w:val="2A2E2B"/>
                <w:sz w:val="17"/>
              </w:rPr>
              <w:t>2.0</w:t>
            </w:r>
          </w:p>
        </w:tc>
        <w:tc>
          <w:tcPr>
            <w:tcW w:type="dxa" w:w="1800"/>
            <w:shd w:fill="F7FAF8"/>
            <w:vAlign w:val="center"/>
            <w:tcMar>
              <w:top w:w="80" w:type="dxa"/>
              <w:start w:w="120" w:type="dxa"/>
              <w:bottom w:w="80" w:type="dxa"/>
              <w:end w:w="120" w:type="dxa"/>
            </w:tcMar>
          </w:tcPr>
          <w:p>
            <w:pPr>
              <w:spacing w:after="20"/>
            </w:pPr>
            <w:r>
              <w:rPr>
                <w:rFonts w:ascii="Calibri" w:hAnsi="Calibri"/>
                <w:color w:val="2A2E2B"/>
                <w:sz w:val="17"/>
              </w:rPr>
              <w:t>8 September 2026</w:t>
            </w:r>
          </w:p>
        </w:tc>
        <w:tc>
          <w:tcPr>
            <w:tcW w:type="dxa" w:w="6408"/>
            <w:shd w:fill="F7FAF8"/>
            <w:vAlign w:val="center"/>
            <w:tcMar>
              <w:top w:w="80" w:type="dxa"/>
              <w:start w:w="120" w:type="dxa"/>
              <w:bottom w:w="80" w:type="dxa"/>
              <w:end w:w="120" w:type="dxa"/>
            </w:tcMar>
          </w:tcPr>
          <w:p>
            <w:pPr>
              <w:spacing w:after="20"/>
            </w:pPr>
            <w:r>
              <w:rPr>
                <w:rFonts w:ascii="Calibri" w:hAnsi="Calibri"/>
                <w:color w:val="2A2E2B"/>
                <w:sz w:val="17"/>
              </w:rPr>
              <w:t>Menetapkan MVP internal dan portal penerbit, status proses sementara, pembayaran manual yang siap integrasi SIMPONI, penyimpanan sampel naskah, checklist dokumentasi, master Tim Distribusi serta Kategori/Konten Mushaf, versioning dokumen, dan kesiapan BSrE.</w:t>
            </w:r>
          </w:p>
        </w:tc>
      </w:tr>
    </w:tbl>
    <w:p>
      <w:pPr>
        <w:spacing w:after="0"/>
      </w:pPr>
    </w:p>
    <w:p>
      <w:pPr>
        <w:pStyle w:val="Heading1"/>
      </w:pPr>
      <w:r>
        <w:t>Ringkasan Keputusan Produk</w:t>
      </w:r>
    </w:p>
    <w:p>
      <w:pPr>
        <w:pStyle w:val="ListBullet"/>
      </w:pPr>
      <w:r>
        <w:t>MVP mencakup aplikasi internal LPMQ dan portal penerbit dengan backend serta basis data bersama, tetapi antarmuka dan izin akses dipisahkan.</w:t>
      </w:r>
    </w:p>
    <w:p>
      <w:pPr>
        <w:pStyle w:val="ListBullet"/>
      </w:pPr>
      <w:r>
        <w:t>Admin internal dapat menginput pengajuan atas nama penerbit. Sumber pengajuan dicatat sebagai publisher_portal atau internal_admin.</w:t>
      </w:r>
    </w:p>
    <w:p>
      <w:pPr>
        <w:pStyle w:val="ListBullet"/>
      </w:pPr>
      <w:r>
        <w:t>Pembayaran dicatat manual pada MVP; desain data menyiapkan external_provider, external_reference, dan sync_status untuk integrasi SIMPONI.</w:t>
      </w:r>
    </w:p>
    <w:p>
      <w:pPr>
        <w:pStyle w:val="ListBullet"/>
      </w:pPr>
      <w:r>
        <w:t>File yang disimpan adalah metadata, cover, dan 2–3 halaman awal sebagai penanda; bukan keseluruhan naskah.</w:t>
      </w:r>
    </w:p>
    <w:p>
      <w:pPr>
        <w:pStyle w:val="ListBullet"/>
      </w:pPr>
      <w:r>
        <w:t>Penandatangan dokumen sementara dikonfigurasi sebagai ketua kelompok tashih/tim pentashih dan masih menunggu konfirmasi. Integrasi BSrE menjadi pengembangan lanjutan.</w:t>
      </w:r>
    </w:p>
    <w:p>
      <w:pPr>
        <w:pStyle w:val="ListBullet"/>
      </w:pPr>
      <w:r>
        <w:t>Master data utama meliputi Tim Distribusi serta Kategori/Konten Mushaf, termasuk tarif PNBP dan durasi awal–perbaikan–dumi yang berversi.</w:t>
      </w:r>
    </w:p>
    <w:p>
      <w:pPr>
        <w:pStyle w:val="Heading1"/>
      </w:pPr>
      <w:r>
        <w:t>1. Pendahuluan</w:t>
      </w:r>
    </w:p>
    <w:p>
      <w:pPr>
        <w:pStyle w:val="Heading2"/>
      </w:pPr>
      <w:r>
        <w:t>1.1 Latar Belakang</w:t>
      </w:r>
    </w:p>
    <w:p>
      <w:r>
        <w:t>LPMQ membutuhkan sistem terpadu untuk mengelola layanan pentashihan sejak data penerbit dan pengajuan naskah diterima, diverifikasi, dihitung tarif serta durasinya, didistribusikan kepada tim pentashih, didokumentasikan, hingga dokumen resmi diterbitkan dan diarsipkan. Prototipe awal membantu menggambarkan fungsi, tetapi arsitektur keamanan, autentikasi, audit, dan pengelolaan transaksi harus dibangun ulang untuk penggunaan operasional.</w:t>
      </w:r>
    </w:p>
    <w:p>
      <w:pPr>
        <w:pStyle w:val="Heading2"/>
      </w:pPr>
      <w:r>
        <w:t>1.2 Tujuan</w:t>
      </w:r>
    </w:p>
    <w:p>
      <w:pPr>
        <w:pStyle w:val="ListBullet"/>
      </w:pPr>
      <w:r>
        <w:t>Menjadi baseline kebutuhan yang dapat divalidasi dan diuji.</w:t>
      </w:r>
    </w:p>
    <w:p>
      <w:pPr>
        <w:pStyle w:val="ListBullet"/>
      </w:pPr>
      <w:r>
        <w:t>Menyatukan kebutuhan aplikasi internal dan portal penerbit.</w:t>
      </w:r>
    </w:p>
    <w:p>
      <w:pPr>
        <w:pStyle w:val="ListBullet"/>
      </w:pPr>
      <w:r>
        <w:t>Menetapkan ruang lingkup MVP, model status, data, keamanan, serta batas integrasi.</w:t>
      </w:r>
    </w:p>
    <w:p>
      <w:pPr>
        <w:pStyle w:val="ListBullet"/>
      </w:pPr>
      <w:r>
        <w:t>Menjadi acuan ERD, backlog, API, desain antarmuka, dan UAT.</w:t>
      </w:r>
    </w:p>
    <w:p>
      <w:pPr>
        <w:pStyle w:val="Heading2"/>
      </w:pPr>
      <w:r>
        <w:t>1.3 Definisi</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088"/>
            <w:shd w:fill="0B5E3B"/>
            <w:vAlign w:val="center"/>
            <w:tcMar>
              <w:top w:w="80" w:type="dxa"/>
              <w:start w:w="120" w:type="dxa"/>
              <w:bottom w:w="80" w:type="dxa"/>
              <w:end w:w="120" w:type="dxa"/>
            </w:tcMar>
          </w:tcPr>
          <w:p>
            <w:r>
              <w:rPr>
                <w:b/>
                <w:color w:val="FFFFFF"/>
                <w:sz w:val="17"/>
              </w:rPr>
              <w:t>Istilah</w:t>
            </w:r>
          </w:p>
        </w:tc>
        <w:tc>
          <w:tcPr>
            <w:tcW w:type="dxa" w:w="7272"/>
            <w:shd w:fill="0B5E3B"/>
            <w:vAlign w:val="center"/>
            <w:tcMar>
              <w:top w:w="80" w:type="dxa"/>
              <w:start w:w="120" w:type="dxa"/>
              <w:bottom w:w="80" w:type="dxa"/>
              <w:end w:w="120" w:type="dxa"/>
            </w:tcMar>
          </w:tcPr>
          <w:p>
            <w:r>
              <w:rPr>
                <w:b/>
                <w:color w:val="FFFFFF"/>
                <w:sz w:val="17"/>
              </w:rPr>
              <w:t>Definisi</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Tashih</w:t>
            </w:r>
          </w:p>
        </w:tc>
        <w:tc>
          <w:tcPr>
            <w:tcW w:type="dxa" w:w="7272"/>
            <w:vAlign w:val="center"/>
            <w:tcMar>
              <w:top w:w="80" w:type="dxa"/>
              <w:start w:w="120" w:type="dxa"/>
              <w:bottom w:w="80" w:type="dxa"/>
              <w:end w:w="120" w:type="dxa"/>
            </w:tcMar>
          </w:tcPr>
          <w:p>
            <w:pPr>
              <w:spacing w:after="20"/>
            </w:pPr>
            <w:r>
              <w:rPr>
                <w:rFonts w:ascii="Calibri" w:hAnsi="Calibri"/>
                <w:color w:val="2A2E2B"/>
                <w:sz w:val="17"/>
              </w:rPr>
              <w:t>Pemeriksaan dan pengesahan kesesuaian naskah mushaf Al-Qur’an.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Naskah awal</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Versi naskah pada pemeriksaan tahap pertama.</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Naskah perbaikan</w:t>
            </w:r>
          </w:p>
        </w:tc>
        <w:tc>
          <w:tcPr>
            <w:tcW w:type="dxa" w:w="7272"/>
            <w:vAlign w:val="center"/>
            <w:tcMar>
              <w:top w:w="80" w:type="dxa"/>
              <w:start w:w="120" w:type="dxa"/>
              <w:bottom w:w="80" w:type="dxa"/>
              <w:end w:w="120" w:type="dxa"/>
            </w:tcMar>
          </w:tcPr>
          <w:p>
            <w:pPr>
              <w:spacing w:after="20"/>
            </w:pPr>
            <w:r>
              <w:rPr>
                <w:rFonts w:ascii="Calibri" w:hAnsi="Calibri"/>
                <w:color w:val="2A2E2B"/>
                <w:sz w:val="17"/>
              </w:rPr>
              <w:t>Versi yang dikirim setelah adanya catatan hasil pemeriksaan.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Dumi</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Contoh cetak/dummy untuk pemeriksaan tahap akhir.</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PNBP</w:t>
            </w:r>
          </w:p>
        </w:tc>
        <w:tc>
          <w:tcPr>
            <w:tcW w:type="dxa" w:w="7272"/>
            <w:vAlign w:val="center"/>
            <w:tcMar>
              <w:top w:w="80" w:type="dxa"/>
              <w:start w:w="120" w:type="dxa"/>
              <w:bottom w:w="80" w:type="dxa"/>
              <w:end w:w="120" w:type="dxa"/>
            </w:tcMar>
          </w:tcPr>
          <w:p>
            <w:pPr>
              <w:spacing w:after="20"/>
            </w:pPr>
            <w:r>
              <w:rPr>
                <w:rFonts w:ascii="Calibri" w:hAnsi="Calibri"/>
                <w:color w:val="2A2E2B"/>
                <w:sz w:val="17"/>
              </w:rPr>
              <w:t>Penerimaan Negara Bukan Pajak atas layanan pentashihan.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Portal penerbit</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Antarmuka terbatas bagi penerbit untuk pengajuan dan pemantauan.</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Checklist dokumentasi</w:t>
            </w:r>
          </w:p>
        </w:tc>
        <w:tc>
          <w:tcPr>
            <w:tcW w:type="dxa" w:w="7272"/>
            <w:vAlign w:val="center"/>
            <w:tcMar>
              <w:top w:w="80" w:type="dxa"/>
              <w:start w:w="120" w:type="dxa"/>
              <w:bottom w:w="80" w:type="dxa"/>
              <w:end w:w="120" w:type="dxa"/>
            </w:tcMar>
          </w:tcPr>
          <w:p>
            <w:pPr>
              <w:spacing w:after="20"/>
            </w:pPr>
            <w:r>
              <w:rPr>
                <w:rFonts w:ascii="Calibri" w:hAnsi="Calibri"/>
                <w:color w:val="2A2E2B"/>
                <w:sz w:val="17"/>
              </w:rPr>
              <w:t>Daftar dokumen wajib dan progres kelengkapannya.</w:t>
            </w:r>
          </w:p>
        </w:tc>
      </w:tr>
    </w:tbl>
    <w:p>
      <w:pPr>
        <w:spacing w:after="0"/>
      </w:pPr>
    </w:p>
    <w:p>
      <w:pPr>
        <w:pStyle w:val="Heading1"/>
      </w:pPr>
      <w:r>
        <w:t>2. Ruang Lingkup</w:t>
      </w:r>
    </w:p>
    <w:p>
      <w:pPr>
        <w:pStyle w:val="Heading2"/>
      </w:pPr>
      <w:r>
        <w:t>2.1 Termasuk dalam MVP</w:t>
      </w:r>
    </w:p>
    <w:p>
      <w:pPr>
        <w:pStyle w:val="ListBullet"/>
      </w:pPr>
      <w:r>
        <w:t>Autentikasi, pengguna, role dan permission.</w:t>
      </w:r>
    </w:p>
    <w:p>
      <w:pPr>
        <w:pStyle w:val="ListBullet"/>
      </w:pPr>
      <w:r>
        <w:t>Profil penerbit dan dokumen badan hukum.</w:t>
      </w:r>
    </w:p>
    <w:p>
      <w:pPr>
        <w:pStyle w:val="ListBullet"/>
      </w:pPr>
      <w:r>
        <w:t>Pengajuan melalui portal atau input manual admin.</w:t>
      </w:r>
    </w:p>
    <w:p>
      <w:pPr>
        <w:pStyle w:val="ListBullet"/>
      </w:pPr>
      <w:r>
        <w:t>Unggah cover dan 2–3 halaman awal beserta metadata/versioning.</w:t>
      </w:r>
    </w:p>
    <w:p>
      <w:pPr>
        <w:pStyle w:val="ListBullet"/>
      </w:pPr>
      <w:r>
        <w:t>Antrean dan penugasan verifikasi.</w:t>
      </w:r>
    </w:p>
    <w:p>
      <w:pPr>
        <w:pStyle w:val="ListBullet"/>
      </w:pPr>
      <w:r>
        <w:t>Kalkulasi tarif dan durasi berbasis master data serta snapshot transaksi.</w:t>
      </w:r>
    </w:p>
    <w:p>
      <w:pPr>
        <w:pStyle w:val="ListBullet"/>
      </w:pPr>
      <w:r>
        <w:t>Pencatatan billing dan pembayaran manual.</w:t>
      </w:r>
    </w:p>
    <w:p>
      <w:pPr>
        <w:pStyle w:val="ListBullet"/>
      </w:pPr>
      <w:r>
        <w:t>Master Tim Distribusi dan penugasan tahap awal, perbaikan, serta dumi.</w:t>
      </w:r>
    </w:p>
    <w:p>
      <w:pPr>
        <w:pStyle w:val="ListBullet"/>
      </w:pPr>
      <w:r>
        <w:t>Pencatatan hasil tashih dan iterasi perbaikan.</w:t>
      </w:r>
    </w:p>
    <w:p>
      <w:pPr>
        <w:pStyle w:val="ListBullet"/>
      </w:pPr>
      <w:r>
        <w:t>Checklist dokumentasi dan arsip file.</w:t>
      </w:r>
    </w:p>
    <w:p>
      <w:pPr>
        <w:pStyle w:val="ListBullet"/>
      </w:pPr>
      <w:r>
        <w:t>Penerbitan dokumen resmi, penandatangan fleksibel, QR/verifikasi publik terbatas.</w:t>
      </w:r>
    </w:p>
    <w:p>
      <w:pPr>
        <w:pStyle w:val="ListBullet"/>
      </w:pPr>
      <w:r>
        <w:t>Dashboard operasional, laporan dasar, notifikasi, dan audit log.</w:t>
      </w:r>
    </w:p>
    <w:p>
      <w:pPr>
        <w:pStyle w:val="Heading2"/>
      </w:pPr>
      <w:r>
        <w:t>2.2 Di luar MVP / fase lanjutan</w:t>
      </w:r>
    </w:p>
    <w:p>
      <w:pPr>
        <w:pStyle w:val="ListBullet"/>
      </w:pPr>
      <w:r>
        <w:t>Integrasi langsung dengan SIMPONI.</w:t>
      </w:r>
    </w:p>
    <w:p>
      <w:pPr>
        <w:pStyle w:val="ListBullet"/>
      </w:pPr>
      <w:r>
        <w:t>Tanda tangan elektronik BSrE.</w:t>
      </w:r>
    </w:p>
    <w:p>
      <w:pPr>
        <w:pStyle w:val="ListBullet"/>
      </w:pPr>
      <w:r>
        <w:t>SSO/SIMPEG.</w:t>
      </w:r>
    </w:p>
    <w:p>
      <w:pPr>
        <w:pStyle w:val="ListBullet"/>
      </w:pPr>
      <w:r>
        <w:t>Penyimpanan keseluruhan naskah.</w:t>
      </w:r>
    </w:p>
    <w:p>
      <w:pPr>
        <w:pStyle w:val="ListBullet"/>
      </w:pPr>
      <w:r>
        <w:t>Analitik lanjutan dan otomatisasi kapasitas penuh.</w:t>
      </w:r>
    </w:p>
    <w:p>
      <w:pPr>
        <w:pStyle w:val="ListBullet"/>
      </w:pPr>
      <w:r>
        <w:t>Aplikasi mobile native.</w:t>
      </w:r>
    </w:p>
    <w:p>
      <w:pPr>
        <w:pStyle w:val="Heading1"/>
      </w:pPr>
      <w:r>
        <w:t>3. Arsitektur Produk dan Kanal</w:t>
      </w:r>
    </w:p>
    <w:p>
      <w:r>
        <w:t>Sistem memiliki dua aplikasi web yang menggunakan API dan basis data bersama. Pemisahan antarmuka tidak berarti duplikasi data. Setiap endpoint menerapkan autentikasi dan otorisasi server-side.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800"/>
            <w:shd w:fill="0B5E3B"/>
            <w:vAlign w:val="center"/>
            <w:tcMar>
              <w:top w:w="80" w:type="dxa"/>
              <w:start w:w="120" w:type="dxa"/>
              <w:bottom w:w="80" w:type="dxa"/>
              <w:end w:w="120" w:type="dxa"/>
            </w:tcMar>
          </w:tcPr>
          <w:p>
            <w:r>
              <w:rPr>
                <w:b/>
                <w:color w:val="FFFFFF"/>
                <w:sz w:val="17"/>
              </w:rPr>
              <w:t>Kanal</w:t>
            </w:r>
          </w:p>
        </w:tc>
        <w:tc>
          <w:tcPr>
            <w:tcW w:type="dxa" w:w="2952"/>
            <w:shd w:fill="0B5E3B"/>
            <w:vAlign w:val="center"/>
            <w:tcMar>
              <w:top w:w="80" w:type="dxa"/>
              <w:start w:w="120" w:type="dxa"/>
              <w:bottom w:w="80" w:type="dxa"/>
              <w:end w:w="120" w:type="dxa"/>
            </w:tcMar>
          </w:tcPr>
          <w:p>
            <w:r>
              <w:rPr>
                <w:b/>
                <w:color w:val="FFFFFF"/>
                <w:sz w:val="17"/>
              </w:rPr>
              <w:t>Pengguna</w:t>
            </w:r>
          </w:p>
        </w:tc>
        <w:tc>
          <w:tcPr>
            <w:tcW w:type="dxa" w:w="4608"/>
            <w:shd w:fill="0B5E3B"/>
            <w:vAlign w:val="center"/>
            <w:tcMar>
              <w:top w:w="80" w:type="dxa"/>
              <w:start w:w="120" w:type="dxa"/>
              <w:bottom w:w="80" w:type="dxa"/>
              <w:end w:w="120" w:type="dxa"/>
            </w:tcMar>
          </w:tcPr>
          <w:p>
            <w:r>
              <w:rPr>
                <w:b/>
                <w:color w:val="FFFFFF"/>
                <w:sz w:val="17"/>
              </w:rPr>
              <w:t>Fungsi utama</w:t>
            </w:r>
          </w:p>
        </w:tc>
      </w:tr>
      <w:tr>
        <w:trPr>
          <w:cantSplit w:val="true"/>
        </w:trPr>
        <w:tc>
          <w:tcPr>
            <w:tcW w:type="dxa" w:w="1800"/>
            <w:vAlign w:val="center"/>
            <w:tcMar>
              <w:top w:w="80" w:type="dxa"/>
              <w:start w:w="120" w:type="dxa"/>
              <w:bottom w:w="80" w:type="dxa"/>
              <w:end w:w="120" w:type="dxa"/>
            </w:tcMar>
          </w:tcPr>
          <w:p>
            <w:pPr>
              <w:spacing w:after="20"/>
            </w:pPr>
            <w:r>
              <w:rPr>
                <w:rFonts w:ascii="Calibri" w:hAnsi="Calibri"/>
                <w:color w:val="2A2E2B"/>
                <w:sz w:val="17"/>
              </w:rPr>
              <w:t>Portal penerbit</w:t>
            </w:r>
          </w:p>
        </w:tc>
        <w:tc>
          <w:tcPr>
            <w:tcW w:type="dxa" w:w="2952"/>
            <w:vAlign w:val="center"/>
            <w:tcMar>
              <w:top w:w="80" w:type="dxa"/>
              <w:start w:w="120" w:type="dxa"/>
              <w:bottom w:w="80" w:type="dxa"/>
              <w:end w:w="120" w:type="dxa"/>
            </w:tcMar>
          </w:tcPr>
          <w:p>
            <w:pPr>
              <w:spacing w:after="20"/>
            </w:pPr>
            <w:r>
              <w:rPr>
                <w:rFonts w:ascii="Calibri" w:hAnsi="Calibri"/>
                <w:color w:val="2A2E2B"/>
                <w:sz w:val="17"/>
              </w:rPr>
              <w:t>Penerbit/PIC</w:t>
            </w:r>
          </w:p>
        </w:tc>
        <w:tc>
          <w:tcPr>
            <w:tcW w:type="dxa" w:w="4608"/>
            <w:vAlign w:val="center"/>
            <w:tcMar>
              <w:top w:w="80" w:type="dxa"/>
              <w:start w:w="120" w:type="dxa"/>
              <w:bottom w:w="80" w:type="dxa"/>
              <w:end w:w="120" w:type="dxa"/>
            </w:tcMar>
          </w:tcPr>
          <w:p>
            <w:pPr>
              <w:spacing w:after="20"/>
            </w:pPr>
            <w:r>
              <w:rPr>
                <w:rFonts w:ascii="Calibri" w:hAnsi="Calibri"/>
                <w:color w:val="2A2E2B"/>
                <w:sz w:val="17"/>
              </w:rPr>
              <w:t>Profil, pengajuan, upload sampel, revisi, status, pembayaran, unduh dokumen.</w:t>
            </w:r>
          </w:p>
        </w:tc>
      </w:tr>
      <w:tr>
        <w:trPr>
          <w:cantSplit w:val="true"/>
        </w:trPr>
        <w:tc>
          <w:tcPr>
            <w:tcW w:type="dxa" w:w="1800"/>
            <w:shd w:fill="F7FAF8"/>
            <w:vAlign w:val="center"/>
            <w:tcMar>
              <w:top w:w="80" w:type="dxa"/>
              <w:start w:w="120" w:type="dxa"/>
              <w:bottom w:w="80" w:type="dxa"/>
              <w:end w:w="120" w:type="dxa"/>
            </w:tcMar>
          </w:tcPr>
          <w:p>
            <w:pPr>
              <w:spacing w:after="20"/>
            </w:pPr>
            <w:r>
              <w:rPr>
                <w:rFonts w:ascii="Calibri" w:hAnsi="Calibri"/>
                <w:color w:val="2A2E2B"/>
                <w:sz w:val="17"/>
              </w:rPr>
              <w:t>Aplikasi internal</w:t>
            </w:r>
          </w:p>
        </w:tc>
        <w:tc>
          <w:tcPr>
            <w:tcW w:type="dxa" w:w="2952"/>
            <w:shd w:fill="F7FAF8"/>
            <w:vAlign w:val="center"/>
            <w:tcMar>
              <w:top w:w="80" w:type="dxa"/>
              <w:start w:w="120" w:type="dxa"/>
              <w:bottom w:w="80" w:type="dxa"/>
              <w:end w:w="120" w:type="dxa"/>
            </w:tcMar>
          </w:tcPr>
          <w:p>
            <w:pPr>
              <w:spacing w:after="20"/>
            </w:pPr>
            <w:r>
              <w:rPr>
                <w:rFonts w:ascii="Calibri" w:hAnsi="Calibri"/>
                <w:color w:val="2A2E2B"/>
                <w:sz w:val="17"/>
              </w:rPr>
              <w:t>Admin, verifikator, distributor, pentashih, dokumentator, pimpinan/auditor</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7"/>
              </w:rPr>
              <w:t>Operasional internal, verifikasi, penugasan, hasil tashih, dokumentasi, master, laporan, audit.</w:t>
            </w:r>
          </w:p>
        </w:tc>
      </w:tr>
      <w:tr>
        <w:trPr>
          <w:cantSplit w:val="true"/>
        </w:trPr>
        <w:tc>
          <w:tcPr>
            <w:tcW w:type="dxa" w:w="1800"/>
            <w:vAlign w:val="center"/>
            <w:tcMar>
              <w:top w:w="80" w:type="dxa"/>
              <w:start w:w="120" w:type="dxa"/>
              <w:bottom w:w="80" w:type="dxa"/>
              <w:end w:w="120" w:type="dxa"/>
            </w:tcMar>
          </w:tcPr>
          <w:p>
            <w:pPr>
              <w:spacing w:after="20"/>
            </w:pPr>
            <w:r>
              <w:rPr>
                <w:rFonts w:ascii="Calibri" w:hAnsi="Calibri"/>
                <w:color w:val="2A2E2B"/>
                <w:sz w:val="17"/>
              </w:rPr>
              <w:t>API bersama</w:t>
            </w:r>
          </w:p>
        </w:tc>
        <w:tc>
          <w:tcPr>
            <w:tcW w:type="dxa" w:w="2952"/>
            <w:vAlign w:val="center"/>
            <w:tcMar>
              <w:top w:w="80" w:type="dxa"/>
              <w:start w:w="120" w:type="dxa"/>
              <w:bottom w:w="80" w:type="dxa"/>
              <w:end w:w="120" w:type="dxa"/>
            </w:tcMar>
          </w:tcPr>
          <w:p>
            <w:pPr>
              <w:spacing w:after="20"/>
            </w:pPr>
            <w:r>
              <w:rPr>
                <w:rFonts w:ascii="Calibri" w:hAnsi="Calibri"/>
                <w:color w:val="2A2E2B"/>
                <w:sz w:val="17"/>
              </w:rPr>
              <w:t>Kedua kanal</w:t>
            </w:r>
          </w:p>
        </w:tc>
        <w:tc>
          <w:tcPr>
            <w:tcW w:type="dxa" w:w="4608"/>
            <w:vAlign w:val="center"/>
            <w:tcMar>
              <w:top w:w="80" w:type="dxa"/>
              <w:start w:w="120" w:type="dxa"/>
              <w:bottom w:w="80" w:type="dxa"/>
              <w:end w:w="120" w:type="dxa"/>
            </w:tcMar>
          </w:tcPr>
          <w:p>
            <w:pPr>
              <w:spacing w:after="20"/>
            </w:pPr>
            <w:r>
              <w:rPr>
                <w:rFonts w:ascii="Calibri" w:hAnsi="Calibri"/>
                <w:color w:val="2A2E2B"/>
                <w:sz w:val="17"/>
              </w:rPr>
              <w:t>Business rule, RBAC, transaksi, audit, file privat, dan integrasi masa depan.</w:t>
            </w:r>
          </w:p>
        </w:tc>
      </w:tr>
    </w:tbl>
    <w:p>
      <w:pPr>
        <w:spacing w:after="0"/>
      </w:pPr>
    </w:p>
    <w:p>
      <w:pPr>
        <w:pStyle w:val="Heading1"/>
      </w:pPr>
      <w:r>
        <w:t>4. Aktor dan Hak Akses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232"/>
            <w:shd w:fill="0B5E3B"/>
            <w:vAlign w:val="center"/>
            <w:tcMar>
              <w:top w:w="80" w:type="dxa"/>
              <w:start w:w="120" w:type="dxa"/>
              <w:bottom w:w="80" w:type="dxa"/>
              <w:end w:w="120" w:type="dxa"/>
            </w:tcMar>
          </w:tcPr>
          <w:p>
            <w:r>
              <w:rPr>
                <w:b/>
                <w:color w:val="FFFFFF"/>
                <w:sz w:val="17"/>
              </w:rPr>
              <w:t>Aktor</w:t>
            </w:r>
          </w:p>
        </w:tc>
        <w:tc>
          <w:tcPr>
            <w:tcW w:type="dxa" w:w="7128"/>
            <w:shd w:fill="0B5E3B"/>
            <w:vAlign w:val="center"/>
            <w:tcMar>
              <w:top w:w="80" w:type="dxa"/>
              <w:start w:w="120" w:type="dxa"/>
              <w:bottom w:w="80" w:type="dxa"/>
              <w:end w:w="120" w:type="dxa"/>
            </w:tcMar>
          </w:tcPr>
          <w:p>
            <w:r>
              <w:rPr>
                <w:b/>
                <w:color w:val="FFFFFF"/>
                <w:sz w:val="17"/>
              </w:rPr>
              <w:t>Hak akses utama</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Admin</w:t>
            </w:r>
          </w:p>
        </w:tc>
        <w:tc>
          <w:tcPr>
            <w:tcW w:type="dxa" w:w="7128"/>
            <w:vAlign w:val="center"/>
            <w:tcMar>
              <w:top w:w="80" w:type="dxa"/>
              <w:start w:w="120" w:type="dxa"/>
              <w:bottom w:w="80" w:type="dxa"/>
              <w:end w:w="120" w:type="dxa"/>
            </w:tcMar>
          </w:tcPr>
          <w:p>
            <w:pPr>
              <w:spacing w:after="20"/>
            </w:pPr>
            <w:r>
              <w:rPr>
                <w:rFonts w:ascii="Calibri" w:hAnsi="Calibri"/>
                <w:color w:val="2A2E2B"/>
                <w:sz w:val="17"/>
              </w:rPr>
              <w:t>Kelola pengguna, penerbit, input pengajuan atas nama penerbit, master data, konfigurasi, dan akses operasional sesuai permission.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Penerbit</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Kelola data milik sendiri, membuat dan memperbarui draft, mengajukan, mengunggah revisi/sampel, melihat billing/status/dokumen sendiri.</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Verifikator</w:t>
            </w:r>
          </w:p>
        </w:tc>
        <w:tc>
          <w:tcPr>
            <w:tcW w:type="dxa" w:w="7128"/>
            <w:vAlign w:val="center"/>
            <w:tcMar>
              <w:top w:w="80" w:type="dxa"/>
              <w:start w:w="120" w:type="dxa"/>
              <w:bottom w:w="80" w:type="dxa"/>
              <w:end w:w="120" w:type="dxa"/>
            </w:tcMar>
          </w:tcPr>
          <w:p>
            <w:pPr>
              <w:spacing w:after="20"/>
            </w:pPr>
            <w:r>
              <w:rPr>
                <w:rFonts w:ascii="Calibri" w:hAnsi="Calibri"/>
                <w:color w:val="2A2E2B"/>
                <w:sz w:val="17"/>
              </w:rPr>
              <w:t>Melihat tugas yang ditugaskan, memeriksa kelengkapan, mencatat keputusan dan catatan.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Distributor</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Mengelola antrean distribusi dan menugaskan naskah ke tim/pentashih sesuai tahap.</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Pentashih</w:t>
            </w:r>
          </w:p>
        </w:tc>
        <w:tc>
          <w:tcPr>
            <w:tcW w:type="dxa" w:w="7128"/>
            <w:vAlign w:val="center"/>
            <w:tcMar>
              <w:top w:w="80" w:type="dxa"/>
              <w:start w:w="120" w:type="dxa"/>
              <w:bottom w:w="80" w:type="dxa"/>
              <w:end w:w="120" w:type="dxa"/>
            </w:tcMar>
          </w:tcPr>
          <w:p>
            <w:pPr>
              <w:spacing w:after="20"/>
            </w:pPr>
            <w:r>
              <w:rPr>
                <w:rFonts w:ascii="Calibri" w:hAnsi="Calibri"/>
                <w:color w:val="2A2E2B"/>
                <w:sz w:val="17"/>
              </w:rPr>
              <w:t>Melihat penugasan sendiri dan mencatat hasil pemeriksaan.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Ketua kelompok tashih</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Mengawasi hasil kelompok dan menjadi kandidat penandatangan; kewenangan final menunggu konfirmasi.</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Dokumentator</w:t>
            </w:r>
          </w:p>
        </w:tc>
        <w:tc>
          <w:tcPr>
            <w:tcW w:type="dxa" w:w="7128"/>
            <w:vAlign w:val="center"/>
            <w:tcMar>
              <w:top w:w="80" w:type="dxa"/>
              <w:start w:w="120" w:type="dxa"/>
              <w:bottom w:w="80" w:type="dxa"/>
              <w:end w:w="120" w:type="dxa"/>
            </w:tcMar>
          </w:tcPr>
          <w:p>
            <w:pPr>
              <w:spacing w:after="20"/>
            </w:pPr>
            <w:r>
              <w:rPr>
                <w:rFonts w:ascii="Calibri" w:hAnsi="Calibri"/>
                <w:color w:val="2A2E2B"/>
                <w:sz w:val="17"/>
              </w:rPr>
              <w:t>Mengelola checklist, arsip, dokumen pembayaran/tashih/tanda terima, dan penerbitan dokumen resmi.</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Pimpinan/Auditor</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Akses baca laporan dan audit sesuai lingkup izin.</w:t>
            </w:r>
          </w:p>
        </w:tc>
      </w:tr>
    </w:tbl>
    <w:p>
      <w:pPr>
        <w:spacing w:after="0"/>
      </w:pPr>
    </w:p>
    <w:p>
      <w:r>
        <w:t>Pengguna internal dapat memiliki lebih dari satu role. Izin efektif berasal dari gabungan permission, sedangkan role aktif hanya mengatur navigasi/tampilan.</w:t>
      </w:r>
    </w:p>
    <w:p>
      <w:pPr>
        <w:pStyle w:val="Heading1"/>
      </w:pPr>
      <w:r>
        <w:t>5. Kebutuhan Fungsional</w:t>
      </w:r>
    </w:p>
    <w:p>
      <w:pPr>
        <w:pStyle w:val="Heading2"/>
      </w:pPr>
      <w:r>
        <w:t>5.1 Autentikasi dan Akses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RF-AUTH-01</w:t>
            </w:r>
          </w:p>
        </w:tc>
        <w:tc>
          <w:tcPr>
            <w:tcW w:type="dxa" w:w="6840"/>
            <w:vAlign w:val="center"/>
            <w:tcMar>
              <w:top w:w="80" w:type="dxa"/>
              <w:start w:w="120" w:type="dxa"/>
              <w:bottom w:w="80" w:type="dxa"/>
              <w:end w:w="120" w:type="dxa"/>
            </w:tcMar>
          </w:tcPr>
          <w:p>
            <w:pPr>
              <w:spacing w:after="20"/>
            </w:pPr>
            <w:r>
              <w:rPr>
                <w:rFonts w:ascii="Calibri" w:hAnsi="Calibri"/>
                <w:color w:val="2A2E2B"/>
                <w:sz w:val="16"/>
              </w:rPr>
              <w:t>Login diverifikasi pada server dan menghasilkan sesi/token yang dapat dicabut.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RF-AUTH-02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menerapkan multi-role dan permission dengan default deny.</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RF-AUTH-03</w:t>
            </w:r>
          </w:p>
        </w:tc>
        <w:tc>
          <w:tcPr>
            <w:tcW w:type="dxa" w:w="6840"/>
            <w:vAlign w:val="center"/>
            <w:tcMar>
              <w:top w:w="80" w:type="dxa"/>
              <w:start w:w="120" w:type="dxa"/>
              <w:bottom w:w="80" w:type="dxa"/>
              <w:end w:w="120" w:type="dxa"/>
            </w:tcMar>
          </w:tcPr>
          <w:p>
            <w:pPr>
              <w:spacing w:after="20"/>
            </w:pPr>
            <w:r>
              <w:rPr>
                <w:rFonts w:ascii="Calibri" w:hAnsi="Calibri"/>
                <w:color w:val="2A2E2B"/>
                <w:sz w:val="16"/>
              </w:rPr>
              <w:t>Password disimpan sebagai hash adaptif dan tidak pernah dikembalikan ke client.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RF-AUTH-04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Reset password menggunakan token per pengguna; tidak menggunakan PIN global.</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RF-AUTH-05</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dapat menonaktifkan akun tanpa menghapus riwayat.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5.2 Penerbit dan Portal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 dapat membuat akun dan mengelola profil badan hukum.</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RF-PUB-02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Dokumen wajib dapat dikonfigurasi sesuai jenis badan hukum.</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RF-PUB-03</w:t>
            </w:r>
          </w:p>
        </w:tc>
        <w:tc>
          <w:tcPr>
            <w:tcW w:type="dxa" w:w="6840"/>
            <w:vAlign w:val="center"/>
            <w:tcMar>
              <w:top w:w="80" w:type="dxa"/>
              <w:start w:w="120" w:type="dxa"/>
              <w:bottom w:w="80" w:type="dxa"/>
              <w:end w:w="120" w:type="dxa"/>
            </w:tcMar>
          </w:tcPr>
          <w:p>
            <w:pPr>
              <w:spacing w:after="20"/>
            </w:pPr>
            <w:r>
              <w:rPr>
                <w:rFonts w:ascii="Calibri" w:hAnsi="Calibri"/>
                <w:color w:val="2A2E2B"/>
                <w:sz w:val="16"/>
              </w:rPr>
              <w:t>Petugas dapat memverifikasi, meminta perbaikan, menerima, atau menolak profil.</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RF-PUB-04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Penerbit hanya dapat melihat dan mengubah data miliknya.</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Portal menampilkan status, catatan tindakan, billing, dan dokumen milik penerbit.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5.3 Pengajuan Naskah</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 atau admin dapat membuat draft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mencatat submission_source: publisher_portal atau internal_admin.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RF-REG-03</w:t>
            </w:r>
          </w:p>
        </w:tc>
        <w:tc>
          <w:tcPr>
            <w:tcW w:type="dxa" w:w="6840"/>
            <w:vAlign w:val="center"/>
            <w:tcMar>
              <w:top w:w="80" w:type="dxa"/>
              <w:start w:w="120" w:type="dxa"/>
              <w:bottom w:w="80" w:type="dxa"/>
              <w:end w:w="120" w:type="dxa"/>
            </w:tcMar>
          </w:tcPr>
          <w:p>
            <w:pPr>
              <w:spacing w:after="20"/>
            </w:pPr>
            <w:r>
              <w:rPr>
                <w:rFonts w:ascii="Calibri" w:hAnsi="Calibri"/>
                <w:color w:val="2A2E2B"/>
                <w:sz w:val="16"/>
              </w:rPr>
              <w:t>Nomor pengajuan dibuat unik saat submit.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Pengajuan memilih kategori dan jenis konten dari master aktif.</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RF-REG-05</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menyimpan metadata, cover, dan 2–3 halaman awal sebagai penanda.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Perubahan status tersimpan pada riwayat append-only.</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RF-REG-07</w:t>
            </w:r>
          </w:p>
        </w:tc>
        <w:tc>
          <w:tcPr>
            <w:tcW w:type="dxa" w:w="6840"/>
            <w:vAlign w:val="center"/>
            <w:tcMar>
              <w:top w:w="80" w:type="dxa"/>
              <w:start w:w="120" w:type="dxa"/>
              <w:bottom w:w="80" w:type="dxa"/>
              <w:end w:w="120" w:type="dxa"/>
            </w:tcMar>
          </w:tcPr>
          <w:p>
            <w:pPr>
              <w:spacing w:after="20"/>
            </w:pPr>
            <w:r>
              <w:rPr>
                <w:rFonts w:ascii="Calibri" w:hAnsi="Calibri"/>
                <w:color w:val="2A2E2B"/>
                <w:sz w:val="16"/>
              </w:rPr>
              <w:t>Daftar pengajuan mendukung pencarian, filter, sorting, dan pagination.</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5.4 Verifikasi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Pengajuan dapat ditugaskan kepada verifikator tertentu.</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RF-VER-02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Halaman menyediakan tampilan Tugas Saya berdasarkan verifier_id.</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RF-VER-03</w:t>
            </w:r>
          </w:p>
        </w:tc>
        <w:tc>
          <w:tcPr>
            <w:tcW w:type="dxa" w:w="6840"/>
            <w:vAlign w:val="center"/>
            <w:tcMar>
              <w:top w:w="80" w:type="dxa"/>
              <w:start w:w="120" w:type="dxa"/>
              <w:bottom w:w="80" w:type="dxa"/>
              <w:end w:w="120" w:type="dxa"/>
            </w:tcMar>
          </w:tcPr>
          <w:p>
            <w:pPr>
              <w:spacing w:after="20"/>
            </w:pPr>
            <w:r>
              <w:rPr>
                <w:rFonts w:ascii="Calibri" w:hAnsi="Calibri"/>
                <w:color w:val="2A2E2B"/>
                <w:sz w:val="16"/>
              </w:rPr>
              <w:t>Antrean menyediakan filter Siap Diverifikasi, Sedang Diproses, Perlu Perbaikan, dan Selesai Tashih.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RF-VER-04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Verifikator dapat menyimpan checklist, catatan, dan keputusan.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RF-VER-05</w:t>
            </w:r>
          </w:p>
        </w:tc>
        <w:tc>
          <w:tcPr>
            <w:tcW w:type="dxa" w:w="6840"/>
            <w:vAlign w:val="center"/>
            <w:tcMar>
              <w:top w:w="80" w:type="dxa"/>
              <w:start w:w="120" w:type="dxa"/>
              <w:bottom w:w="80" w:type="dxa"/>
              <w:end w:w="120" w:type="dxa"/>
            </w:tcMar>
          </w:tcPr>
          <w:p>
            <w:pPr>
              <w:spacing w:after="20"/>
            </w:pPr>
            <w:r>
              <w:rPr>
                <w:rFonts w:ascii="Calibri" w:hAnsi="Calibri"/>
                <w:color w:val="2A2E2B"/>
                <w:sz w:val="16"/>
              </w:rPr>
              <w:t>Transisi ilegal atau perubahan oleh petugas tanpa izin ditolak.</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5.5 Master Data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RF-MST-01</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kategori Mushaf Cetak, Digital, Audio/Visual, dan Lainnya.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Admin mengelola konten/layanan, tarif, satuan, durasi awal–perbaikan–dumi, urutan, dan status.</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RF-MST-03</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Tim Distribusi, SK/periode, ketua, anggota, dan status.</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Data master yang sudah dipakai dinonaktifkan, bukan dihapus permanen.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Perubahan tarif/durasi mempunyai effective date dan audit trail.</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5.6 Tarif dan SLA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RF-CALC-01</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menghitung preview tarif dan SLA dari master aktif.</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Tarif dan SLA final disimpan sebagai snapshot immutable pada pengajuan.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RF-CALC-03</w:t>
            </w:r>
          </w:p>
        </w:tc>
        <w:tc>
          <w:tcPr>
            <w:tcW w:type="dxa" w:w="6840"/>
            <w:vAlign w:val="center"/>
            <w:tcMar>
              <w:top w:w="80" w:type="dxa"/>
              <w:start w:w="120" w:type="dxa"/>
              <w:bottom w:w="80" w:type="dxa"/>
              <w:end w:w="120" w:type="dxa"/>
            </w:tcMar>
          </w:tcPr>
          <w:p>
            <w:pPr>
              <w:spacing w:after="20"/>
            </w:pPr>
            <w:r>
              <w:rPr>
                <w:rFonts w:ascii="Calibri" w:hAnsi="Calibri"/>
                <w:color w:val="2A2E2B"/>
                <w:sz w:val="16"/>
              </w:rPr>
              <w:t>Perubahan master tidak mengubah transaksi lama.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Perhitungan hari kerja menggunakan kalender kerja yang dikonfigurasi.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RF-CALC-05</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menampilkan rincian biaya dan estimasi sebelum konfirmasi.</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5.7 Pembayaran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RF-PAY-01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Petugas mencatat nomor billing, nominal, tanggal, tenggat, status, dan bukti pembayaran.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RF-PAY-02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Riwayat pembayaran mendukung lebih dari satu record, tetapi hanya satu billing aktif pada satu waktu.</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RF-PAY-03</w:t>
            </w:r>
          </w:p>
        </w:tc>
        <w:tc>
          <w:tcPr>
            <w:tcW w:type="dxa" w:w="6840"/>
            <w:vAlign w:val="center"/>
            <w:tcMar>
              <w:top w:w="80" w:type="dxa"/>
              <w:start w:w="120" w:type="dxa"/>
              <w:bottom w:w="80" w:type="dxa"/>
              <w:end w:w="120" w:type="dxa"/>
            </w:tcMar>
          </w:tcPr>
          <w:p>
            <w:pPr>
              <w:spacing w:after="20"/>
            </w:pPr>
            <w:r>
              <w:rPr>
                <w:rFonts w:ascii="Calibri" w:hAnsi="Calibri"/>
                <w:color w:val="2A2E2B"/>
                <w:sz w:val="16"/>
              </w:rPr>
              <w:t>Konfirmasi pembayaran mencatat aktor, waktu, dan catatan.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RF-PAY-04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Model data menyediakan provider, external reference, dan sync status untuk SIMPONI.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5.8 Distribusi dan Tashih</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Distributor menugaskan pengajuan kepada tim/pentashih.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Penugasan mencatat tahap INITIAL, REVISION, atau DUMI.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RF-DIST-03</w:t>
            </w:r>
          </w:p>
        </w:tc>
        <w:tc>
          <w:tcPr>
            <w:tcW w:type="dxa" w:w="6840"/>
            <w:vAlign w:val="center"/>
            <w:tcMar>
              <w:top w:w="80" w:type="dxa"/>
              <w:start w:w="120" w:type="dxa"/>
              <w:bottom w:w="80" w:type="dxa"/>
              <w:end w:w="120" w:type="dxa"/>
            </w:tcMar>
          </w:tcPr>
          <w:p>
            <w:pPr>
              <w:spacing w:after="20"/>
            </w:pPr>
            <w:r>
              <w:rPr>
                <w:rFonts w:ascii="Calibri" w:hAnsi="Calibri"/>
                <w:color w:val="2A2E2B"/>
                <w:sz w:val="16"/>
              </w:rPr>
              <w:t>Tahap perbaikan mendukung iterasi berulang.</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Pentashih hanya dapat memproses penugasan sesuai izin.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RF-DIST-05</w:t>
            </w:r>
          </w:p>
        </w:tc>
        <w:tc>
          <w:tcPr>
            <w:tcW w:type="dxa" w:w="6840"/>
            <w:vAlign w:val="center"/>
            <w:tcMar>
              <w:top w:w="80" w:type="dxa"/>
              <w:start w:w="120" w:type="dxa"/>
              <w:bottom w:w="80" w:type="dxa"/>
              <w:end w:w="120" w:type="dxa"/>
            </w:tcMar>
          </w:tcPr>
          <w:p>
            <w:pPr>
              <w:spacing w:after="20"/>
            </w:pPr>
            <w:r>
              <w:rPr>
                <w:rFonts w:ascii="Calibri" w:hAnsi="Calibri"/>
                <w:color w:val="2A2E2B"/>
                <w:sz w:val="16"/>
              </w:rPr>
              <w:t>Hasil menyimpan keputusan, catatan, waktu, dan versi naskah.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menampilkan beban kerja dan keterlambatan dasar.</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5.9 Dokumentasi dan Dokumen Resmi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Dokumentator mengelola checklist dinamis per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Item minimal mencakup bukti pembayaran, hasil tashih, tanda terima, Surat Tanda Tashih, cover, dan sampel halaman.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RF-DOC-03</w:t>
            </w:r>
          </w:p>
        </w:tc>
        <w:tc>
          <w:tcPr>
            <w:tcW w:type="dxa" w:w="6840"/>
            <w:vAlign w:val="center"/>
            <w:tcMar>
              <w:top w:w="80" w:type="dxa"/>
              <w:start w:w="120" w:type="dxa"/>
              <w:bottom w:w="80" w:type="dxa"/>
              <w:end w:w="120" w:type="dxa"/>
            </w:tcMar>
          </w:tcPr>
          <w:p>
            <w:pPr>
              <w:spacing w:after="20"/>
            </w:pPr>
            <w:r>
              <w:rPr>
                <w:rFonts w:ascii="Calibri" w:hAnsi="Calibri"/>
                <w:color w:val="2A2E2B"/>
                <w:sz w:val="16"/>
              </w:rPr>
              <w:t>Setiap item mempunyai status Belum Ada, Sudah Diunggah, atau Sudah Diperiksa.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Dokumen resmi disimpan 1:N dengan versioning dan satu versi aktif.</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Penandatangan disimpan generik dengan snapshot nama/jabatan dan metode tanda tangan.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menyediakan QR/token verifikasi publik dengan informasi minimum.</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RF-DOC-07</w:t>
            </w:r>
          </w:p>
        </w:tc>
        <w:tc>
          <w:tcPr>
            <w:tcW w:type="dxa" w:w="6840"/>
            <w:vAlign w:val="center"/>
            <w:tcMar>
              <w:top w:w="80" w:type="dxa"/>
              <w:start w:w="120" w:type="dxa"/>
              <w:bottom w:w="80" w:type="dxa"/>
              <w:end w:w="120" w:type="dxa"/>
            </w:tcMar>
          </w:tcPr>
          <w:p>
            <w:pPr>
              <w:spacing w:after="20"/>
            </w:pPr>
            <w:r>
              <w:rPr>
                <w:rFonts w:ascii="Calibri" w:hAnsi="Calibri"/>
                <w:color w:val="2A2E2B"/>
                <w:sz w:val="16"/>
              </w:rPr>
              <w:t>Struktur dokumen menyiapkan signing method BSRE tanpa mengaktifkan integrasi pada MVP.</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5.10 Laporan, Notifikasi, dan Audit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Dashboard menampilkan antrean dan tugas sesuai role.</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menyediakan laporan jumlah pengajuan, PNBP, SLA, dan beban kerja dasar.</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RF-OPS-03</w:t>
            </w:r>
          </w:p>
        </w:tc>
        <w:tc>
          <w:tcPr>
            <w:tcW w:type="dxa" w:w="6840"/>
            <w:vAlign w:val="center"/>
            <w:tcMar>
              <w:top w:w="80" w:type="dxa"/>
              <w:start w:w="120" w:type="dxa"/>
              <w:bottom w:w="80" w:type="dxa"/>
              <w:end w:w="120" w:type="dxa"/>
            </w:tcMar>
          </w:tcPr>
          <w:p>
            <w:pPr>
              <w:spacing w:after="20"/>
            </w:pPr>
            <w:r>
              <w:rPr>
                <w:rFonts w:ascii="Calibri" w:hAnsi="Calibri"/>
                <w:color w:val="2A2E2B"/>
                <w:sz w:val="16"/>
              </w:rPr>
              <w:t>Laporan dapat difilter dan diekspor sesuai izin.</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Notifikasi dibuat untuk tugas baru, revisi, pembayaran, distribusi, dan dokumen.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RF-OPS-05</w:t>
            </w:r>
          </w:p>
        </w:tc>
        <w:tc>
          <w:tcPr>
            <w:tcW w:type="dxa" w:w="6840"/>
            <w:vAlign w:val="center"/>
            <w:tcMar>
              <w:top w:w="80" w:type="dxa"/>
              <w:start w:w="120" w:type="dxa"/>
              <w:bottom w:w="80" w:type="dxa"/>
              <w:end w:w="120" w:type="dxa"/>
            </w:tcMar>
          </w:tcPr>
          <w:p>
            <w:pPr>
              <w:spacing w:after="20"/>
            </w:pPr>
            <w:r>
              <w:rPr>
                <w:rFonts w:ascii="Calibri" w:hAnsi="Calibri"/>
                <w:color w:val="2A2E2B"/>
                <w:sz w:val="16"/>
              </w:rPr>
              <w:t>Audit log append-only mencatat perubahan status, master, pembayaran, penugasan, dan dokumen.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1"/>
      </w:pPr>
      <w:r>
        <w:t>6. Status dan Proses Bisnis</w:t>
      </w:r>
    </w:p>
    <w:p>
      <w:pPr>
        <w:pStyle w:val="Heading2"/>
      </w:pPr>
      <w:r>
        <w:t>6.1 Status utama pengajuan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520"/>
            <w:shd w:fill="0B5E3B"/>
            <w:vAlign w:val="center"/>
            <w:tcMar>
              <w:top w:w="80" w:type="dxa"/>
              <w:start w:w="120" w:type="dxa"/>
              <w:bottom w:w="80" w:type="dxa"/>
              <w:end w:w="120" w:type="dxa"/>
            </w:tcMar>
          </w:tcPr>
          <w:p>
            <w:r>
              <w:rPr>
                <w:b/>
                <w:color w:val="FFFFFF"/>
                <w:sz w:val="16"/>
              </w:rPr>
              <w:t>Kode</w:t>
            </w:r>
          </w:p>
        </w:tc>
        <w:tc>
          <w:tcPr>
            <w:tcW w:type="dxa" w:w="2232"/>
            <w:shd w:fill="0B5E3B"/>
            <w:vAlign w:val="center"/>
            <w:tcMar>
              <w:top w:w="80" w:type="dxa"/>
              <w:start w:w="120" w:type="dxa"/>
              <w:bottom w:w="80" w:type="dxa"/>
              <w:end w:w="120" w:type="dxa"/>
            </w:tcMar>
          </w:tcPr>
          <w:p>
            <w:r>
              <w:rPr>
                <w:b/>
                <w:color w:val="FFFFFF"/>
                <w:sz w:val="16"/>
              </w:rPr>
              <w:t>Label</w:t>
            </w:r>
          </w:p>
        </w:tc>
        <w:tc>
          <w:tcPr>
            <w:tcW w:type="dxa" w:w="4608"/>
            <w:shd w:fill="0B5E3B"/>
            <w:vAlign w:val="center"/>
            <w:tcMar>
              <w:top w:w="80" w:type="dxa"/>
              <w:start w:w="120" w:type="dxa"/>
              <w:bottom w:w="80" w:type="dxa"/>
              <w:end w:w="120" w:type="dxa"/>
            </w:tcMar>
          </w:tcPr>
          <w:p>
            <w:r>
              <w:rPr>
                <w:b/>
                <w:color w:val="FFFFFF"/>
                <w:sz w:val="16"/>
              </w:rPr>
              <w:t>Makna</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DRAFT</w:t>
            </w:r>
          </w:p>
        </w:tc>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4608"/>
            <w:vAlign w:val="center"/>
            <w:tcMar>
              <w:top w:w="80" w:type="dxa"/>
              <w:start w:w="120" w:type="dxa"/>
              <w:bottom w:w="80" w:type="dxa"/>
              <w:end w:w="120" w:type="dxa"/>
            </w:tcMar>
          </w:tcPr>
          <w:p>
            <w:pPr>
              <w:spacing w:after="20"/>
            </w:pPr>
            <w:r>
              <w:rPr>
                <w:rFonts w:ascii="Calibri" w:hAnsi="Calibri"/>
                <w:color w:val="2A2E2B"/>
                <w:sz w:val="16"/>
              </w:rPr>
              <w:t>Data belum diajukan.</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Siap Diverifikasi</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Pengajuan telah dikirim dan menunggu pemeriksaan.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Sedang Diproses</w:t>
            </w:r>
          </w:p>
        </w:tc>
        <w:tc>
          <w:tcPr>
            <w:tcW w:type="dxa" w:w="4608"/>
            <w:vAlign w:val="center"/>
            <w:tcMar>
              <w:top w:w="80" w:type="dxa"/>
              <w:start w:w="120" w:type="dxa"/>
              <w:bottom w:w="80" w:type="dxa"/>
              <w:end w:w="120" w:type="dxa"/>
            </w:tcMar>
          </w:tcPr>
          <w:p>
            <w:pPr>
              <w:spacing w:after="20"/>
            </w:pPr>
            <w:r>
              <w:rPr>
                <w:rFonts w:ascii="Calibri" w:hAnsi="Calibri"/>
                <w:color w:val="2A2E2B"/>
                <w:sz w:val="16"/>
              </w:rPr>
              <w:t>Berkas sedang diperiksa.</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Perlu Perbaikan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Penerbit/admin harus melengkapi atau memperbaiki berkas.</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Menunggu Distribusi</w:t>
            </w:r>
          </w:p>
        </w:tc>
        <w:tc>
          <w:tcPr>
            <w:tcW w:type="dxa" w:w="4608"/>
            <w:vAlign w:val="center"/>
            <w:tcMar>
              <w:top w:w="80" w:type="dxa"/>
              <w:start w:w="120" w:type="dxa"/>
              <w:bottom w:w="80" w:type="dxa"/>
              <w:end w:w="120" w:type="dxa"/>
            </w:tcMar>
          </w:tcPr>
          <w:p>
            <w:pPr>
              <w:spacing w:after="20"/>
            </w:pPr>
            <w:r>
              <w:rPr>
                <w:rFonts w:ascii="Calibri" w:hAnsi="Calibri"/>
                <w:color w:val="2A2E2B"/>
                <w:sz w:val="16"/>
              </w:rPr>
              <w:t>Berkas sesuai dan siap ditugaskan.</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Proses Pentashihan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Berada pada tahap awal, perbaikan, atau dumi.</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DOCUMENTATION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Proses Dokumentasi</w:t>
            </w:r>
          </w:p>
        </w:tc>
        <w:tc>
          <w:tcPr>
            <w:tcW w:type="dxa" w:w="4608"/>
            <w:vAlign w:val="center"/>
            <w:tcMar>
              <w:top w:w="80" w:type="dxa"/>
              <w:start w:w="120" w:type="dxa"/>
              <w:bottom w:w="80" w:type="dxa"/>
              <w:end w:w="120" w:type="dxa"/>
            </w:tcMar>
          </w:tcPr>
          <w:p>
            <w:pPr>
              <w:spacing w:after="20"/>
            </w:pPr>
            <w:r>
              <w:rPr>
                <w:rFonts w:ascii="Calibri" w:hAnsi="Calibri"/>
                <w:color w:val="2A2E2B"/>
                <w:sz w:val="16"/>
              </w:rPr>
              <w:t>Hasil tashih selesai; dokumen pendukung sedang dilengkapi.</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COMPLETED</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Selesai Tashih</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Checklist wajib lengkap dan hasil akhir diterbitkan.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232"/>
            <w:vAlign w:val="center"/>
            <w:tcMar>
              <w:top w:w="80" w:type="dxa"/>
              <w:start w:w="120" w:type="dxa"/>
              <w:bottom w:w="80" w:type="dxa"/>
              <w:end w:w="120" w:type="dxa"/>
            </w:tcMar>
          </w:tcPr>
          <w:p>
            <w:pPr>
              <w:spacing w:after="20"/>
            </w:pPr>
            <w:r>
              <w:rPr>
                <w:rFonts w:ascii="Calibri" w:hAnsi="Calibri"/>
                <w:color w:val="2A2E2B"/>
                <w:sz w:val="16"/>
              </w:rPr>
              <w:t>Dibatalkan</w:t>
            </w:r>
          </w:p>
        </w:tc>
        <w:tc>
          <w:tcPr>
            <w:tcW w:type="dxa" w:w="4608"/>
            <w:vAlign w:val="center"/>
            <w:tcMar>
              <w:top w:w="80" w:type="dxa"/>
              <w:start w:w="120" w:type="dxa"/>
              <w:bottom w:w="80" w:type="dxa"/>
              <w:end w:w="120" w:type="dxa"/>
            </w:tcMar>
          </w:tcPr>
          <w:p>
            <w:pPr>
              <w:spacing w:after="20"/>
            </w:pPr>
            <w:r>
              <w:rPr>
                <w:rFonts w:ascii="Calibri" w:hAnsi="Calibri"/>
                <w:color w:val="2A2E2B"/>
                <w:sz w:val="16"/>
              </w:rPr>
              <w:t>Pengajuan dihentikan dengan alasan dan audit.</w:t>
            </w:r>
          </w:p>
        </w:tc>
      </w:tr>
    </w:tbl>
    <w:p>
      <w:pPr>
        <w:spacing w:after="0"/>
      </w:pPr>
    </w:p>
    <w:p>
      <w:r>
        <w:t>“Tugas Saya” adalah filter kepemilikan tugas berdasarkan verifier_id/assignee_id, bukan status lifecycle.</w:t>
      </w:r>
    </w:p>
    <w:p>
      <w:pPr>
        <w:pStyle w:val="Heading2"/>
      </w:pPr>
      <w:r>
        <w:t>6.2 Transisi minimum</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2232"/>
            <w:shd w:fill="0B5E3B"/>
            <w:vAlign w:val="center"/>
            <w:tcMar>
              <w:top w:w="80" w:type="dxa"/>
              <w:start w:w="120" w:type="dxa"/>
              <w:bottom w:w="80" w:type="dxa"/>
              <w:end w:w="120" w:type="dxa"/>
            </w:tcMar>
          </w:tcPr>
          <w:p>
            <w:r>
              <w:rPr>
                <w:b/>
                <w:color w:val="FFFFFF"/>
                <w:sz w:val="16"/>
              </w:rPr>
              <w:t>Dari</w:t>
            </w:r>
          </w:p>
        </w:tc>
        <w:tc>
          <w:tcPr>
            <w:tcW w:type="dxa" w:w="2448"/>
            <w:shd w:fill="0B5E3B"/>
            <w:vAlign w:val="center"/>
            <w:tcMar>
              <w:top w:w="80" w:type="dxa"/>
              <w:start w:w="120" w:type="dxa"/>
              <w:bottom w:w="80" w:type="dxa"/>
              <w:end w:w="120" w:type="dxa"/>
            </w:tcMar>
          </w:tcPr>
          <w:p>
            <w:r>
              <w:rPr>
                <w:b/>
                <w:color w:val="FFFFFF"/>
                <w:sz w:val="16"/>
              </w:rPr>
              <w:t>Aksi</w:t>
            </w:r>
          </w:p>
        </w:tc>
        <w:tc>
          <w:tcPr>
            <w:tcW w:type="dxa" w:w="2520"/>
            <w:shd w:fill="0B5E3B"/>
            <w:vAlign w:val="center"/>
            <w:tcMar>
              <w:top w:w="80" w:type="dxa"/>
              <w:start w:w="120" w:type="dxa"/>
              <w:bottom w:w="80" w:type="dxa"/>
              <w:end w:w="120" w:type="dxa"/>
            </w:tcMar>
          </w:tcPr>
          <w:p>
            <w:r>
              <w:rPr>
                <w:b/>
                <w:color w:val="FFFFFF"/>
                <w:sz w:val="16"/>
              </w:rPr>
              <w:t>Ke</w:t>
            </w:r>
          </w:p>
        </w:tc>
        <w:tc>
          <w:tcPr>
            <w:tcW w:type="dxa" w:w="2160"/>
            <w:shd w:fill="0B5E3B"/>
            <w:vAlign w:val="center"/>
            <w:tcMar>
              <w:top w:w="80" w:type="dxa"/>
              <w:start w:w="120" w:type="dxa"/>
              <w:bottom w:w="80" w:type="dxa"/>
              <w:end w:w="120" w:type="dxa"/>
            </w:tcMar>
          </w:tcPr>
          <w:p>
            <w:r>
              <w:rPr>
                <w:b/>
                <w:color w:val="FFFFFF"/>
                <w:sz w:val="16"/>
              </w:rPr>
              <w:t>Aktor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2448"/>
            <w:vAlign w:val="center"/>
            <w:tcMar>
              <w:top w:w="80" w:type="dxa"/>
              <w:start w:w="120" w:type="dxa"/>
              <w:bottom w:w="80" w:type="dxa"/>
              <w:end w:w="120" w:type="dxa"/>
            </w:tcMar>
          </w:tcPr>
          <w:p>
            <w:pPr>
              <w:spacing w:after="20"/>
            </w:pPr>
            <w:r>
              <w:rPr>
                <w:rFonts w:ascii="Calibri" w:hAnsi="Calibri"/>
                <w:color w:val="2A2E2B"/>
                <w:sz w:val="16"/>
              </w:rPr>
              <w:t>Ajukan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Mulai verifikasi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448"/>
            <w:vAlign w:val="center"/>
            <w:tcMar>
              <w:top w:w="80" w:type="dxa"/>
              <w:start w:w="120" w:type="dxa"/>
              <w:bottom w:w="80" w:type="dxa"/>
              <w:end w:w="120" w:type="dxa"/>
            </w:tcMar>
          </w:tcPr>
          <w:p>
            <w:pPr>
              <w:spacing w:after="20"/>
            </w:pPr>
            <w:r>
              <w:rPr>
                <w:rFonts w:ascii="Calibri" w:hAnsi="Calibri"/>
                <w:color w:val="2A2E2B"/>
                <w:sz w:val="16"/>
              </w:rPr>
              <w:t>Minta perbaikan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160"/>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Ajukan kembali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448"/>
            <w:vAlign w:val="center"/>
            <w:tcMar>
              <w:top w:w="80" w:type="dxa"/>
              <w:start w:w="120" w:type="dxa"/>
              <w:bottom w:w="80" w:type="dxa"/>
              <w:end w:w="120" w:type="dxa"/>
            </w:tcMar>
          </w:tcPr>
          <w:p>
            <w:pPr>
              <w:spacing w:after="20"/>
            </w:pPr>
            <w:r>
              <w:rPr>
                <w:rFonts w:ascii="Calibri" w:hAnsi="Calibri"/>
                <w:color w:val="2A2E2B"/>
                <w:sz w:val="16"/>
              </w:rPr>
              <w:t>Berkas sesuai</w:t>
            </w:r>
          </w:p>
        </w:tc>
        <w:tc>
          <w:tcPr>
            <w:tcW w:type="dxa" w:w="2520"/>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160"/>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Buat penugasan</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Distributor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448"/>
            <w:vAlign w:val="center"/>
            <w:tcMar>
              <w:top w:w="80" w:type="dxa"/>
              <w:start w:w="120" w:type="dxa"/>
              <w:bottom w:w="80" w:type="dxa"/>
              <w:end w:w="120" w:type="dxa"/>
            </w:tcMar>
          </w:tcPr>
          <w:p>
            <w:pPr>
              <w:spacing w:after="20"/>
            </w:pPr>
            <w:r>
              <w:rPr>
                <w:rFonts w:ascii="Calibri" w:hAnsi="Calibri"/>
                <w:color w:val="2A2E2B"/>
                <w:sz w:val="16"/>
              </w:rPr>
              <w:t>Hasil perlu perbaikan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Pentashih/Distributor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Selesai tashih</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DOCUMENTATION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Pentashih/Ketua</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DOCUMENTATION</w:t>
            </w:r>
          </w:p>
        </w:tc>
        <w:tc>
          <w:tcPr>
            <w:tcW w:type="dxa" w:w="2448"/>
            <w:vAlign w:val="center"/>
            <w:tcMar>
              <w:top w:w="80" w:type="dxa"/>
              <w:start w:w="120" w:type="dxa"/>
              <w:bottom w:w="80" w:type="dxa"/>
              <w:end w:w="120" w:type="dxa"/>
            </w:tcMar>
          </w:tcPr>
          <w:p>
            <w:pPr>
              <w:spacing w:after="20"/>
            </w:pPr>
            <w:r>
              <w:rPr>
                <w:rFonts w:ascii="Calibri" w:hAnsi="Calibri"/>
                <w:color w:val="2A2E2B"/>
                <w:sz w:val="16"/>
              </w:rPr>
              <w:t>Lengkapi checklist</w:t>
            </w:r>
          </w:p>
        </w:tc>
        <w:tc>
          <w:tcPr>
            <w:tcW w:type="dxa" w:w="2520"/>
            <w:vAlign w:val="center"/>
            <w:tcMar>
              <w:top w:w="80" w:type="dxa"/>
              <w:start w:w="120" w:type="dxa"/>
              <w:bottom w:w="80" w:type="dxa"/>
              <w:end w:w="120" w:type="dxa"/>
            </w:tcMar>
          </w:tcPr>
          <w:p>
            <w:pPr>
              <w:spacing w:after="20"/>
            </w:pPr>
            <w:r>
              <w:rPr>
                <w:rFonts w:ascii="Calibri" w:hAnsi="Calibri"/>
                <w:color w:val="2A2E2B"/>
                <w:sz w:val="16"/>
              </w:rPr>
              <w:t>COMPLETED</w:t>
            </w:r>
          </w:p>
        </w:tc>
        <w:tc>
          <w:tcPr>
            <w:tcW w:type="dxa" w:w="2160"/>
            <w:vAlign w:val="center"/>
            <w:tcMar>
              <w:top w:w="80" w:type="dxa"/>
              <w:start w:w="120" w:type="dxa"/>
              <w:bottom w:w="80" w:type="dxa"/>
              <w:end w:w="120" w:type="dxa"/>
            </w:tcMar>
          </w:tcPr>
          <w:p>
            <w:pPr>
              <w:spacing w:after="20"/>
            </w:pPr>
            <w:r>
              <w:rPr>
                <w:rFonts w:ascii="Calibri" w:hAnsi="Calibri"/>
                <w:color w:val="2A2E2B"/>
                <w:sz w:val="16"/>
              </w:rPr>
              <w:t>Dokumentator</w:t>
            </w:r>
          </w:p>
        </w:tc>
      </w:tr>
    </w:tbl>
    <w:p>
      <w:pPr>
        <w:spacing w:after="0"/>
      </w:pPr>
    </w:p>
    <w:p>
      <w:pPr>
        <w:pStyle w:val="Heading1"/>
      </w:pPr>
      <w:r>
        <w:t>7. Aturan Bisnis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1440"/>
            <w:shd w:fill="0B5E3B"/>
            <w:vAlign w:val="center"/>
            <w:tcMar>
              <w:top w:w="80" w:type="dxa"/>
              <w:start w:w="120" w:type="dxa"/>
              <w:bottom w:w="80" w:type="dxa"/>
              <w:end w:w="120" w:type="dxa"/>
            </w:tcMar>
          </w:tcPr>
          <w:p>
            <w:r>
              <w:rPr>
                <w:b/>
                <w:color w:val="FFFFFF"/>
                <w:sz w:val="17"/>
              </w:rPr>
              <w:t>ID</w:t>
            </w:r>
          </w:p>
        </w:tc>
        <w:tc>
          <w:tcPr>
            <w:tcW w:type="dxa" w:w="7920"/>
            <w:shd w:fill="0B5E3B"/>
            <w:vAlign w:val="center"/>
            <w:tcMar>
              <w:top w:w="80" w:type="dxa"/>
              <w:start w:w="120" w:type="dxa"/>
              <w:bottom w:w="80" w:type="dxa"/>
              <w:end w:w="120" w:type="dxa"/>
            </w:tcMar>
          </w:tcPr>
          <w:p>
            <w:r>
              <w:rPr>
                <w:b/>
                <w:color w:val="FFFFFF"/>
                <w:sz w:val="17"/>
              </w:rPr>
              <w:t>Aturan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BR-01</w:t>
            </w:r>
          </w:p>
        </w:tc>
        <w:tc>
          <w:tcPr>
            <w:tcW w:type="dxa" w:w="7920"/>
            <w:vAlign w:val="center"/>
            <w:tcMar>
              <w:top w:w="80" w:type="dxa"/>
              <w:start w:w="120" w:type="dxa"/>
              <w:bottom w:w="80" w:type="dxa"/>
              <w:end w:w="120" w:type="dxa"/>
            </w:tcMar>
          </w:tcPr>
          <w:p>
            <w:pPr>
              <w:spacing w:after="20"/>
            </w:pPr>
            <w:r>
              <w:rPr>
                <w:rFonts w:ascii="Calibri" w:hAnsi="Calibri"/>
                <w:color w:val="2A2E2B"/>
                <w:sz w:val="17"/>
              </w:rPr>
              <w:t>Setiap pengajuan terkait satu penerbit dan satu jenis layanan utama.</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BR-02</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Admin dapat membuat pengajuan atas nama penerbit; sumber pengajuan tidak boleh diubah setelah submit.</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BR-03</w:t>
            </w:r>
          </w:p>
        </w:tc>
        <w:tc>
          <w:tcPr>
            <w:tcW w:type="dxa" w:w="7920"/>
            <w:vAlign w:val="center"/>
            <w:tcMar>
              <w:top w:w="80" w:type="dxa"/>
              <w:start w:w="120" w:type="dxa"/>
              <w:bottom w:w="80" w:type="dxa"/>
              <w:end w:w="120" w:type="dxa"/>
            </w:tcMar>
          </w:tcPr>
          <w:p>
            <w:pPr>
              <w:spacing w:after="20"/>
            </w:pPr>
            <w:r>
              <w:rPr>
                <w:rFonts w:ascii="Calibri" w:hAnsi="Calibri"/>
                <w:color w:val="2A2E2B"/>
                <w:sz w:val="17"/>
              </w:rPr>
              <w:t>Cover dan 2–3 halaman awal wajib tersedia sebelum submit, kecuali ada override berizin dan beralasan.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BR-04</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Master yang sudah direferensikan transaksi tidak boleh hard delete.</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BR-05</w:t>
            </w:r>
          </w:p>
        </w:tc>
        <w:tc>
          <w:tcPr>
            <w:tcW w:type="dxa" w:w="7920"/>
            <w:vAlign w:val="center"/>
            <w:tcMar>
              <w:top w:w="80" w:type="dxa"/>
              <w:start w:w="120" w:type="dxa"/>
              <w:bottom w:w="80" w:type="dxa"/>
              <w:end w:w="120" w:type="dxa"/>
            </w:tcMar>
          </w:tcPr>
          <w:p>
            <w:pPr>
              <w:spacing w:after="20"/>
            </w:pPr>
            <w:r>
              <w:rPr>
                <w:rFonts w:ascii="Calibri" w:hAnsi="Calibri"/>
                <w:color w:val="2A2E2B"/>
                <w:sz w:val="17"/>
              </w:rPr>
              <w:t>Tarif dan SLA transaksi memakai snapshot dari versi master yang berlaku saat finalisasi.</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BR-06</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Hanya satu billing aktif untuk satu pengajuan pada satu waktu.</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BR-07</w:t>
            </w:r>
          </w:p>
        </w:tc>
        <w:tc>
          <w:tcPr>
            <w:tcW w:type="dxa" w:w="7920"/>
            <w:vAlign w:val="center"/>
            <w:tcMar>
              <w:top w:w="80" w:type="dxa"/>
              <w:start w:w="120" w:type="dxa"/>
              <w:bottom w:w="80" w:type="dxa"/>
              <w:end w:w="120" w:type="dxa"/>
            </w:tcMar>
          </w:tcPr>
          <w:p>
            <w:pPr>
              <w:spacing w:after="20"/>
            </w:pPr>
            <w:r>
              <w:rPr>
                <w:rFonts w:ascii="Calibri" w:hAnsi="Calibri"/>
                <w:color w:val="2A2E2B"/>
                <w:sz w:val="17"/>
              </w:rPr>
              <w:t>Pentashihan baru diproses setelah pembayaran dinyatakan sesuai kebijakan yang berlaku.</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BR-08</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Tahap perbaikan dapat berulang; iteration harus meningkat dan tidak boleh diturunkan.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BR-09</w:t>
            </w:r>
          </w:p>
        </w:tc>
        <w:tc>
          <w:tcPr>
            <w:tcW w:type="dxa" w:w="7920"/>
            <w:vAlign w:val="center"/>
            <w:tcMar>
              <w:top w:w="80" w:type="dxa"/>
              <w:start w:w="120" w:type="dxa"/>
              <w:bottom w:w="80" w:type="dxa"/>
              <w:end w:w="120" w:type="dxa"/>
            </w:tcMar>
          </w:tcPr>
          <w:p>
            <w:pPr>
              <w:spacing w:after="20"/>
            </w:pPr>
            <w:r>
              <w:rPr>
                <w:rFonts w:ascii="Calibri" w:hAnsi="Calibri"/>
                <w:color w:val="2A2E2B"/>
                <w:sz w:val="17"/>
              </w:rPr>
              <w:t>Satu versi dokumen resmi berstatus aktif; versi sebelumnya tetap tersedia sebagai riwayat.</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BR-10</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Pengajuan selesai hanya jika seluruh checklist wajib berstatus Sudah Diperiksa.</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BR-11</w:t>
            </w:r>
          </w:p>
        </w:tc>
        <w:tc>
          <w:tcPr>
            <w:tcW w:type="dxa" w:w="7920"/>
            <w:vAlign w:val="center"/>
            <w:tcMar>
              <w:top w:w="80" w:type="dxa"/>
              <w:start w:w="120" w:type="dxa"/>
              <w:bottom w:w="80" w:type="dxa"/>
              <w:end w:w="120" w:type="dxa"/>
            </w:tcMar>
          </w:tcPr>
          <w:p>
            <w:pPr>
              <w:spacing w:after="20"/>
            </w:pPr>
            <w:r>
              <w:rPr>
                <w:rFonts w:ascii="Calibri" w:hAnsi="Calibri"/>
                <w:color w:val="2A2E2B"/>
                <w:sz w:val="17"/>
              </w:rPr>
              <w:t>Setiap perubahan state, master, pembayaran, file, penugasan, dan dokumen resmi dicatat pada audit log.</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BR-12</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Informasi verifikasi QR publik dibatasi pada nomor, status keabsahan, tanggal, dan identitas minimum.</w:t>
            </w:r>
          </w:p>
        </w:tc>
      </w:tr>
    </w:tbl>
    <w:p>
      <w:pPr>
        <w:spacing w:after="0"/>
      </w:pPr>
    </w:p>
    <w:p>
      <w:pPr>
        <w:pStyle w:val="Heading1"/>
      </w:pPr>
      <w:r>
        <w:t>8. Model Data</w:t>
      </w:r>
    </w:p>
    <w:p>
      <w:r>
        <w:t>Model data logis MVP ditampilkan pada ERD berikut. Detail atribut dapat disesuaikan pada physical data model tanpa mengubah relasi dan aturan domain yang telah disepakati.</w:t>
      </w:r>
    </w:p>
    <w:p>
      <w:r>
        <w:drawing>
          <wp:inline xmlns:a="http://schemas.openxmlformats.org/drawingml/2006/main" xmlns:pic="http://schemas.openxmlformats.org/drawingml/2006/picture">
            <wp:extent cx="5943600" cy="3879850"/>
            <wp:docPr id="1" name="Picture 1"/>
            <wp:cNvGraphicFramePr>
              <a:graphicFrameLocks noChangeAspect="1"/>
            </wp:cNvGraphicFramePr>
            <a:graphic>
              <a:graphicData uri="http://schemas.openxmlformats.org/drawingml/2006/picture">
                <pic:pic>
                  <pic:nvPicPr>
                    <pic:cNvPr id="0" name="ERD_Sistem_Pentashihan_LPMQ_v2.png"/>
                    <pic:cNvPicPr/>
                  </pic:nvPicPr>
                  <pic:blipFill>
                    <a:blip r:embed="rId11"/>
                    <a:stretch>
                      <a:fillRect/>
                    </a:stretch>
                  </pic:blipFill>
                  <pic:spPr>
                    <a:xfrm>
                      <a:off x="0" y="0"/>
                      <a:ext cx="5943600" cy="3879850"/>
                    </a:xfrm>
                    <a:prstGeom prst="rect"/>
                  </pic:spPr>
                </pic:pic>
              </a:graphicData>
            </a:graphic>
          </wp:inline>
        </w:drawing>
      </w:r>
    </w:p>
    <w:p>
      <w:pPr>
        <w:jc w:val="center"/>
      </w:pPr>
      <w:r>
        <w:rPr>
          <w:i/>
          <w:color w:val="5B615C"/>
          <w:sz w:val="16"/>
        </w:rPr>
        <w:t>Gambar 1. ERD Sistem Manajemen Layanan Pentashihan LPMQ v2.0</w:t>
      </w:r>
    </w:p>
    <w:p>
      <w:pPr>
        <w:pStyle w:val="Heading1"/>
      </w:pPr>
      <w:r>
        <w:t>9. Master Data Sementara</w:t>
      </w:r>
    </w:p>
    <w:p>
      <w:pPr>
        <w:pStyle w:val="Heading2"/>
      </w:pPr>
      <w:r>
        <w:t>9.1 Kategori mushaf</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440"/>
            <w:shd w:fill="0B5E3B"/>
            <w:vAlign w:val="center"/>
            <w:tcMar>
              <w:top w:w="80" w:type="dxa"/>
              <w:start w:w="120" w:type="dxa"/>
              <w:bottom w:w="80" w:type="dxa"/>
              <w:end w:w="120" w:type="dxa"/>
            </w:tcMar>
          </w:tcPr>
          <w:p>
            <w:r>
              <w:rPr>
                <w:b/>
                <w:color w:val="FFFFFF"/>
                <w:sz w:val="17"/>
              </w:rPr>
              <w:t>Kode</w:t>
            </w:r>
          </w:p>
        </w:tc>
        <w:tc>
          <w:tcPr>
            <w:tcW w:type="dxa" w:w="5904"/>
            <w:shd w:fill="0B5E3B"/>
            <w:vAlign w:val="center"/>
            <w:tcMar>
              <w:top w:w="80" w:type="dxa"/>
              <w:start w:w="120" w:type="dxa"/>
              <w:bottom w:w="80" w:type="dxa"/>
              <w:end w:w="120" w:type="dxa"/>
            </w:tcMar>
          </w:tcPr>
          <w:p>
            <w:r>
              <w:rPr>
                <w:b/>
                <w:color w:val="FFFFFF"/>
                <w:sz w:val="17"/>
              </w:rPr>
              <w:t>Nama</w:t>
            </w:r>
          </w:p>
        </w:tc>
        <w:tc>
          <w:tcPr>
            <w:tcW w:type="dxa" w:w="2016"/>
            <w:shd w:fill="0B5E3B"/>
            <w:vAlign w:val="center"/>
            <w:tcMar>
              <w:top w:w="80" w:type="dxa"/>
              <w:start w:w="120" w:type="dxa"/>
              <w:bottom w:w="80" w:type="dxa"/>
              <w:end w:w="120" w:type="dxa"/>
            </w:tcMar>
          </w:tcPr>
          <w:p>
            <w:r>
              <w:rPr>
                <w:b/>
                <w:color w:val="FFFFFF"/>
                <w:sz w:val="17"/>
              </w:rPr>
              <w:t>Status awal</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MC</w:t>
            </w:r>
          </w:p>
        </w:tc>
        <w:tc>
          <w:tcPr>
            <w:tcW w:type="dxa" w:w="5904"/>
            <w:vAlign w:val="center"/>
            <w:tcMar>
              <w:top w:w="80" w:type="dxa"/>
              <w:start w:w="120" w:type="dxa"/>
              <w:bottom w:w="80" w:type="dxa"/>
              <w:end w:w="120" w:type="dxa"/>
            </w:tcMar>
          </w:tcPr>
          <w:p>
            <w:pPr>
              <w:spacing w:after="20"/>
            </w:pPr>
            <w:r>
              <w:rPr>
                <w:rFonts w:ascii="Calibri" w:hAnsi="Calibri"/>
                <w:color w:val="2A2E2B"/>
                <w:sz w:val="17"/>
              </w:rPr>
              <w:t>Mushaf Cetak</w:t>
            </w:r>
          </w:p>
        </w:tc>
        <w:tc>
          <w:tcPr>
            <w:tcW w:type="dxa" w:w="2016"/>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MD</w:t>
            </w:r>
          </w:p>
        </w:tc>
        <w:tc>
          <w:tcPr>
            <w:tcW w:type="dxa" w:w="5904"/>
            <w:shd w:fill="F7FAF8"/>
            <w:vAlign w:val="center"/>
            <w:tcMar>
              <w:top w:w="80" w:type="dxa"/>
              <w:start w:w="120" w:type="dxa"/>
              <w:bottom w:w="80" w:type="dxa"/>
              <w:end w:w="120" w:type="dxa"/>
            </w:tcMar>
          </w:tcPr>
          <w:p>
            <w:pPr>
              <w:spacing w:after="20"/>
            </w:pPr>
            <w:r>
              <w:rPr>
                <w:rFonts w:ascii="Calibri" w:hAnsi="Calibri"/>
                <w:color w:val="2A2E2B"/>
                <w:sz w:val="17"/>
              </w:rPr>
              <w:t>Mushaf Digital</w:t>
            </w:r>
          </w:p>
        </w:tc>
        <w:tc>
          <w:tcPr>
            <w:tcW w:type="dxa" w:w="2016"/>
            <w:shd w:fill="F7FAF8"/>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MAV</w:t>
            </w:r>
          </w:p>
        </w:tc>
        <w:tc>
          <w:tcPr>
            <w:tcW w:type="dxa" w:w="5904"/>
            <w:vAlign w:val="center"/>
            <w:tcMar>
              <w:top w:w="80" w:type="dxa"/>
              <w:start w:w="120" w:type="dxa"/>
              <w:bottom w:w="80" w:type="dxa"/>
              <w:end w:w="120" w:type="dxa"/>
            </w:tcMar>
          </w:tcPr>
          <w:p>
            <w:pPr>
              <w:spacing w:after="20"/>
            </w:pPr>
            <w:r>
              <w:rPr>
                <w:rFonts w:ascii="Calibri" w:hAnsi="Calibri"/>
                <w:color w:val="2A2E2B"/>
                <w:sz w:val="17"/>
              </w:rPr>
              <w:t>Mushaf Audio/Visual</w:t>
            </w:r>
          </w:p>
        </w:tc>
        <w:tc>
          <w:tcPr>
            <w:tcW w:type="dxa" w:w="2016"/>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L</w:t>
            </w:r>
          </w:p>
        </w:tc>
        <w:tc>
          <w:tcPr>
            <w:tcW w:type="dxa" w:w="5904"/>
            <w:shd w:fill="F7FAF8"/>
            <w:vAlign w:val="center"/>
            <w:tcMar>
              <w:top w:w="80" w:type="dxa"/>
              <w:start w:w="120" w:type="dxa"/>
              <w:bottom w:w="80" w:type="dxa"/>
              <w:end w:w="120" w:type="dxa"/>
            </w:tcMar>
          </w:tcPr>
          <w:p>
            <w:pPr>
              <w:spacing w:after="20"/>
            </w:pPr>
            <w:r>
              <w:rPr>
                <w:rFonts w:ascii="Calibri" w:hAnsi="Calibri"/>
                <w:color w:val="2A2E2B"/>
                <w:sz w:val="17"/>
              </w:rPr>
              <w:t>Lainnya</w:t>
            </w:r>
          </w:p>
        </w:tc>
        <w:tc>
          <w:tcPr>
            <w:tcW w:type="dxa" w:w="2016"/>
            <w:shd w:fill="F7FAF8"/>
            <w:vAlign w:val="center"/>
            <w:tcMar>
              <w:top w:w="80" w:type="dxa"/>
              <w:start w:w="120" w:type="dxa"/>
              <w:bottom w:w="80" w:type="dxa"/>
              <w:end w:w="120" w:type="dxa"/>
            </w:tcMar>
          </w:tcPr>
          <w:p>
            <w:pPr>
              <w:spacing w:after="20"/>
            </w:pPr>
            <w:r>
              <w:rPr>
                <w:rFonts w:ascii="Calibri" w:hAnsi="Calibri"/>
                <w:color w:val="2A2E2B"/>
                <w:sz w:val="17"/>
              </w:rPr>
              <w:t>Aktif</w:t>
            </w:r>
          </w:p>
        </w:tc>
      </w:tr>
    </w:tbl>
    <w:p>
      <w:pPr>
        <w:spacing w:after="0"/>
      </w:pPr>
    </w:p>
    <w:p>
      <w:pPr>
        <w:pStyle w:val="Heading2"/>
      </w:pPr>
      <w:r>
        <w:t>9.2 Konten, tarif, dan durasi seed sementara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5256"/>
            <w:shd w:fill="0B5E3B"/>
            <w:vAlign w:val="center"/>
            <w:tcMar>
              <w:top w:w="80" w:type="dxa"/>
              <w:start w:w="120" w:type="dxa"/>
              <w:bottom w:w="80" w:type="dxa"/>
              <w:end w:w="120" w:type="dxa"/>
            </w:tcMar>
          </w:tcPr>
          <w:p>
            <w:r>
              <w:rPr>
                <w:b/>
                <w:color w:val="FFFFFF"/>
                <w:sz w:val="16"/>
              </w:rPr>
              <w:t>Nama konten</w:t>
            </w:r>
          </w:p>
        </w:tc>
        <w:tc>
          <w:tcPr>
            <w:tcW w:type="dxa" w:w="1944"/>
            <w:shd w:fill="0B5E3B"/>
            <w:vAlign w:val="center"/>
            <w:tcMar>
              <w:top w:w="80" w:type="dxa"/>
              <w:start w:w="120" w:type="dxa"/>
              <w:bottom w:w="80" w:type="dxa"/>
              <w:end w:w="120" w:type="dxa"/>
            </w:tcMar>
          </w:tcPr>
          <w:p>
            <w:r>
              <w:rPr>
                <w:b/>
                <w:color w:val="FFFFFF"/>
                <w:sz w:val="16"/>
              </w:rPr>
              <w:t>PNBP sementara</w:t>
            </w:r>
          </w:p>
        </w:tc>
        <w:tc>
          <w:tcPr>
            <w:tcW w:type="dxa" w:w="2160"/>
            <w:shd w:fill="0B5E3B"/>
            <w:vAlign w:val="center"/>
            <w:tcMar>
              <w:top w:w="80" w:type="dxa"/>
              <w:start w:w="120" w:type="dxa"/>
              <w:bottom w:w="80" w:type="dxa"/>
              <w:end w:w="120" w:type="dxa"/>
            </w:tcMar>
          </w:tcPr>
          <w:p>
            <w:r>
              <w:rPr>
                <w:b/>
                <w:color w:val="FFFFFF"/>
                <w:sz w:val="16"/>
              </w:rPr>
              <w:t>Awal/Perbaikan/Dumi (HK)</w:t>
            </w:r>
          </w:p>
        </w:tc>
      </w:tr>
      <w:tr>
        <w:trPr>
          <w:cantSplit w:val="true"/>
        </w:trPr>
        <w:tc>
          <w:tcPr>
            <w:tcW w:type="dxa" w:w="5256"/>
            <w:vAlign w:val="center"/>
            <w:tcMar>
              <w:top w:w="80" w:type="dxa"/>
              <w:start w:w="120" w:type="dxa"/>
              <w:bottom w:w="80" w:type="dxa"/>
              <w:end w:w="120" w:type="dxa"/>
            </w:tcMar>
          </w:tcPr>
          <w:p>
            <w:pPr>
              <w:spacing w:after="20"/>
            </w:pPr>
            <w:r>
              <w:rPr>
                <w:rFonts w:ascii="Calibri" w:hAnsi="Calibri"/>
                <w:color w:val="2A2E2B"/>
                <w:sz w:val="16"/>
              </w:rPr>
              <w:t>Mushaf Al-Qur’an 30 Juz</w:t>
            </w:r>
          </w:p>
        </w:tc>
        <w:tc>
          <w:tcPr>
            <w:tcW w:type="dxa" w:w="1944"/>
            <w:vAlign w:val="center"/>
            <w:tcMar>
              <w:top w:w="80" w:type="dxa"/>
              <w:start w:w="120" w:type="dxa"/>
              <w:bottom w:w="80" w:type="dxa"/>
              <w:end w:w="120" w:type="dxa"/>
            </w:tcMar>
          </w:tcPr>
          <w:p>
            <w:pPr>
              <w:spacing w:after="20"/>
            </w:pPr>
            <w:r>
              <w:rPr>
                <w:rFonts w:ascii="Calibri" w:hAnsi="Calibri"/>
                <w:color w:val="2A2E2B"/>
                <w:sz w:val="16"/>
              </w:rPr>
              <w:t>Rp 1.000.000</w:t>
            </w:r>
          </w:p>
        </w:tc>
        <w:tc>
          <w:tcPr>
            <w:tcW w:type="dxa" w:w="2160"/>
            <w:vAlign w:val="center"/>
            <w:tcMar>
              <w:top w:w="80" w:type="dxa"/>
              <w:start w:w="120" w:type="dxa"/>
              <w:bottom w:w="80" w:type="dxa"/>
              <w:end w:w="120" w:type="dxa"/>
            </w:tcMar>
          </w:tcPr>
          <w:p>
            <w:pPr>
              <w:spacing w:after="20"/>
            </w:pPr>
            <w:r>
              <w:rPr>
                <w:rFonts w:ascii="Calibri" w:hAnsi="Calibri"/>
                <w:color w:val="2A2E2B"/>
                <w:sz w:val="16"/>
              </w:rPr>
              <w:t>15/7/3</w:t>
            </w:r>
          </w:p>
        </w:tc>
      </w:tr>
      <w:tr>
        <w:trPr>
          <w:cantSplit w:val="true"/>
        </w:trPr>
        <w:tc>
          <w:tcPr>
            <w:tcW w:type="dxa" w:w="5256"/>
            <w:shd w:fill="F7FAF8"/>
            <w:vAlign w:val="center"/>
            <w:tcMar>
              <w:top w:w="80" w:type="dxa"/>
              <w:start w:w="120" w:type="dxa"/>
              <w:bottom w:w="80" w:type="dxa"/>
              <w:end w:w="120" w:type="dxa"/>
            </w:tcMar>
          </w:tcPr>
          <w:p>
            <w:pPr>
              <w:spacing w:after="20"/>
            </w:pPr>
            <w:r>
              <w:rPr>
                <w:rFonts w:ascii="Calibri" w:hAnsi="Calibri"/>
                <w:color w:val="2A2E2B"/>
                <w:sz w:val="16"/>
              </w:rPr>
              <w:t>Al-Qur’an Audio</w:t>
            </w:r>
          </w:p>
        </w:tc>
        <w:tc>
          <w:tcPr>
            <w:tcW w:type="dxa" w:w="1944"/>
            <w:shd w:fill="F7FAF8"/>
            <w:vAlign w:val="center"/>
            <w:tcMar>
              <w:top w:w="80" w:type="dxa"/>
              <w:start w:w="120" w:type="dxa"/>
              <w:bottom w:w="80" w:type="dxa"/>
              <w:end w:w="120" w:type="dxa"/>
            </w:tcMar>
          </w:tcPr>
          <w:p>
            <w:pPr>
              <w:spacing w:after="20"/>
            </w:pPr>
            <w:r>
              <w:rPr>
                <w:rFonts w:ascii="Calibri" w:hAnsi="Calibri"/>
                <w:color w:val="2A2E2B"/>
                <w:sz w:val="16"/>
              </w:rPr>
              <w:t>Rp 1.000.000</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15/7/3</w:t>
            </w:r>
          </w:p>
        </w:tc>
      </w:tr>
      <w:tr>
        <w:trPr>
          <w:cantSplit w:val="true"/>
        </w:trPr>
        <w:tc>
          <w:tcPr>
            <w:tcW w:type="dxa" w:w="5256"/>
            <w:vAlign w:val="center"/>
            <w:tcMar>
              <w:top w:w="80" w:type="dxa"/>
              <w:start w:w="120" w:type="dxa"/>
              <w:bottom w:w="80" w:type="dxa"/>
              <w:end w:w="120" w:type="dxa"/>
            </w:tcMar>
          </w:tcPr>
          <w:p>
            <w:pPr>
              <w:spacing w:after="20"/>
            </w:pPr>
            <w:r>
              <w:rPr>
                <w:rFonts w:ascii="Calibri" w:hAnsi="Calibri"/>
                <w:color w:val="2A2E2B"/>
                <w:sz w:val="16"/>
              </w:rPr>
              <w:t>Al-Qur’an Audio dan Visual</w:t>
            </w:r>
          </w:p>
        </w:tc>
        <w:tc>
          <w:tcPr>
            <w:tcW w:type="dxa" w:w="1944"/>
            <w:vAlign w:val="center"/>
            <w:tcMar>
              <w:top w:w="80" w:type="dxa"/>
              <w:start w:w="120" w:type="dxa"/>
              <w:bottom w:w="80" w:type="dxa"/>
              <w:end w:w="120" w:type="dxa"/>
            </w:tcMar>
          </w:tcPr>
          <w:p>
            <w:pPr>
              <w:spacing w:after="20"/>
            </w:pPr>
            <w:r>
              <w:rPr>
                <w:rFonts w:ascii="Calibri" w:hAnsi="Calibri"/>
                <w:color w:val="2A2E2B"/>
                <w:sz w:val="16"/>
              </w:rPr>
              <w:t>Rp 2.000.000</w:t>
            </w:r>
          </w:p>
        </w:tc>
        <w:tc>
          <w:tcPr>
            <w:tcW w:type="dxa" w:w="2160"/>
            <w:vAlign w:val="center"/>
            <w:tcMar>
              <w:top w:w="80" w:type="dxa"/>
              <w:start w:w="120" w:type="dxa"/>
              <w:bottom w:w="80" w:type="dxa"/>
              <w:end w:w="120" w:type="dxa"/>
            </w:tcMar>
          </w:tcPr>
          <w:p>
            <w:pPr>
              <w:spacing w:after="20"/>
            </w:pPr>
            <w:r>
              <w:rPr>
                <w:rFonts w:ascii="Calibri" w:hAnsi="Calibri"/>
                <w:color w:val="2A2E2B"/>
                <w:sz w:val="16"/>
              </w:rPr>
              <w:t>30/15/7</w:t>
            </w:r>
          </w:p>
        </w:tc>
      </w:tr>
      <w:tr>
        <w:trPr>
          <w:cantSplit w:val="true"/>
        </w:trPr>
        <w:tc>
          <w:tcPr>
            <w:tcW w:type="dxa" w:w="5256"/>
            <w:shd w:fill="F7FAF8"/>
            <w:vAlign w:val="center"/>
            <w:tcMar>
              <w:top w:w="80" w:type="dxa"/>
              <w:start w:w="120" w:type="dxa"/>
              <w:bottom w:w="80" w:type="dxa"/>
              <w:end w:w="120" w:type="dxa"/>
            </w:tcMar>
          </w:tcPr>
          <w:p>
            <w:pPr>
              <w:spacing w:after="20"/>
            </w:pPr>
            <w:r>
              <w:rPr>
                <w:rFonts w:ascii="Calibri" w:hAnsi="Calibri"/>
                <w:color w:val="2A2E2B"/>
                <w:sz w:val="16"/>
              </w:rPr>
              <w:t>Mushaf Al-Qur’an dan Tafsirnya</w:t>
            </w:r>
          </w:p>
        </w:tc>
        <w:tc>
          <w:tcPr>
            <w:tcW w:type="dxa" w:w="1944"/>
            <w:shd w:fill="F7FAF8"/>
            <w:vAlign w:val="center"/>
            <w:tcMar>
              <w:top w:w="80" w:type="dxa"/>
              <w:start w:w="120" w:type="dxa"/>
              <w:bottom w:w="80" w:type="dxa"/>
              <w:end w:w="120" w:type="dxa"/>
            </w:tcMar>
          </w:tcPr>
          <w:p>
            <w:pPr>
              <w:spacing w:after="20"/>
            </w:pPr>
            <w:r>
              <w:rPr>
                <w:rFonts w:ascii="Calibri" w:hAnsi="Calibri"/>
                <w:color w:val="2A2E2B"/>
                <w:sz w:val="16"/>
              </w:rPr>
              <w:t>Rp 2.000.000</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30/15/7</w:t>
            </w:r>
          </w:p>
        </w:tc>
      </w:tr>
      <w:tr>
        <w:trPr>
          <w:cantSplit w:val="true"/>
        </w:trPr>
        <w:tc>
          <w:tcPr>
            <w:tcW w:type="dxa" w:w="5256"/>
            <w:vAlign w:val="center"/>
            <w:tcMar>
              <w:top w:w="80" w:type="dxa"/>
              <w:start w:w="120" w:type="dxa"/>
              <w:bottom w:w="80" w:type="dxa"/>
              <w:end w:w="120" w:type="dxa"/>
            </w:tcMar>
          </w:tcPr>
          <w:p>
            <w:pPr>
              <w:spacing w:after="20"/>
            </w:pPr>
            <w:r>
              <w:rPr>
                <w:rFonts w:ascii="Calibri" w:hAnsi="Calibri"/>
                <w:color w:val="2A2E2B"/>
                <w:sz w:val="16"/>
              </w:rPr>
              <w:t>Buku/media yang memuat bagian Al-Qur’an</w:t>
            </w:r>
          </w:p>
        </w:tc>
        <w:tc>
          <w:tcPr>
            <w:tcW w:type="dxa" w:w="1944"/>
            <w:vAlign w:val="center"/>
            <w:tcMar>
              <w:top w:w="80" w:type="dxa"/>
              <w:start w:w="120" w:type="dxa"/>
              <w:bottom w:w="80" w:type="dxa"/>
              <w:end w:w="120" w:type="dxa"/>
            </w:tcMar>
          </w:tcPr>
          <w:p>
            <w:pPr>
              <w:spacing w:after="20"/>
            </w:pPr>
            <w:r>
              <w:rPr>
                <w:rFonts w:ascii="Calibri" w:hAnsi="Calibri"/>
                <w:color w:val="2A2E2B"/>
                <w:sz w:val="16"/>
              </w:rPr>
              <w:t>Rp 500.000</w:t>
            </w:r>
          </w:p>
        </w:tc>
        <w:tc>
          <w:tcPr>
            <w:tcW w:type="dxa" w:w="2160"/>
            <w:vAlign w:val="center"/>
            <w:tcMar>
              <w:top w:w="80" w:type="dxa"/>
              <w:start w:w="120" w:type="dxa"/>
              <w:bottom w:w="80" w:type="dxa"/>
              <w:end w:w="120" w:type="dxa"/>
            </w:tcMar>
          </w:tcPr>
          <w:p>
            <w:pPr>
              <w:spacing w:after="20"/>
            </w:pPr>
            <w:r>
              <w:rPr>
                <w:rFonts w:ascii="Calibri" w:hAnsi="Calibri"/>
                <w:color w:val="2A2E2B"/>
                <w:sz w:val="16"/>
              </w:rPr>
              <w:t>7/5/4</w:t>
            </w:r>
          </w:p>
        </w:tc>
      </w:tr>
      <w:tr>
        <w:trPr>
          <w:cantSplit w:val="true"/>
        </w:trPr>
        <w:tc>
          <w:tcPr>
            <w:tcW w:type="dxa" w:w="5256"/>
            <w:shd w:fill="F7FAF8"/>
            <w:vAlign w:val="center"/>
            <w:tcMar>
              <w:top w:w="80" w:type="dxa"/>
              <w:start w:w="120" w:type="dxa"/>
              <w:bottom w:w="80" w:type="dxa"/>
              <w:end w:w="120" w:type="dxa"/>
            </w:tcMar>
          </w:tcPr>
          <w:p>
            <w:pPr>
              <w:spacing w:after="20"/>
            </w:pPr>
            <w:r>
              <w:rPr>
                <w:rFonts w:ascii="Calibri" w:hAnsi="Calibri"/>
                <w:color w:val="2A2E2B"/>
                <w:sz w:val="16"/>
              </w:rPr>
              <w:t>Tambahan: Terjemah</w:t>
            </w:r>
          </w:p>
        </w:tc>
        <w:tc>
          <w:tcPr>
            <w:tcW w:type="dxa" w:w="1944"/>
            <w:shd w:fill="F7FAF8"/>
            <w:vAlign w:val="center"/>
            <w:tcMar>
              <w:top w:w="80" w:type="dxa"/>
              <w:start w:w="120" w:type="dxa"/>
              <w:bottom w:w="80" w:type="dxa"/>
              <w:end w:w="120" w:type="dxa"/>
            </w:tcMar>
          </w:tcPr>
          <w:p>
            <w:pPr>
              <w:spacing w:after="20"/>
            </w:pPr>
            <w:r>
              <w:rPr>
                <w:rFonts w:ascii="Calibri" w:hAnsi="Calibri"/>
                <w:color w:val="2A2E2B"/>
                <w:sz w:val="16"/>
              </w:rPr>
              <w:t>Rp 500.000</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7/5/4</w:t>
            </w:r>
          </w:p>
        </w:tc>
      </w:tr>
      <w:tr>
        <w:trPr>
          <w:cantSplit w:val="true"/>
        </w:trPr>
        <w:tc>
          <w:tcPr>
            <w:tcW w:type="dxa" w:w="5256"/>
            <w:vAlign w:val="center"/>
            <w:tcMar>
              <w:top w:w="80" w:type="dxa"/>
              <w:start w:w="120" w:type="dxa"/>
              <w:bottom w:w="80" w:type="dxa"/>
              <w:end w:w="120" w:type="dxa"/>
            </w:tcMar>
          </w:tcPr>
          <w:p>
            <w:pPr>
              <w:spacing w:after="20"/>
            </w:pPr>
            <w:r>
              <w:rPr>
                <w:rFonts w:ascii="Calibri" w:hAnsi="Calibri"/>
                <w:color w:val="2A2E2B"/>
                <w:sz w:val="16"/>
              </w:rPr>
              <w:t>Tambahan: Tajwid warna</w:t>
            </w:r>
          </w:p>
        </w:tc>
        <w:tc>
          <w:tcPr>
            <w:tcW w:type="dxa" w:w="1944"/>
            <w:vAlign w:val="center"/>
            <w:tcMar>
              <w:top w:w="80" w:type="dxa"/>
              <w:start w:w="120" w:type="dxa"/>
              <w:bottom w:w="80" w:type="dxa"/>
              <w:end w:w="120" w:type="dxa"/>
            </w:tcMar>
          </w:tcPr>
          <w:p>
            <w:pPr>
              <w:spacing w:after="20"/>
            </w:pPr>
            <w:r>
              <w:rPr>
                <w:rFonts w:ascii="Calibri" w:hAnsi="Calibri"/>
                <w:color w:val="2A2E2B"/>
                <w:sz w:val="16"/>
              </w:rPr>
              <w:t>Rp 500.000</w:t>
            </w:r>
          </w:p>
        </w:tc>
        <w:tc>
          <w:tcPr>
            <w:tcW w:type="dxa" w:w="2160"/>
            <w:vAlign w:val="center"/>
            <w:tcMar>
              <w:top w:w="80" w:type="dxa"/>
              <w:start w:w="120" w:type="dxa"/>
              <w:bottom w:w="80" w:type="dxa"/>
              <w:end w:w="120" w:type="dxa"/>
            </w:tcMar>
          </w:tcPr>
          <w:p>
            <w:pPr>
              <w:spacing w:after="20"/>
            </w:pPr>
            <w:r>
              <w:rPr>
                <w:rFonts w:ascii="Calibri" w:hAnsi="Calibri"/>
                <w:color w:val="2A2E2B"/>
                <w:sz w:val="16"/>
              </w:rPr>
              <w:t>7/5/4</w:t>
            </w:r>
          </w:p>
        </w:tc>
      </w:tr>
      <w:tr>
        <w:trPr>
          <w:cantSplit w:val="true"/>
        </w:trPr>
        <w:tc>
          <w:tcPr>
            <w:tcW w:type="dxa" w:w="5256"/>
            <w:shd w:fill="F7FAF8"/>
            <w:vAlign w:val="center"/>
            <w:tcMar>
              <w:top w:w="80" w:type="dxa"/>
              <w:start w:w="120" w:type="dxa"/>
              <w:bottom w:w="80" w:type="dxa"/>
              <w:end w:w="120" w:type="dxa"/>
            </w:tcMar>
          </w:tcPr>
          <w:p>
            <w:pPr>
              <w:spacing w:after="20"/>
            </w:pPr>
            <w:r>
              <w:rPr>
                <w:rFonts w:ascii="Calibri" w:hAnsi="Calibri"/>
                <w:color w:val="2A2E2B"/>
                <w:sz w:val="16"/>
              </w:rPr>
              <w:t>Tambahan: Kode tajwid</w:t>
            </w:r>
          </w:p>
        </w:tc>
        <w:tc>
          <w:tcPr>
            <w:tcW w:type="dxa" w:w="1944"/>
            <w:shd w:fill="F7FAF8"/>
            <w:vAlign w:val="center"/>
            <w:tcMar>
              <w:top w:w="80" w:type="dxa"/>
              <w:start w:w="120" w:type="dxa"/>
              <w:bottom w:w="80" w:type="dxa"/>
              <w:end w:w="120" w:type="dxa"/>
            </w:tcMar>
          </w:tcPr>
          <w:p>
            <w:pPr>
              <w:spacing w:after="20"/>
            </w:pPr>
            <w:r>
              <w:rPr>
                <w:rFonts w:ascii="Calibri" w:hAnsi="Calibri"/>
                <w:color w:val="2A2E2B"/>
                <w:sz w:val="16"/>
              </w:rPr>
              <w:t>Rp 500.000</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7/5/4</w:t>
            </w:r>
          </w:p>
        </w:tc>
      </w:tr>
      <w:tr>
        <w:trPr>
          <w:cantSplit w:val="true"/>
        </w:trPr>
        <w:tc>
          <w:tcPr>
            <w:tcW w:type="dxa" w:w="5256"/>
            <w:vAlign w:val="center"/>
            <w:tcMar>
              <w:top w:w="80" w:type="dxa"/>
              <w:start w:w="120" w:type="dxa"/>
              <w:bottom w:w="80" w:type="dxa"/>
              <w:end w:w="120" w:type="dxa"/>
            </w:tcMar>
          </w:tcPr>
          <w:p>
            <w:pPr>
              <w:spacing w:after="20"/>
            </w:pPr>
            <w:r>
              <w:rPr>
                <w:rFonts w:ascii="Calibri" w:hAnsi="Calibri"/>
                <w:color w:val="2A2E2B"/>
                <w:sz w:val="16"/>
              </w:rPr>
              <w:t>Tambahan: Transliterasi</w:t>
            </w:r>
          </w:p>
        </w:tc>
        <w:tc>
          <w:tcPr>
            <w:tcW w:type="dxa" w:w="1944"/>
            <w:vAlign w:val="center"/>
            <w:tcMar>
              <w:top w:w="80" w:type="dxa"/>
              <w:start w:w="120" w:type="dxa"/>
              <w:bottom w:w="80" w:type="dxa"/>
              <w:end w:w="120" w:type="dxa"/>
            </w:tcMar>
          </w:tcPr>
          <w:p>
            <w:pPr>
              <w:spacing w:after="20"/>
            </w:pPr>
            <w:r>
              <w:rPr>
                <w:rFonts w:ascii="Calibri" w:hAnsi="Calibri"/>
                <w:color w:val="2A2E2B"/>
                <w:sz w:val="16"/>
              </w:rPr>
              <w:t>Rp 500.000</w:t>
            </w:r>
          </w:p>
        </w:tc>
        <w:tc>
          <w:tcPr>
            <w:tcW w:type="dxa" w:w="2160"/>
            <w:vAlign w:val="center"/>
            <w:tcMar>
              <w:top w:w="80" w:type="dxa"/>
              <w:start w:w="120" w:type="dxa"/>
              <w:bottom w:w="80" w:type="dxa"/>
              <w:end w:w="120" w:type="dxa"/>
            </w:tcMar>
          </w:tcPr>
          <w:p>
            <w:pPr>
              <w:spacing w:after="20"/>
            </w:pPr>
            <w:r>
              <w:rPr>
                <w:rFonts w:ascii="Calibri" w:hAnsi="Calibri"/>
                <w:color w:val="2A2E2B"/>
                <w:sz w:val="16"/>
              </w:rPr>
              <w:t>7/5/4</w:t>
            </w:r>
          </w:p>
        </w:tc>
      </w:tr>
      <w:tr>
        <w:trPr>
          <w:cantSplit w:val="true"/>
        </w:trPr>
        <w:tc>
          <w:tcPr>
            <w:tcW w:type="dxa" w:w="5256"/>
            <w:shd w:fill="F7FAF8"/>
            <w:vAlign w:val="center"/>
            <w:tcMar>
              <w:top w:w="80" w:type="dxa"/>
              <w:start w:w="120" w:type="dxa"/>
              <w:bottom w:w="80" w:type="dxa"/>
              <w:end w:w="120" w:type="dxa"/>
            </w:tcMar>
          </w:tcPr>
          <w:p>
            <w:pPr>
              <w:spacing w:after="20"/>
            </w:pPr>
            <w:r>
              <w:rPr>
                <w:rFonts w:ascii="Calibri" w:hAnsi="Calibri"/>
                <w:color w:val="2A2E2B"/>
                <w:sz w:val="16"/>
              </w:rPr>
              <w:t>Tambahan: Waqaf Ibtida’</w:t>
            </w:r>
          </w:p>
        </w:tc>
        <w:tc>
          <w:tcPr>
            <w:tcW w:type="dxa" w:w="1944"/>
            <w:shd w:fill="F7FAF8"/>
            <w:vAlign w:val="center"/>
            <w:tcMar>
              <w:top w:w="80" w:type="dxa"/>
              <w:start w:w="120" w:type="dxa"/>
              <w:bottom w:w="80" w:type="dxa"/>
              <w:end w:w="120" w:type="dxa"/>
            </w:tcMar>
          </w:tcPr>
          <w:p>
            <w:pPr>
              <w:spacing w:after="20"/>
            </w:pPr>
            <w:r>
              <w:rPr>
                <w:rFonts w:ascii="Calibri" w:hAnsi="Calibri"/>
                <w:color w:val="2A2E2B"/>
                <w:sz w:val="16"/>
              </w:rPr>
              <w:t>Rp 500.000</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7/5/4</w:t>
            </w:r>
          </w:p>
        </w:tc>
      </w:tr>
      <w:tr>
        <w:trPr>
          <w:cantSplit w:val="true"/>
        </w:trPr>
        <w:tc>
          <w:tcPr>
            <w:tcW w:type="dxa" w:w="5256"/>
            <w:vAlign w:val="center"/>
            <w:tcMar>
              <w:top w:w="80" w:type="dxa"/>
              <w:start w:w="120" w:type="dxa"/>
              <w:bottom w:w="80" w:type="dxa"/>
              <w:end w:w="120" w:type="dxa"/>
            </w:tcMar>
          </w:tcPr>
          <w:p>
            <w:pPr>
              <w:spacing w:after="20"/>
            </w:pPr>
            <w:r>
              <w:rPr>
                <w:rFonts w:ascii="Calibri" w:hAnsi="Calibri"/>
                <w:color w:val="2A2E2B"/>
                <w:sz w:val="16"/>
              </w:rPr>
              <w:t>Tambahan: Ragam Qira’at</w:t>
            </w:r>
          </w:p>
        </w:tc>
        <w:tc>
          <w:tcPr>
            <w:tcW w:type="dxa" w:w="1944"/>
            <w:vAlign w:val="center"/>
            <w:tcMar>
              <w:top w:w="80" w:type="dxa"/>
              <w:start w:w="120" w:type="dxa"/>
              <w:bottom w:w="80" w:type="dxa"/>
              <w:end w:w="120" w:type="dxa"/>
            </w:tcMar>
          </w:tcPr>
          <w:p>
            <w:pPr>
              <w:spacing w:after="20"/>
            </w:pPr>
            <w:r>
              <w:rPr>
                <w:rFonts w:ascii="Calibri" w:hAnsi="Calibri"/>
                <w:color w:val="2A2E2B"/>
                <w:sz w:val="16"/>
              </w:rPr>
              <w:t>Rp 500.000</w:t>
            </w:r>
          </w:p>
        </w:tc>
        <w:tc>
          <w:tcPr>
            <w:tcW w:type="dxa" w:w="2160"/>
            <w:vAlign w:val="center"/>
            <w:tcMar>
              <w:top w:w="80" w:type="dxa"/>
              <w:start w:w="120" w:type="dxa"/>
              <w:bottom w:w="80" w:type="dxa"/>
              <w:end w:w="120" w:type="dxa"/>
            </w:tcMar>
          </w:tcPr>
          <w:p>
            <w:pPr>
              <w:spacing w:after="20"/>
            </w:pPr>
            <w:r>
              <w:rPr>
                <w:rFonts w:ascii="Calibri" w:hAnsi="Calibri"/>
                <w:color w:val="2A2E2B"/>
                <w:sz w:val="16"/>
              </w:rPr>
              <w:t>7/5/4</w:t>
            </w:r>
          </w:p>
        </w:tc>
      </w:tr>
      <w:tr>
        <w:trPr>
          <w:cantSplit w:val="true"/>
        </w:trPr>
        <w:tc>
          <w:tcPr>
            <w:tcW w:type="dxa" w:w="5256"/>
            <w:shd w:fill="F7FAF8"/>
            <w:vAlign w:val="center"/>
            <w:tcMar>
              <w:top w:w="80" w:type="dxa"/>
              <w:start w:w="120" w:type="dxa"/>
              <w:bottom w:w="80" w:type="dxa"/>
              <w:end w:w="120" w:type="dxa"/>
            </w:tcMar>
          </w:tcPr>
          <w:p>
            <w:pPr>
              <w:spacing w:after="20"/>
            </w:pPr>
            <w:r>
              <w:rPr>
                <w:rFonts w:ascii="Calibri" w:hAnsi="Calibri"/>
                <w:color w:val="2A2E2B"/>
                <w:sz w:val="16"/>
              </w:rPr>
              <w:t>Mushaf Al-Qur’an Braille</w:t>
            </w:r>
          </w:p>
        </w:tc>
        <w:tc>
          <w:tcPr>
            <w:tcW w:type="dxa" w:w="1944"/>
            <w:shd w:fill="F7FAF8"/>
            <w:vAlign w:val="center"/>
            <w:tcMar>
              <w:top w:w="80" w:type="dxa"/>
              <w:start w:w="120" w:type="dxa"/>
              <w:bottom w:w="80" w:type="dxa"/>
              <w:end w:w="120" w:type="dxa"/>
            </w:tcMar>
          </w:tcPr>
          <w:p>
            <w:pPr>
              <w:spacing w:after="20"/>
            </w:pPr>
            <w:r>
              <w:rPr>
                <w:rFonts w:ascii="Calibri" w:hAnsi="Calibri"/>
                <w:color w:val="2A2E2B"/>
                <w:sz w:val="16"/>
              </w:rPr>
              <w:t>Rp 0</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60/30/15</w:t>
            </w:r>
          </w:p>
        </w:tc>
      </w:tr>
      <w:tr>
        <w:trPr>
          <w:cantSplit w:val="true"/>
        </w:trPr>
        <w:tc>
          <w:tcPr>
            <w:tcW w:type="dxa" w:w="5256"/>
            <w:vAlign w:val="center"/>
            <w:tcMar>
              <w:top w:w="80" w:type="dxa"/>
              <w:start w:w="120" w:type="dxa"/>
              <w:bottom w:w="80" w:type="dxa"/>
              <w:end w:w="120" w:type="dxa"/>
            </w:tcMar>
          </w:tcPr>
          <w:p>
            <w:pPr>
              <w:spacing w:after="20"/>
            </w:pPr>
            <w:r>
              <w:rPr>
                <w:rFonts w:ascii="Calibri" w:hAnsi="Calibri"/>
                <w:color w:val="2A2E2B"/>
                <w:sz w:val="16"/>
              </w:rPr>
              <w:t>Mushaf Al-Qur’an Isyarat</w:t>
            </w:r>
          </w:p>
        </w:tc>
        <w:tc>
          <w:tcPr>
            <w:tcW w:type="dxa" w:w="1944"/>
            <w:vAlign w:val="center"/>
            <w:tcMar>
              <w:top w:w="80" w:type="dxa"/>
              <w:start w:w="120" w:type="dxa"/>
              <w:bottom w:w="80" w:type="dxa"/>
              <w:end w:w="120" w:type="dxa"/>
            </w:tcMar>
          </w:tcPr>
          <w:p>
            <w:pPr>
              <w:spacing w:after="20"/>
            </w:pPr>
            <w:r>
              <w:rPr>
                <w:rFonts w:ascii="Calibri" w:hAnsi="Calibri"/>
                <w:color w:val="2A2E2B"/>
                <w:sz w:val="16"/>
              </w:rPr>
              <w:t>Rp 0</w:t>
            </w:r>
          </w:p>
        </w:tc>
        <w:tc>
          <w:tcPr>
            <w:tcW w:type="dxa" w:w="2160"/>
            <w:vAlign w:val="center"/>
            <w:tcMar>
              <w:top w:w="80" w:type="dxa"/>
              <w:start w:w="120" w:type="dxa"/>
              <w:bottom w:w="80" w:type="dxa"/>
              <w:end w:w="120" w:type="dxa"/>
            </w:tcMar>
          </w:tcPr>
          <w:p>
            <w:pPr>
              <w:spacing w:after="20"/>
            </w:pPr>
            <w:r>
              <w:rPr>
                <w:rFonts w:ascii="Calibri" w:hAnsi="Calibri"/>
                <w:color w:val="2A2E2B"/>
                <w:sz w:val="16"/>
              </w:rPr>
              <w:t>60/30/15</w:t>
            </w:r>
          </w:p>
        </w:tc>
      </w:tr>
    </w:tbl>
    <w:p>
      <w:pPr>
        <w:spacing w:after="0"/>
      </w:pPr>
    </w:p>
    <w:p>
      <w:r>
        <w:rPr>
          <w:b/>
          <w:color w:val="B3261E"/>
        </w:rPr>
        <w:t xml:space="preserve">Peringatan validasi: </w:t>
      </w:r>
      <w:r>
        <w:t>angka di atas diturunkan dari referensi tampilan/prototipe dan harus dikonfirmasi terhadap SOP/regulasi sebelum production. Seluruh angka harus dikelola sebagai data berversi, bukan hardcode.</w:t>
      </w:r>
    </w:p>
    <w:p>
      <w:pPr>
        <w:pStyle w:val="Heading1"/>
      </w:pPr>
      <w:r>
        <w:t>10. Kebutuhan File dan Dokumen</w:t>
      </w:r>
    </w:p>
    <w:p>
      <w:pPr>
        <w:pStyle w:val="ListBullet"/>
      </w:pPr>
      <w:r>
        <w:t>File privat disimpan di penyimpanan yang disetujui LPMQ/Kemenag; database hanya menyimpan metadata dan referensi file.</w:t>
      </w:r>
    </w:p>
    <w:p>
      <w:pPr>
        <w:pStyle w:val="ListBullet"/>
      </w:pPr>
      <w:r>
        <w:t>Unggahan divalidasi berdasarkan MIME, ekstensi, ukuran, checksum, serta hasil pemeriksaan keamanan.</w:t>
      </w:r>
    </w:p>
    <w:p>
      <w:pPr>
        <w:pStyle w:val="ListBullet"/>
      </w:pPr>
      <w:r>
        <w:t>Jenis sampel minimum: COVER dan SAMPLE_INITIAL_PAGES. Jumlah halaman awal yang diterima: 2–3.</w:t>
      </w:r>
    </w:p>
    <w:p>
      <w:pPr>
        <w:pStyle w:val="ListBullet"/>
      </w:pPr>
      <w:r>
        <w:t>Penggantian file membuat versi baru; versi lama tidak ditimpa.</w:t>
      </w:r>
    </w:p>
    <w:p>
      <w:pPr>
        <w:pStyle w:val="ListBullet"/>
      </w:pPr>
      <w:r>
        <w:t>Unduhan menggunakan otorisasi dan URL sementara; file sensitif tidak dipublikasikan langsung.</w:t>
      </w:r>
    </w:p>
    <w:p>
      <w:pPr>
        <w:pStyle w:val="Heading1"/>
      </w:pPr>
      <w:r>
        <w:t>11. Kebutuhan Non-Fungsional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1656"/>
            <w:shd w:fill="0B5E3B"/>
            <w:vAlign w:val="center"/>
            <w:tcMar>
              <w:top w:w="80" w:type="dxa"/>
              <w:start w:w="120" w:type="dxa"/>
              <w:bottom w:w="80" w:type="dxa"/>
              <w:end w:w="120" w:type="dxa"/>
            </w:tcMar>
          </w:tcPr>
          <w:p>
            <w:r>
              <w:rPr>
                <w:b/>
                <w:color w:val="FFFFFF"/>
                <w:sz w:val="16"/>
              </w:rPr>
              <w:t>Kategori</w:t>
            </w:r>
          </w:p>
        </w:tc>
        <w:tc>
          <w:tcPr>
            <w:tcW w:type="dxa" w:w="6192"/>
            <w:shd w:fill="0B5E3B"/>
            <w:vAlign w:val="center"/>
            <w:tcMar>
              <w:top w:w="80" w:type="dxa"/>
              <w:start w:w="120" w:type="dxa"/>
              <w:bottom w:w="80" w:type="dxa"/>
              <w:end w:w="120" w:type="dxa"/>
            </w:tcMar>
          </w:tcPr>
          <w:p>
            <w:r>
              <w:rPr>
                <w:b/>
                <w:color w:val="FFFFFF"/>
                <w:sz w:val="16"/>
              </w:rPr>
              <w:t>Kebutuhan</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RNF-SEC-01</w:t>
            </w:r>
          </w:p>
        </w:tc>
        <w:tc>
          <w:tcPr>
            <w:tcW w:type="dxa" w:w="1656"/>
            <w:vAlign w:val="center"/>
            <w:tcMar>
              <w:top w:w="80" w:type="dxa"/>
              <w:start w:w="120" w:type="dxa"/>
              <w:bottom w:w="80" w:type="dxa"/>
              <w:end w:w="120" w:type="dxa"/>
            </w:tcMar>
          </w:tcPr>
          <w:p>
            <w:pPr>
              <w:spacing w:after="20"/>
            </w:pPr>
            <w:r>
              <w:rPr>
                <w:rFonts w:ascii="Calibri" w:hAnsi="Calibri"/>
                <w:color w:val="2A2E2B"/>
                <w:sz w:val="16"/>
              </w:rPr>
              <w:t>Keamanan</w:t>
            </w:r>
          </w:p>
        </w:tc>
        <w:tc>
          <w:tcPr>
            <w:tcW w:type="dxa" w:w="6192"/>
            <w:vAlign w:val="center"/>
            <w:tcMar>
              <w:top w:w="80" w:type="dxa"/>
              <w:start w:w="120" w:type="dxa"/>
              <w:bottom w:w="80" w:type="dxa"/>
              <w:end w:w="120" w:type="dxa"/>
            </w:tcMar>
          </w:tcPr>
          <w:p>
            <w:pPr>
              <w:spacing w:after="20"/>
            </w:pPr>
            <w:r>
              <w:rPr>
                <w:rFonts w:ascii="Calibri" w:hAnsi="Calibri"/>
                <w:color w:val="2A2E2B"/>
                <w:sz w:val="16"/>
              </w:rPr>
              <w:t>Seluruh akses data melalui backend dengan RBAC dan pengujian akses negatif/IDOR.</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RNF-SEC-02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Keamanan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Password di-hash, rate limiting diterapkan, sesi dapat dicabut, dan rahasia tidak berada di repository.</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RNF-PRV-01</w:t>
            </w:r>
          </w:p>
        </w:tc>
        <w:tc>
          <w:tcPr>
            <w:tcW w:type="dxa" w:w="1656"/>
            <w:vAlign w:val="center"/>
            <w:tcMar>
              <w:top w:w="80" w:type="dxa"/>
              <w:start w:w="120" w:type="dxa"/>
              <w:bottom w:w="80" w:type="dxa"/>
              <w:end w:w="120" w:type="dxa"/>
            </w:tcMar>
          </w:tcPr>
          <w:p>
            <w:pPr>
              <w:spacing w:after="20"/>
            </w:pPr>
            <w:r>
              <w:rPr>
                <w:rFonts w:ascii="Calibri" w:hAnsi="Calibri"/>
                <w:color w:val="2A2E2B"/>
                <w:sz w:val="16"/>
              </w:rPr>
              <w:t>Privasi</w:t>
            </w:r>
          </w:p>
        </w:tc>
        <w:tc>
          <w:tcPr>
            <w:tcW w:type="dxa" w:w="6192"/>
            <w:vAlign w:val="center"/>
            <w:tcMar>
              <w:top w:w="80" w:type="dxa"/>
              <w:start w:w="120" w:type="dxa"/>
              <w:bottom w:w="80" w:type="dxa"/>
              <w:end w:w="120" w:type="dxa"/>
            </w:tcMar>
          </w:tcPr>
          <w:p>
            <w:pPr>
              <w:spacing w:after="20"/>
            </w:pPr>
            <w:r>
              <w:rPr>
                <w:rFonts w:ascii="Calibri" w:hAnsi="Calibri"/>
                <w:color w:val="2A2E2B"/>
                <w:sz w:val="16"/>
              </w:rPr>
              <w:t>Data penerbit, NIP, tanda tangan, dan file naskah hanya dapat diakses sesuai kebutuhan role.</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RNF-AUD-01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Audit</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Audit log append-only menyimpan aktor, waktu, aksi, subjek, dan before/after.</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RNF-REL-01</w:t>
            </w:r>
          </w:p>
        </w:tc>
        <w:tc>
          <w:tcPr>
            <w:tcW w:type="dxa" w:w="1656"/>
            <w:vAlign w:val="center"/>
            <w:tcMar>
              <w:top w:w="80" w:type="dxa"/>
              <w:start w:w="120" w:type="dxa"/>
              <w:bottom w:w="80" w:type="dxa"/>
              <w:end w:w="120" w:type="dxa"/>
            </w:tcMar>
          </w:tcPr>
          <w:p>
            <w:pPr>
              <w:spacing w:after="20"/>
            </w:pPr>
            <w:r>
              <w:rPr>
                <w:rFonts w:ascii="Calibri" w:hAnsi="Calibri"/>
                <w:color w:val="2A2E2B"/>
                <w:sz w:val="16"/>
              </w:rPr>
              <w:t>Keandalan</w:t>
            </w:r>
          </w:p>
        </w:tc>
        <w:tc>
          <w:tcPr>
            <w:tcW w:type="dxa" w:w="6192"/>
            <w:vAlign w:val="center"/>
            <w:tcMar>
              <w:top w:w="80" w:type="dxa"/>
              <w:start w:w="120" w:type="dxa"/>
              <w:bottom w:w="80" w:type="dxa"/>
              <w:end w:w="120" w:type="dxa"/>
            </w:tcMar>
          </w:tcPr>
          <w:p>
            <w:pPr>
              <w:spacing w:after="20"/>
            </w:pPr>
            <w:r>
              <w:rPr>
                <w:rFonts w:ascii="Calibri" w:hAnsi="Calibri"/>
                <w:color w:val="2A2E2B"/>
                <w:sz w:val="16"/>
              </w:rPr>
              <w:t>Transaksi kritis bersifat atomik; backup dan pemulihan diuji berkala.</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RNF-PERF-01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Kinerja</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Daftar operasional menggunakan pagination dan respons interaktif normal ditargetkan ≤3 detik pada beban yang disepakati.</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RNF-USE-01</w:t>
            </w:r>
          </w:p>
        </w:tc>
        <w:tc>
          <w:tcPr>
            <w:tcW w:type="dxa" w:w="1656"/>
            <w:vAlign w:val="center"/>
            <w:tcMar>
              <w:top w:w="80" w:type="dxa"/>
              <w:start w:w="120" w:type="dxa"/>
              <w:bottom w:w="80" w:type="dxa"/>
              <w:end w:w="120" w:type="dxa"/>
            </w:tcMar>
          </w:tcPr>
          <w:p>
            <w:pPr>
              <w:spacing w:after="20"/>
            </w:pPr>
            <w:r>
              <w:rPr>
                <w:rFonts w:ascii="Calibri" w:hAnsi="Calibri"/>
                <w:color w:val="2A2E2B"/>
                <w:sz w:val="16"/>
              </w:rPr>
              <w:t>Kegunaan</w:t>
            </w:r>
          </w:p>
        </w:tc>
        <w:tc>
          <w:tcPr>
            <w:tcW w:type="dxa" w:w="6192"/>
            <w:vAlign w:val="center"/>
            <w:tcMar>
              <w:top w:w="80" w:type="dxa"/>
              <w:start w:w="120" w:type="dxa"/>
              <w:bottom w:w="80" w:type="dxa"/>
              <w:end w:w="120" w:type="dxa"/>
            </w:tcMar>
          </w:tcPr>
          <w:p>
            <w:pPr>
              <w:spacing w:after="20"/>
            </w:pPr>
            <w:r>
              <w:rPr>
                <w:rFonts w:ascii="Calibri" w:hAnsi="Calibri"/>
                <w:color w:val="2A2E2B"/>
                <w:sz w:val="16"/>
              </w:rPr>
              <w:t>Antarmuka berbahasa Indonesia, responsif, konsisten, dan status tidak bergantung pada warna saja.</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RNF-MNT-01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Pemeliharaan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Aplikasi modular, migration terkontrol, dokumentasi API, automated test, dan konfigurasi environment.</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RNF-INT-01</w:t>
            </w:r>
          </w:p>
        </w:tc>
        <w:tc>
          <w:tcPr>
            <w:tcW w:type="dxa" w:w="1656"/>
            <w:vAlign w:val="center"/>
            <w:tcMar>
              <w:top w:w="80" w:type="dxa"/>
              <w:start w:w="120" w:type="dxa"/>
              <w:bottom w:w="80" w:type="dxa"/>
              <w:end w:w="120" w:type="dxa"/>
            </w:tcMar>
          </w:tcPr>
          <w:p>
            <w:pPr>
              <w:spacing w:after="20"/>
            </w:pPr>
            <w:r>
              <w:rPr>
                <w:rFonts w:ascii="Calibri" w:hAnsi="Calibri"/>
                <w:color w:val="2A2E2B"/>
                <w:sz w:val="16"/>
              </w:rPr>
              <w:t>Interoperabilitas</w:t>
            </w:r>
          </w:p>
        </w:tc>
        <w:tc>
          <w:tcPr>
            <w:tcW w:type="dxa" w:w="6192"/>
            <w:vAlign w:val="center"/>
            <w:tcMar>
              <w:top w:w="80" w:type="dxa"/>
              <w:start w:w="120" w:type="dxa"/>
              <w:bottom w:w="80" w:type="dxa"/>
              <w:end w:w="120" w:type="dxa"/>
            </w:tcMar>
          </w:tcPr>
          <w:p>
            <w:pPr>
              <w:spacing w:after="20"/>
            </w:pPr>
            <w:r>
              <w:rPr>
                <w:rFonts w:ascii="Calibri" w:hAnsi="Calibri"/>
                <w:color w:val="2A2E2B"/>
                <w:sz w:val="16"/>
              </w:rPr>
              <w:t>Integrasi eksternal memakai adapter sehingga mode manual tetap dapat dipakai ketika layanan eksternal tidak tersedia.</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RNF-INF-01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Infrastruktur</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Production menggunakan infrastruktur yang disetujui unit TI/keamanan Kemenag.</w:t>
            </w:r>
          </w:p>
        </w:tc>
      </w:tr>
    </w:tbl>
    <w:p>
      <w:pPr>
        <w:spacing w:after="0"/>
      </w:pPr>
    </w:p>
    <w:p>
      <w:pPr>
        <w:pStyle w:val="Heading1"/>
      </w:pPr>
      <w:r>
        <w:t>12. Integrasi Masa Depan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728"/>
            <w:shd w:fill="0B5E3B"/>
            <w:vAlign w:val="center"/>
            <w:tcMar>
              <w:top w:w="80" w:type="dxa"/>
              <w:start w:w="120" w:type="dxa"/>
              <w:bottom w:w="80" w:type="dxa"/>
              <w:end w:w="120" w:type="dxa"/>
            </w:tcMar>
          </w:tcPr>
          <w:p>
            <w:r>
              <w:rPr>
                <w:b/>
                <w:color w:val="FFFFFF"/>
                <w:sz w:val="16"/>
              </w:rPr>
              <w:t>Integrasi</w:t>
            </w:r>
          </w:p>
        </w:tc>
        <w:tc>
          <w:tcPr>
            <w:tcW w:type="dxa" w:w="4104"/>
            <w:shd w:fill="0B5E3B"/>
            <w:vAlign w:val="center"/>
            <w:tcMar>
              <w:top w:w="80" w:type="dxa"/>
              <w:start w:w="120" w:type="dxa"/>
              <w:bottom w:w="80" w:type="dxa"/>
              <w:end w:w="120" w:type="dxa"/>
            </w:tcMar>
          </w:tcPr>
          <w:p>
            <w:r>
              <w:rPr>
                <w:b/>
                <w:color w:val="FFFFFF"/>
                <w:sz w:val="16"/>
              </w:rPr>
              <w:t>Kesiapan MVP</w:t>
            </w:r>
          </w:p>
        </w:tc>
        <w:tc>
          <w:tcPr>
            <w:tcW w:type="dxa" w:w="3528"/>
            <w:shd w:fill="0B5E3B"/>
            <w:vAlign w:val="center"/>
            <w:tcMar>
              <w:top w:w="80" w:type="dxa"/>
              <w:start w:w="120" w:type="dxa"/>
              <w:bottom w:w="80" w:type="dxa"/>
              <w:end w:w="120" w:type="dxa"/>
            </w:tcMar>
          </w:tcPr>
          <w:p>
            <w:r>
              <w:rPr>
                <w:b/>
                <w:color w:val="FFFFFF"/>
                <w:sz w:val="16"/>
              </w:rPr>
              <w:t>Batas implementasi</w:t>
            </w:r>
          </w:p>
        </w:tc>
      </w:tr>
      <w:tr>
        <w:trPr>
          <w:cantSplit w:val="true"/>
        </w:trPr>
        <w:tc>
          <w:tcPr>
            <w:tcW w:type="dxa" w:w="1728"/>
            <w:vAlign w:val="center"/>
            <w:tcMar>
              <w:top w:w="80" w:type="dxa"/>
              <w:start w:w="120" w:type="dxa"/>
              <w:bottom w:w="80" w:type="dxa"/>
              <w:end w:w="120" w:type="dxa"/>
            </w:tcMar>
          </w:tcPr>
          <w:p>
            <w:pPr>
              <w:spacing w:after="20"/>
            </w:pPr>
            <w:r>
              <w:rPr>
                <w:rFonts w:ascii="Calibri" w:hAnsi="Calibri"/>
                <w:color w:val="2A2E2B"/>
                <w:sz w:val="16"/>
              </w:rPr>
              <w:t>SIMPONI</w:t>
            </w:r>
          </w:p>
        </w:tc>
        <w:tc>
          <w:tcPr>
            <w:tcW w:type="dxa" w:w="4104"/>
            <w:vAlign w:val="center"/>
            <w:tcMar>
              <w:top w:w="80" w:type="dxa"/>
              <w:start w:w="120" w:type="dxa"/>
              <w:bottom w:w="80" w:type="dxa"/>
              <w:end w:w="120" w:type="dxa"/>
            </w:tcMar>
          </w:tcPr>
          <w:p>
            <w:pPr>
              <w:spacing w:after="20"/>
            </w:pPr>
            <w:r>
              <w:rPr>
                <w:rFonts w:ascii="Calibri" w:hAnsi="Calibri"/>
                <w:color w:val="2A2E2B"/>
                <w:sz w:val="16"/>
              </w:rPr>
              <w:t>Field provider, external reference, sync status, dan adapter interface.</w:t>
            </w:r>
          </w:p>
        </w:tc>
        <w:tc>
          <w:tcPr>
            <w:tcW w:type="dxa" w:w="3528"/>
            <w:vAlign w:val="center"/>
            <w:tcMar>
              <w:top w:w="80" w:type="dxa"/>
              <w:start w:w="120" w:type="dxa"/>
              <w:bottom w:w="80" w:type="dxa"/>
              <w:end w:w="120" w:type="dxa"/>
            </w:tcMar>
          </w:tcPr>
          <w:p>
            <w:pPr>
              <w:spacing w:after="20"/>
            </w:pPr>
            <w:r>
              <w:rPr>
                <w:rFonts w:ascii="Calibri" w:hAnsi="Calibri"/>
                <w:color w:val="2A2E2B"/>
                <w:sz w:val="16"/>
              </w:rPr>
              <w:t>Pembayaran masih dicatat dan dikonfirmasi manual.</w:t>
            </w:r>
          </w:p>
        </w:tc>
      </w:tr>
      <w:tr>
        <w:trPr>
          <w:cantSplit w:val="true"/>
        </w:trPr>
        <w:tc>
          <w:tcPr>
            <w:tcW w:type="dxa" w:w="1728"/>
            <w:shd w:fill="F7FAF8"/>
            <w:vAlign w:val="center"/>
            <w:tcMar>
              <w:top w:w="80" w:type="dxa"/>
              <w:start w:w="120" w:type="dxa"/>
              <w:bottom w:w="80" w:type="dxa"/>
              <w:end w:w="120" w:type="dxa"/>
            </w:tcMar>
          </w:tcPr>
          <w:p>
            <w:pPr>
              <w:spacing w:after="20"/>
            </w:pPr>
            <w:r>
              <w:rPr>
                <w:rFonts w:ascii="Calibri" w:hAnsi="Calibri"/>
                <w:color w:val="2A2E2B"/>
                <w:sz w:val="16"/>
              </w:rPr>
              <w:t>BSrE</w:t>
            </w:r>
          </w:p>
        </w:tc>
        <w:tc>
          <w:tcPr>
            <w:tcW w:type="dxa" w:w="4104"/>
            <w:shd w:fill="F7FAF8"/>
            <w:vAlign w:val="center"/>
            <w:tcMar>
              <w:top w:w="80" w:type="dxa"/>
              <w:start w:w="120" w:type="dxa"/>
              <w:bottom w:w="80" w:type="dxa"/>
              <w:end w:w="120" w:type="dxa"/>
            </w:tcMar>
          </w:tcPr>
          <w:p>
            <w:pPr>
              <w:spacing w:after="20"/>
            </w:pPr>
            <w:r>
              <w:rPr>
                <w:rFonts w:ascii="Calibri" w:hAnsi="Calibri"/>
                <w:color w:val="2A2E2B"/>
                <w:sz w:val="16"/>
              </w:rPr>
              <w:t>Metode tanda tangan, signing status, external signature ID, dan pemisahan service penandatanganan.</w:t>
            </w:r>
          </w:p>
        </w:tc>
        <w:tc>
          <w:tcPr>
            <w:tcW w:type="dxa" w:w="3528"/>
            <w:shd w:fill="F7FAF8"/>
            <w:vAlign w:val="center"/>
            <w:tcMar>
              <w:top w:w="80" w:type="dxa"/>
              <w:start w:w="120" w:type="dxa"/>
              <w:bottom w:w="80" w:type="dxa"/>
              <w:end w:w="120" w:type="dxa"/>
            </w:tcMar>
          </w:tcPr>
          <w:p>
            <w:pPr>
              <w:spacing w:after="20"/>
            </w:pPr>
            <w:r>
              <w:rPr>
                <w:rFonts w:ascii="Calibri" w:hAnsi="Calibri"/>
                <w:color w:val="2A2E2B"/>
                <w:sz w:val="16"/>
              </w:rPr>
              <w:t>Belum aktif sampai kewenangan penandatangan dan akses resmi dikonfirmasi.</w:t>
            </w:r>
          </w:p>
        </w:tc>
      </w:tr>
      <w:tr>
        <w:trPr>
          <w:cantSplit w:val="true"/>
        </w:trPr>
        <w:tc>
          <w:tcPr>
            <w:tcW w:type="dxa" w:w="1728"/>
            <w:vAlign w:val="center"/>
            <w:tcMar>
              <w:top w:w="80" w:type="dxa"/>
              <w:start w:w="120" w:type="dxa"/>
              <w:bottom w:w="80" w:type="dxa"/>
              <w:end w:w="120" w:type="dxa"/>
            </w:tcMar>
          </w:tcPr>
          <w:p>
            <w:pPr>
              <w:spacing w:after="20"/>
            </w:pPr>
            <w:r>
              <w:rPr>
                <w:rFonts w:ascii="Calibri" w:hAnsi="Calibri"/>
                <w:color w:val="2A2E2B"/>
                <w:sz w:val="16"/>
              </w:rPr>
              <w:t>SSO/SIMPEG</w:t>
            </w:r>
          </w:p>
        </w:tc>
        <w:tc>
          <w:tcPr>
            <w:tcW w:type="dxa" w:w="4104"/>
            <w:vAlign w:val="center"/>
            <w:tcMar>
              <w:top w:w="80" w:type="dxa"/>
              <w:start w:w="120" w:type="dxa"/>
              <w:bottom w:w="80" w:type="dxa"/>
              <w:end w:w="120" w:type="dxa"/>
            </w:tcMar>
          </w:tcPr>
          <w:p>
            <w:pPr>
              <w:spacing w:after="20"/>
            </w:pPr>
            <w:r>
              <w:rPr>
                <w:rFonts w:ascii="Calibri" w:hAnsi="Calibri"/>
                <w:color w:val="2A2E2B"/>
                <w:sz w:val="16"/>
              </w:rPr>
              <w:t>User/role tidak bergantung pada provider autentikasi tertentu.</w:t>
            </w:r>
          </w:p>
        </w:tc>
        <w:tc>
          <w:tcPr>
            <w:tcW w:type="dxa" w:w="3528"/>
            <w:vAlign w:val="center"/>
            <w:tcMar>
              <w:top w:w="80" w:type="dxa"/>
              <w:start w:w="120" w:type="dxa"/>
              <w:bottom w:w="80" w:type="dxa"/>
              <w:end w:w="120" w:type="dxa"/>
            </w:tcMar>
          </w:tcPr>
          <w:p>
            <w:pPr>
              <w:spacing w:after="20"/>
            </w:pPr>
            <w:r>
              <w:rPr>
                <w:rFonts w:ascii="Calibri" w:hAnsi="Calibri"/>
                <w:color w:val="2A2E2B"/>
                <w:sz w:val="16"/>
              </w:rPr>
              <w:t>Login lokal aman digunakan pada MVP.</w:t>
            </w:r>
          </w:p>
        </w:tc>
      </w:tr>
    </w:tbl>
    <w:p>
      <w:pPr>
        <w:spacing w:after="0"/>
      </w:pPr>
    </w:p>
    <w:p>
      <w:pPr>
        <w:pStyle w:val="Heading1"/>
      </w:pPr>
      <w:r>
        <w:t>13. Pengujian dan Penerimaan</w:t>
      </w:r>
    </w:p>
    <w:p>
      <w:pPr>
        <w:pStyle w:val="ListBullet"/>
      </w:pPr>
      <w:r>
        <w:t>Unit test untuk state transition, snapshot tarif/SLA, billing aktif tunggal, dan iterasi tahap.</w:t>
      </w:r>
    </w:p>
    <w:p>
      <w:pPr>
        <w:pStyle w:val="ListBullet"/>
      </w:pPr>
      <w:r>
        <w:t>Integration test untuk autentikasi, permission, database, file, audit, dan versioning dokumen.</w:t>
      </w:r>
    </w:p>
    <w:p>
      <w:pPr>
        <w:pStyle w:val="ListBullet"/>
      </w:pPr>
      <w:r>
        <w:t>End-to-end minimal untuk jalur input admin, jalur portal penerbit, jalur revisi, dan jalur selesai.</w:t>
      </w:r>
    </w:p>
    <w:p>
      <w:pPr>
        <w:pStyle w:val="ListBullet"/>
      </w:pPr>
      <w:r>
        <w:t>Security test untuk IDOR lintas penerbit, upload berbahaya, akses file, rate limit, dan permission negatif.</w:t>
      </w:r>
    </w:p>
    <w:p>
      <w:pPr>
        <w:pStyle w:val="ListBullet"/>
      </w:pPr>
      <w:r>
        <w:t>UAT dilakukan bersama perwakilan admin, verifikator, distributor, pentashih, dokumentator, serta penerbit.</w:t>
      </w:r>
    </w:p>
    <w:p>
      <w:pPr>
        <w:pStyle w:val="Heading2"/>
      </w:pPr>
      <w:r>
        <w:t>13.1 Definition of Ready</w:t>
      </w:r>
    </w:p>
    <w:p>
      <w:pPr>
        <w:pStyle w:val="ListBullet"/>
      </w:pPr>
      <w:r>
        <w:t>Aktor, tujuan, acceptance criteria, field, permission, status, dependensi, dan desain layar telah jelas.</w:t>
      </w:r>
    </w:p>
    <w:p>
      <w:pPr>
        <w:pStyle w:val="ListBullet"/>
      </w:pPr>
      <w:r>
        <w:t>Pertanyaan stakeholder yang memblokir telah dijawab atau dinyatakan sebagai asumsi eksplisit.</w:t>
      </w:r>
    </w:p>
    <w:p>
      <w:pPr>
        <w:pStyle w:val="ListBullet"/>
      </w:pPr>
      <w:r>
        <w:t>Data uji tersedia.</w:t>
      </w:r>
    </w:p>
    <w:p>
      <w:pPr>
        <w:pStyle w:val="Heading2"/>
      </w:pPr>
      <w:r>
        <w:t>13.2 Definition of Done</w:t>
      </w:r>
    </w:p>
    <w:p>
      <w:pPr>
        <w:pStyle w:val="ListBullet"/>
      </w:pPr>
      <w:r>
        <w:t>Code review dan automated test lulus.</w:t>
      </w:r>
    </w:p>
    <w:p>
      <w:pPr>
        <w:pStyle w:val="ListBullet"/>
      </w:pPr>
      <w:r>
        <w:t>Acceptance criteria dan permission negatif tervalidasi di staging.</w:t>
      </w:r>
    </w:p>
    <w:p>
      <w:pPr>
        <w:pStyle w:val="ListBullet"/>
      </w:pPr>
      <w:r>
        <w:t>Audit, dokumentasi API/migration, dan bukti UAT diperbarui.</w:t>
      </w:r>
    </w:p>
    <w:p>
      <w:pPr>
        <w:pStyle w:val="ListBullet"/>
      </w:pPr>
      <w:r>
        <w:t>Tidak ada defect kritis/tinggi yang terbuka.</w:t>
      </w:r>
    </w:p>
    <w:p>
      <w:pPr>
        <w:pStyle w:val="Heading1"/>
      </w:pPr>
      <w:r>
        <w:t>14. Prioritas Implementasi MVP</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440"/>
            <w:shd w:fill="0B5E3B"/>
            <w:vAlign w:val="center"/>
            <w:tcMar>
              <w:top w:w="80" w:type="dxa"/>
              <w:start w:w="120" w:type="dxa"/>
              <w:bottom w:w="80" w:type="dxa"/>
              <w:end w:w="120" w:type="dxa"/>
            </w:tcMar>
          </w:tcPr>
          <w:p>
            <w:r>
              <w:rPr>
                <w:b/>
                <w:color w:val="FFFFFF"/>
                <w:sz w:val="16"/>
              </w:rPr>
              <w:t>Sprint</w:t>
            </w:r>
          </w:p>
        </w:tc>
        <w:tc>
          <w:tcPr>
            <w:tcW w:type="dxa" w:w="2592"/>
            <w:shd w:fill="0B5E3B"/>
            <w:vAlign w:val="center"/>
            <w:tcMar>
              <w:top w:w="80" w:type="dxa"/>
              <w:start w:w="120" w:type="dxa"/>
              <w:bottom w:w="80" w:type="dxa"/>
              <w:end w:w="120" w:type="dxa"/>
            </w:tcMar>
          </w:tcPr>
          <w:p>
            <w:r>
              <w:rPr>
                <w:b/>
                <w:color w:val="FFFFFF"/>
                <w:sz w:val="16"/>
              </w:rPr>
              <w:t>Fokus</w:t>
            </w:r>
          </w:p>
        </w:tc>
        <w:tc>
          <w:tcPr>
            <w:tcW w:type="dxa" w:w="5328"/>
            <w:shd w:fill="0B5E3B"/>
            <w:vAlign w:val="center"/>
            <w:tcMar>
              <w:top w:w="80" w:type="dxa"/>
              <w:start w:w="120" w:type="dxa"/>
              <w:bottom w:w="80" w:type="dxa"/>
              <w:end w:w="120" w:type="dxa"/>
            </w:tcMar>
          </w:tcPr>
          <w:p>
            <w:r>
              <w:rPr>
                <w:b/>
                <w:color w:val="FFFFFF"/>
                <w:sz w:val="16"/>
              </w:rPr>
              <w:t>Output utama</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0</w:t>
            </w:r>
          </w:p>
        </w:tc>
        <w:tc>
          <w:tcPr>
            <w:tcW w:type="dxa" w:w="2592"/>
            <w:vAlign w:val="center"/>
            <w:tcMar>
              <w:top w:w="80" w:type="dxa"/>
              <w:start w:w="120" w:type="dxa"/>
              <w:bottom w:w="80" w:type="dxa"/>
              <w:end w:w="120" w:type="dxa"/>
            </w:tcMar>
          </w:tcPr>
          <w:p>
            <w:pPr>
              <w:spacing w:after="20"/>
            </w:pPr>
            <w:r>
              <w:rPr>
                <w:rFonts w:ascii="Calibri" w:hAnsi="Calibri"/>
                <w:color w:val="2A2E2B"/>
                <w:sz w:val="16"/>
              </w:rPr>
              <w:t>Fondasi</w:t>
            </w:r>
          </w:p>
        </w:tc>
        <w:tc>
          <w:tcPr>
            <w:tcW w:type="dxa" w:w="5328"/>
            <w:vAlign w:val="center"/>
            <w:tcMar>
              <w:top w:w="80" w:type="dxa"/>
              <w:start w:w="120" w:type="dxa"/>
              <w:bottom w:w="80" w:type="dxa"/>
              <w:end w:w="120" w:type="dxa"/>
            </w:tcMar>
          </w:tcPr>
          <w:p>
            <w:pPr>
              <w:spacing w:after="20"/>
            </w:pPr>
            <w:r>
              <w:rPr>
                <w:rFonts w:ascii="Calibri" w:hAnsi="Calibri"/>
                <w:color w:val="2A2E2B"/>
                <w:sz w:val="16"/>
              </w:rPr>
              <w:t>Validasi requirement, ERD, repo, CI, environment, design token, OpenAPI skeleton.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1</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Identitas &amp; master</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Login, RBAC, pengguna, penerbit, Tim Distribusi, kategori/konten mushaf.</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2</w:t>
            </w:r>
          </w:p>
        </w:tc>
        <w:tc>
          <w:tcPr>
            <w:tcW w:type="dxa" w:w="2592"/>
            <w:vAlign w:val="center"/>
            <w:tcMar>
              <w:top w:w="80" w:type="dxa"/>
              <w:start w:w="120" w:type="dxa"/>
              <w:bottom w:w="80" w:type="dxa"/>
              <w:end w:w="120" w:type="dxa"/>
            </w:tcMar>
          </w:tcPr>
          <w:p>
            <w:pPr>
              <w:spacing w:after="20"/>
            </w:pPr>
            <w:r>
              <w:rPr>
                <w:rFonts w:ascii="Calibri" w:hAnsi="Calibri"/>
                <w:color w:val="2A2E2B"/>
                <w:sz w:val="16"/>
              </w:rPr>
              <w:t>Pengajuan &amp; verifikasi</w:t>
            </w:r>
          </w:p>
        </w:tc>
        <w:tc>
          <w:tcPr>
            <w:tcW w:type="dxa" w:w="5328"/>
            <w:vAlign w:val="center"/>
            <w:tcMar>
              <w:top w:w="80" w:type="dxa"/>
              <w:start w:w="120" w:type="dxa"/>
              <w:bottom w:w="80" w:type="dxa"/>
              <w:end w:w="120" w:type="dxa"/>
            </w:tcMar>
          </w:tcPr>
          <w:p>
            <w:pPr>
              <w:spacing w:after="20"/>
            </w:pPr>
            <w:r>
              <w:rPr>
                <w:rFonts w:ascii="Calibri" w:hAnsi="Calibri"/>
                <w:color w:val="2A2E2B"/>
                <w:sz w:val="16"/>
              </w:rPr>
              <w:t>Portal/admin input, upload sampel, antrean, tugas saya, status history.</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3</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Tarif &amp; pembayaran</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Snapshot tarif/SLA, kalender kerja, billing dan bukti manual.</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4</w:t>
            </w:r>
          </w:p>
        </w:tc>
        <w:tc>
          <w:tcPr>
            <w:tcW w:type="dxa" w:w="2592"/>
            <w:vAlign w:val="center"/>
            <w:tcMar>
              <w:top w:w="80" w:type="dxa"/>
              <w:start w:w="120" w:type="dxa"/>
              <w:bottom w:w="80" w:type="dxa"/>
              <w:end w:w="120" w:type="dxa"/>
            </w:tcMar>
          </w:tcPr>
          <w:p>
            <w:pPr>
              <w:spacing w:after="20"/>
            </w:pPr>
            <w:r>
              <w:rPr>
                <w:rFonts w:ascii="Calibri" w:hAnsi="Calibri"/>
                <w:color w:val="2A2E2B"/>
                <w:sz w:val="16"/>
              </w:rPr>
              <w:t>Distribusi &amp; tashih</w:t>
            </w:r>
          </w:p>
        </w:tc>
        <w:tc>
          <w:tcPr>
            <w:tcW w:type="dxa" w:w="5328"/>
            <w:vAlign w:val="center"/>
            <w:tcMar>
              <w:top w:w="80" w:type="dxa"/>
              <w:start w:w="120" w:type="dxa"/>
              <w:bottom w:w="80" w:type="dxa"/>
              <w:end w:w="120" w:type="dxa"/>
            </w:tcMar>
          </w:tcPr>
          <w:p>
            <w:pPr>
              <w:spacing w:after="20"/>
            </w:pPr>
            <w:r>
              <w:rPr>
                <w:rFonts w:ascii="Calibri" w:hAnsi="Calibri"/>
                <w:color w:val="2A2E2B"/>
                <w:sz w:val="16"/>
              </w:rPr>
              <w:t>Tim, penugasan awal/perbaikan/dumi, iterasi, hasil pemeriksaan.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5</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Dokumentasi &amp; dokumen</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Checklist, arsip, versioning, penandatangan, QR terbatas.</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6</w:t>
            </w:r>
          </w:p>
        </w:tc>
        <w:tc>
          <w:tcPr>
            <w:tcW w:type="dxa" w:w="2592"/>
            <w:vAlign w:val="center"/>
            <w:tcMar>
              <w:top w:w="80" w:type="dxa"/>
              <w:start w:w="120" w:type="dxa"/>
              <w:bottom w:w="80" w:type="dxa"/>
              <w:end w:w="120" w:type="dxa"/>
            </w:tcMar>
          </w:tcPr>
          <w:p>
            <w:pPr>
              <w:spacing w:after="20"/>
            </w:pPr>
            <w:r>
              <w:rPr>
                <w:rFonts w:ascii="Calibri" w:hAnsi="Calibri"/>
                <w:color w:val="2A2E2B"/>
                <w:sz w:val="16"/>
              </w:rPr>
              <w:t>Laporan &amp; hardening</w:t>
            </w:r>
          </w:p>
        </w:tc>
        <w:tc>
          <w:tcPr>
            <w:tcW w:type="dxa" w:w="5328"/>
            <w:vAlign w:val="center"/>
            <w:tcMar>
              <w:top w:w="80" w:type="dxa"/>
              <w:start w:w="120" w:type="dxa"/>
              <w:bottom w:w="80" w:type="dxa"/>
              <w:end w:w="120" w:type="dxa"/>
            </w:tcMar>
          </w:tcPr>
          <w:p>
            <w:pPr>
              <w:spacing w:after="20"/>
            </w:pPr>
            <w:r>
              <w:rPr>
                <w:rFonts w:ascii="Calibri" w:hAnsi="Calibri"/>
                <w:color w:val="2A2E2B"/>
                <w:sz w:val="16"/>
              </w:rPr>
              <w:t>Dashboard, ekspor, audit, security review, UAT, dokumentasi.</w:t>
            </w:r>
          </w:p>
        </w:tc>
      </w:tr>
    </w:tbl>
    <w:p>
      <w:pPr>
        <w:spacing w:after="0"/>
      </w:pPr>
    </w:p>
    <w:p>
      <w:pPr>
        <w:pStyle w:val="Heading1"/>
      </w:pPr>
      <w:r>
        <w:t>15. Risiko dan Mitigasi</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880"/>
            <w:shd w:fill="0B5E3B"/>
            <w:vAlign w:val="center"/>
            <w:tcMar>
              <w:top w:w="80" w:type="dxa"/>
              <w:start w:w="120" w:type="dxa"/>
              <w:bottom w:w="80" w:type="dxa"/>
              <w:end w:w="120" w:type="dxa"/>
            </w:tcMar>
          </w:tcPr>
          <w:p>
            <w:r>
              <w:rPr>
                <w:b/>
                <w:color w:val="FFFFFF"/>
                <w:sz w:val="16"/>
              </w:rPr>
              <w:t>Risiko</w:t>
            </w:r>
          </w:p>
        </w:tc>
        <w:tc>
          <w:tcPr>
            <w:tcW w:type="dxa" w:w="2448"/>
            <w:shd w:fill="0B5E3B"/>
            <w:vAlign w:val="center"/>
            <w:tcMar>
              <w:top w:w="80" w:type="dxa"/>
              <w:start w:w="120" w:type="dxa"/>
              <w:bottom w:w="80" w:type="dxa"/>
              <w:end w:w="120" w:type="dxa"/>
            </w:tcMar>
          </w:tcPr>
          <w:p>
            <w:r>
              <w:rPr>
                <w:b/>
                <w:color w:val="FFFFFF"/>
                <w:sz w:val="16"/>
              </w:rPr>
              <w:t>Dampak</w:t>
            </w:r>
          </w:p>
        </w:tc>
        <w:tc>
          <w:tcPr>
            <w:tcW w:type="dxa" w:w="4032"/>
            <w:shd w:fill="0B5E3B"/>
            <w:vAlign w:val="center"/>
            <w:tcMar>
              <w:top w:w="80" w:type="dxa"/>
              <w:start w:w="120" w:type="dxa"/>
              <w:bottom w:w="80" w:type="dxa"/>
              <w:end w:w="120" w:type="dxa"/>
            </w:tcMar>
          </w:tcPr>
          <w:p>
            <w:r>
              <w:rPr>
                <w:b/>
                <w:color w:val="FFFFFF"/>
                <w:sz w:val="16"/>
              </w:rPr>
              <w:t>Mitigasi</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SOP/status belum final</w:t>
            </w:r>
          </w:p>
        </w:tc>
        <w:tc>
          <w:tcPr>
            <w:tcW w:type="dxa" w:w="2448"/>
            <w:vAlign w:val="center"/>
            <w:tcMar>
              <w:top w:w="80" w:type="dxa"/>
              <w:start w:w="120" w:type="dxa"/>
              <w:bottom w:w="80" w:type="dxa"/>
              <w:end w:w="120" w:type="dxa"/>
            </w:tcMar>
          </w:tcPr>
          <w:p>
            <w:pPr>
              <w:spacing w:after="20"/>
            </w:pPr>
            <w:r>
              <w:rPr>
                <w:rFonts w:ascii="Calibri" w:hAnsi="Calibri"/>
                <w:color w:val="2A2E2B"/>
                <w:sz w:val="16"/>
              </w:rPr>
              <w:t>Perubahan alur dan rework.</w:t>
            </w:r>
          </w:p>
        </w:tc>
        <w:tc>
          <w:tcPr>
            <w:tcW w:type="dxa" w:w="4032"/>
            <w:vAlign w:val="center"/>
            <w:tcMar>
              <w:top w:w="80" w:type="dxa"/>
              <w:start w:w="120" w:type="dxa"/>
              <w:bottom w:w="80" w:type="dxa"/>
              <w:end w:w="120" w:type="dxa"/>
            </w:tcMar>
          </w:tcPr>
          <w:p>
            <w:pPr>
              <w:spacing w:after="20"/>
            </w:pPr>
            <w:r>
              <w:rPr>
                <w:rFonts w:ascii="Calibri" w:hAnsi="Calibri"/>
                <w:color w:val="2A2E2B"/>
                <w:sz w:val="16"/>
              </w:rPr>
              <w:t>Gunakan state machine konfigurabel dan validasi sebelum sprint terkait.</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Tarif/SLA sementara</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Perhitungan tidak sesuai ketentuan.</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Effective date, snapshot, referensi regulasi, dan approval perubahan.</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Portal dan input admin tumpang tindih</w:t>
            </w:r>
          </w:p>
        </w:tc>
        <w:tc>
          <w:tcPr>
            <w:tcW w:type="dxa" w:w="2448"/>
            <w:vAlign w:val="center"/>
            <w:tcMar>
              <w:top w:w="80" w:type="dxa"/>
              <w:start w:w="120" w:type="dxa"/>
              <w:bottom w:w="80" w:type="dxa"/>
              <w:end w:w="120" w:type="dxa"/>
            </w:tcMar>
          </w:tcPr>
          <w:p>
            <w:pPr>
              <w:spacing w:after="20"/>
            </w:pPr>
            <w:r>
              <w:rPr>
                <w:rFonts w:ascii="Calibri" w:hAnsi="Calibri"/>
                <w:color w:val="2A2E2B"/>
                <w:sz w:val="16"/>
              </w:rPr>
              <w:t>Duplikasi data.</w:t>
            </w:r>
          </w:p>
        </w:tc>
        <w:tc>
          <w:tcPr>
            <w:tcW w:type="dxa" w:w="4032"/>
            <w:vAlign w:val="center"/>
            <w:tcMar>
              <w:top w:w="80" w:type="dxa"/>
              <w:start w:w="120" w:type="dxa"/>
              <w:bottom w:w="80" w:type="dxa"/>
              <w:end w:w="120" w:type="dxa"/>
            </w:tcMar>
          </w:tcPr>
          <w:p>
            <w:pPr>
              <w:spacing w:after="20"/>
            </w:pPr>
            <w:r>
              <w:rPr>
                <w:rFonts w:ascii="Calibri" w:hAnsi="Calibri"/>
                <w:color w:val="2A2E2B"/>
                <w:sz w:val="16"/>
              </w:rPr>
              <w:t>Satu backend/database serta submission_source.</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Kewenangan penandatangan belum pasti</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Dokumen tidak dapat difinalkan.</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Model signatory generik dan keputusan sebelum Sprint 5.</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Integrasi eksternal tertunda</w:t>
            </w:r>
          </w:p>
        </w:tc>
        <w:tc>
          <w:tcPr>
            <w:tcW w:type="dxa" w:w="2448"/>
            <w:vAlign w:val="center"/>
            <w:tcMar>
              <w:top w:w="80" w:type="dxa"/>
              <w:start w:w="120" w:type="dxa"/>
              <w:bottom w:w="80" w:type="dxa"/>
              <w:end w:w="120" w:type="dxa"/>
            </w:tcMar>
          </w:tcPr>
          <w:p>
            <w:pPr>
              <w:spacing w:after="20"/>
            </w:pPr>
            <w:r>
              <w:rPr>
                <w:rFonts w:ascii="Calibri" w:hAnsi="Calibri"/>
                <w:color w:val="2A2E2B"/>
                <w:sz w:val="16"/>
              </w:rPr>
              <w:t>Fitur pembayaran/tanda tangan terhambat.</w:t>
            </w:r>
          </w:p>
        </w:tc>
        <w:tc>
          <w:tcPr>
            <w:tcW w:type="dxa" w:w="4032"/>
            <w:vAlign w:val="center"/>
            <w:tcMar>
              <w:top w:w="80" w:type="dxa"/>
              <w:start w:w="120" w:type="dxa"/>
              <w:bottom w:w="80" w:type="dxa"/>
              <w:end w:w="120" w:type="dxa"/>
            </w:tcMar>
          </w:tcPr>
          <w:p>
            <w:pPr>
              <w:spacing w:after="20"/>
            </w:pPr>
            <w:r>
              <w:rPr>
                <w:rFonts w:ascii="Calibri" w:hAnsi="Calibri"/>
                <w:color w:val="2A2E2B"/>
                <w:sz w:val="16"/>
              </w:rPr>
              <w:t>Mode manual dan adapter interface.</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File sensitif bocor</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Risiko keamanan dan kepatuhan.</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Private storage, authorization, URL sementara, audit, dan scan upload.</w:t>
            </w:r>
          </w:p>
        </w:tc>
      </w:tr>
    </w:tbl>
    <w:p>
      <w:pPr>
        <w:spacing w:after="0"/>
      </w:pPr>
    </w:p>
    <w:p>
      <w:pPr>
        <w:pStyle w:val="Heading1"/>
      </w:pPr>
      <w:r>
        <w:t>16. Keputusan Terbuka</w:t>
      </w:r>
    </w:p>
    <w:p>
      <w:pPr>
        <w:pStyle w:val="ListBullet"/>
      </w:pPr>
      <w:r>
        <w:t>Pengesahan istilah, urutan status, transisi, serta SLA pada SOP final.</w:t>
      </w:r>
    </w:p>
    <w:p>
      <w:pPr>
        <w:pStyle w:val="ListBullet"/>
      </w:pPr>
      <w:r>
        <w:t>Penetapan pejabat/ketua kelompok yang berwenang menandatangani dokumen.</w:t>
      </w:r>
    </w:p>
    <w:p>
      <w:pPr>
        <w:pStyle w:val="ListBullet"/>
      </w:pPr>
      <w:r>
        <w:t>Format nomor dan template resmi Surat Tanda Tashih, tanda terima, serta dokumen pendukung.</w:t>
      </w:r>
    </w:p>
    <w:p>
      <w:pPr>
        <w:pStyle w:val="ListBullet"/>
      </w:pPr>
      <w:r>
        <w:t>Daftar dokumen badan hukum wajib per tipe penerbit.</w:t>
      </w:r>
    </w:p>
    <w:p>
      <w:pPr>
        <w:pStyle w:val="ListBullet"/>
      </w:pPr>
      <w:r>
        <w:t>Batas ukuran/format file, retensi, dan infrastruktur penyimpanan.</w:t>
      </w:r>
    </w:p>
    <w:p>
      <w:pPr>
        <w:pStyle w:val="ListBullet"/>
      </w:pPr>
      <w:r>
        <w:t>Mekanisme pembatalan setelah pembayaran dan kemungkinan pengembalian PNBP.</w:t>
      </w:r>
    </w:p>
    <w:p>
      <w:pPr>
        <w:pStyle w:val="ListBullet"/>
      </w:pPr>
      <w:r>
        <w:t>Informasi minimum yang boleh ditampilkan pada verifikasi QR publik.</w:t>
      </w:r>
    </w:p>
    <w:p>
      <w:pPr>
        <w:pStyle w:val="Heading1"/>
      </w:pPr>
      <w:r>
        <w:t>17. Exit Criteria Sebelum Coding Fitur</w:t>
      </w:r>
    </w:p>
    <w:p>
      <w:pPr>
        <w:pStyle w:val="ListBullet"/>
      </w:pPr>
      <w:r>
        <w:t>SRS v2, ERD, dan backlog disetujui sebagai baseline.</w:t>
      </w:r>
    </w:p>
    <w:p>
      <w:pPr>
        <w:pStyle w:val="ListBullet"/>
      </w:pPr>
      <w:r>
        <w:t>Role/permission serta status/transisi minimum disepakati.</w:t>
      </w:r>
    </w:p>
    <w:p>
      <w:pPr>
        <w:pStyle w:val="ListBullet"/>
      </w:pPr>
      <w:r>
        <w:t>Seed master data diberi label sementara atau telah mempunyai sumber resmi.</w:t>
      </w:r>
    </w:p>
    <w:p>
      <w:pPr>
        <w:pStyle w:val="ListBullet"/>
      </w:pPr>
      <w:r>
        <w:t>Wireframe layar P0 dan OpenAPI skeleton tersedia.</w:t>
      </w:r>
    </w:p>
    <w:p>
      <w:pPr>
        <w:pStyle w:val="ListBullet"/>
      </w:pPr>
      <w:r>
        <w:t>Repository, branching, CI, environment, database migration, dan secret management siap.</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15C"/>
        <w:sz w:val="16"/>
      </w:rPr>
      <w:t xml:space="preserve">SRS v2.0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15C"/>
        <w:sz w:val="16"/>
      </w:rPr>
      <w:t>LPMQ — Sistem Manajemen Layanan Pentashihan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A2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B5E3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B7A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886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5E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B615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Sistem Manajemen Layanan Pentashihan LPMQ v2.0</dc:title>
  <dc:subject>Software Requirements Specification dan baseline MVP</dc:subject>
  <dc:creator>Tim Magang / Pengembang Internal LPMQ</dc:creator>
  <cp:keywords>LPMQ, SRS, pentashihan, mushaf, MVP</cp:keywords>
  <dc:description>generated by python-docx</dc:description>
  <cp:lastModifiedBy/>
  <cp:revision>1</cp:revision>
  <dcterms:created xsi:type="dcterms:W3CDTF">2013-12-23T23:15:00Z</dcterms:created>
  <dcterms:modified xsi:type="dcterms:W3CDTF">2013-12-23T23:15:00Z</dcterms:modified>
  <cp:category/>
</cp:coreProperties>
</file>