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b/>
          <w:color w:val="B8860B"/>
          <w:sz w:val="26"/>
        </w:rPr>
        <w:t>DOKUMEN KEBUTUHAN SISTEM</w:t>
      </w:r>
    </w:p>
    <w:p>
      <w:pPr>
        <w:pStyle w:val="Title"/>
      </w:pPr>
      <w:r>
        <w:t>Sistem Manajemen Layanan</w:t>
        <w:br/>
        <w:t>Pentashihan Mushaf Al-Qur’an</w:t>
      </w:r>
    </w:p>
    <w:p>
      <w:pPr>
        <w:pStyle w:val="Subtitle"/>
      </w:pPr>
      <w:r>
        <w:t>Software Requirements Specification (SRS) — Versi 2.2</w:t>
      </w:r>
    </w:p>
    <w:p>
      <w:pPr>
        <w:spacing w:before="360" w:after="400"/>
      </w:pPr>
      <w:r>
        <w:rPr>
          <w:rFonts w:ascii="Calibri" w:hAnsi="Calibri"/>
          <w:b/>
          <w:color w:val="0B5E3B"/>
          <w:sz w:val="24"/>
        </w:rPr>
        <w:t>LAJNAH PENTASHIHAN MUSHAF AL-QUR’AN</w:t>
        <w:br/>
        <w:t>KEMENTERIAN AGAMA REPUBLIK INDONESIA</w:t>
      </w:r>
    </w:p>
    <w:tbl>
      <w:tblPr>
        <w:tblStyle w:val="TableGrid"/>
        <w:tblW w:type="dxa" w:w="9360"/>
        <w:jc w:val="center"/>
        <w:tblLayout w:type="fixed"/>
        <w:tblLook w:firstColumn="1" w:firstRow="1" w:lastColumn="0" w:lastRow="0" w:noHBand="0" w:noVBand="1" w:val="04A0"/>
        <w:tblInd w:type="dxa" w:w="120"/>
      </w:tblPr>
      <w:tblGrid>
        <w:gridCol w:w="2304"/>
        <w:gridCol w:w="7056"/>
      </w:tblGrid>
      <w:tr>
        <w:trPr>
          <w:tblHeader w:val="true"/>
          <w:cantSplit w:val="true"/>
        </w:trPr>
        <w:tc>
          <w:tcPr>
            <w:tcW w:type="dxa" w:w="2304"/>
            <w:shd w:fill="0B5E3B"/>
            <w:vAlign w:val="center"/>
            <w:tcMar>
              <w:top w:w="80" w:type="dxa"/>
              <w:start w:w="120" w:type="dxa"/>
              <w:bottom w:w="80" w:type="dxa"/>
              <w:end w:w="120" w:type="dxa"/>
            </w:tcMar>
          </w:tcPr>
          <w:p>
            <w:r>
              <w:rPr>
                <w:b/>
                <w:color w:val="FFFFFF"/>
                <w:sz w:val="18"/>
              </w:rPr>
              <w:t>Informasi</w:t>
            </w:r>
          </w:p>
        </w:tc>
        <w:tc>
          <w:tcPr>
            <w:tcW w:type="dxa" w:w="7056"/>
            <w:shd w:fill="0B5E3B"/>
            <w:vAlign w:val="center"/>
            <w:tcMar>
              <w:top w:w="80" w:type="dxa"/>
              <w:start w:w="120" w:type="dxa"/>
              <w:bottom w:w="80" w:type="dxa"/>
              <w:end w:w="120" w:type="dxa"/>
            </w:tcMar>
          </w:tcPr>
          <w:p>
            <w:r>
              <w:rPr>
                <w:b/>
                <w:color w:val="FFFFFF"/>
                <w:sz w:val="18"/>
              </w:rPr>
              <w:t>Keterangan</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Versi</w:t>
            </w:r>
          </w:p>
        </w:tc>
        <w:tc>
          <w:tcPr>
            <w:tcW w:type="dxa" w:w="7056"/>
            <w:vAlign w:val="center"/>
            <w:tcMar>
              <w:top w:w="80" w:type="dxa"/>
              <w:start w:w="120" w:type="dxa"/>
              <w:bottom w:w="80" w:type="dxa"/>
              <w:end w:w="120" w:type="dxa"/>
            </w:tcMar>
          </w:tcPr>
          <w:p>
            <w:pPr>
              <w:spacing w:after="20"/>
            </w:pPr>
            <w:r>
              <w:rPr>
                <w:rFonts w:ascii="Calibri" w:hAnsi="Calibri"/>
                <w:color w:val="2A2E2B"/>
                <w:sz w:val="18"/>
              </w:rPr>
              <w:t>2.2 — Baseline MVP Berbasis SOP dan Klarifikasi Stakeholder</w:t>
            </w:r>
          </w:p>
        </w:tc>
      </w:tr>
      <w:tr>
        <w:trPr>
          <w:cantSplit w:val="true"/>
        </w:trPr>
        <w:tc>
          <w:tcPr>
            <w:tcW w:type="dxa" w:w="2304"/>
            <w:shd w:fill="F7FAF8"/>
            <w:vAlign w:val="center"/>
            <w:tcMar>
              <w:top w:w="80" w:type="dxa"/>
              <w:start w:w="120" w:type="dxa"/>
              <w:bottom w:w="80" w:type="dxa"/>
              <w:end w:w="120" w:type="dxa"/>
            </w:tcMar>
          </w:tcPr>
          <w:p>
            <w:pPr>
              <w:spacing w:after="20"/>
            </w:pPr>
            <w:r>
              <w:rPr>
                <w:rFonts w:ascii="Calibri" w:hAnsi="Calibri"/>
                <w:color w:val="2A2E2B"/>
                <w:sz w:val="18"/>
              </w:rPr>
              <w:t>Tanggal</w:t>
            </w:r>
          </w:p>
        </w:tc>
        <w:tc>
          <w:tcPr>
            <w:tcW w:type="dxa" w:w="7056"/>
            <w:shd w:fill="F7FAF8"/>
            <w:vAlign w:val="center"/>
            <w:tcMar>
              <w:top w:w="80" w:type="dxa"/>
              <w:start w:w="120" w:type="dxa"/>
              <w:bottom w:w="80" w:type="dxa"/>
              <w:end w:w="120" w:type="dxa"/>
            </w:tcMar>
          </w:tcPr>
          <w:p>
            <w:pPr>
              <w:spacing w:after="20"/>
            </w:pPr>
            <w:r>
              <w:rPr>
                <w:rFonts w:ascii="Calibri" w:hAnsi="Calibri"/>
                <w:color w:val="2A2E2B"/>
                <w:sz w:val="18"/>
              </w:rPr>
              <w:t>8 September 2026</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Status</w:t>
            </w:r>
          </w:p>
        </w:tc>
        <w:tc>
          <w:tcPr>
            <w:tcW w:type="dxa" w:w="7056"/>
            <w:vAlign w:val="center"/>
            <w:tcMar>
              <w:top w:w="80" w:type="dxa"/>
              <w:start w:w="120" w:type="dxa"/>
              <w:bottom w:w="80" w:type="dxa"/>
              <w:end w:w="120" w:type="dxa"/>
            </w:tcMar>
          </w:tcPr>
          <w:p>
            <w:pPr>
              <w:spacing w:after="20"/>
            </w:pPr>
            <w:r>
              <w:rPr>
                <w:rFonts w:ascii="Calibri" w:hAnsi="Calibri"/>
                <w:color w:val="2A2E2B"/>
                <w:sz w:val="18"/>
              </w:rPr>
              <w:t>Untuk validasi internal dan stakeholder</w:t>
            </w:r>
          </w:p>
        </w:tc>
      </w:tr>
      <w:tr>
        <w:trPr>
          <w:cantSplit w:val="true"/>
        </w:trPr>
        <w:tc>
          <w:tcPr>
            <w:tcW w:type="dxa" w:w="2304"/>
            <w:shd w:fill="F7FAF8"/>
            <w:vAlign w:val="center"/>
            <w:tcMar>
              <w:top w:w="80" w:type="dxa"/>
              <w:start w:w="120" w:type="dxa"/>
              <w:bottom w:w="80" w:type="dxa"/>
              <w:end w:w="120" w:type="dxa"/>
            </w:tcMar>
          </w:tcPr>
          <w:p>
            <w:pPr>
              <w:spacing w:after="20"/>
            </w:pPr>
            <w:r>
              <w:rPr>
                <w:rFonts w:ascii="Calibri" w:hAnsi="Calibri"/>
                <w:color w:val="2A2E2B"/>
                <w:sz w:val="18"/>
              </w:rPr>
              <w:t>Ruang lingkup</w:t>
            </w:r>
          </w:p>
        </w:tc>
        <w:tc>
          <w:tcPr>
            <w:tcW w:type="dxa" w:w="7056"/>
            <w:shd w:fill="F7FAF8"/>
            <w:vAlign w:val="center"/>
            <w:tcMar>
              <w:top w:w="80" w:type="dxa"/>
              <w:start w:w="120" w:type="dxa"/>
              <w:bottom w:w="80" w:type="dxa"/>
              <w:end w:w="120" w:type="dxa"/>
            </w:tcMar>
          </w:tcPr>
          <w:p>
            <w:pPr>
              <w:spacing w:after="20"/>
            </w:pPr>
            <w:r>
              <w:rPr>
                <w:rFonts w:ascii="Calibri" w:hAnsi="Calibri"/>
                <w:color w:val="2A2E2B"/>
                <w:sz w:val="18"/>
              </w:rPr>
              <w:t>Aplikasi internal LPMQ dan portal penerbit</w:t>
            </w:r>
          </w:p>
        </w:tc>
      </w:tr>
      <w:tr>
        <w:trPr>
          <w:cantSplit w:val="true"/>
        </w:trPr>
        <w:tc>
          <w:tcPr>
            <w:tcW w:type="dxa" w:w="2304"/>
            <w:vAlign w:val="center"/>
            <w:tcMar>
              <w:top w:w="80" w:type="dxa"/>
              <w:start w:w="120" w:type="dxa"/>
              <w:bottom w:w="80" w:type="dxa"/>
              <w:end w:w="120" w:type="dxa"/>
            </w:tcMar>
          </w:tcPr>
          <w:p>
            <w:pPr>
              <w:spacing w:after="20"/>
            </w:pPr>
            <w:r>
              <w:rPr>
                <w:rFonts w:ascii="Calibri" w:hAnsi="Calibri"/>
                <w:color w:val="2A2E2B"/>
                <w:sz w:val="18"/>
              </w:rPr>
              <w:t>Dasar penyusunan</w:t>
            </w:r>
          </w:p>
        </w:tc>
        <w:tc>
          <w:tcPr>
            <w:tcW w:type="dxa" w:w="7056"/>
            <w:vAlign w:val="center"/>
            <w:tcMar>
              <w:top w:w="80" w:type="dxa"/>
              <w:start w:w="120" w:type="dxa"/>
              <w:bottom w:w="80" w:type="dxa"/>
              <w:end w:w="120" w:type="dxa"/>
            </w:tcMar>
          </w:tcPr>
          <w:p>
            <w:pPr>
              <w:spacing w:after="20"/>
            </w:pPr>
            <w:r>
              <w:rPr>
                <w:rFonts w:ascii="Calibri" w:hAnsi="Calibri"/>
                <w:color w:val="2A2E2B"/>
                <w:sz w:val="18"/>
              </w:rPr>
              <w:t>SRS v1.0, persiapan implementasi v2, artefak implementasi v1.0, rancangan UI, dan keputusan diskusi 8 September 2026</w:t>
            </w:r>
          </w:p>
        </w:tc>
      </w:tr>
    </w:tbl>
    <w:p>
      <w:pPr>
        <w:spacing w:after="0"/>
      </w:pPr>
    </w:p>
    <w:p>
      <w:pPr>
        <w:spacing w:before="280"/>
      </w:pPr>
      <w:r>
        <w:rPr>
          <w:b/>
          <w:color w:val="B3261E"/>
        </w:rPr>
        <w:t xml:space="preserve">CATATAN STATUS: </w:t>
      </w:r>
      <w:r>
        <w:t>SLA digunakan untuk cross-check dan pelaporan, bukan sebagai penghambat transisi. Format dokumen resmi dan delegasi penandatangan tetap memerlukan pengesahan internal.</w:t>
      </w:r>
    </w:p>
    <w:p>
      <w:r>
        <w:br w:type="page"/>
      </w:r>
    </w:p>
    <w:p>
      <w:pPr>
        <w:pStyle w:val="Heading1"/>
      </w:pPr>
      <w:r>
        <w:t>Kendali Dokumen</w:t>
      </w:r>
    </w:p>
    <w:tbl>
      <w:tblPr>
        <w:tblStyle w:val="TableGrid"/>
        <w:tblW w:type="dxa" w:w="9360"/>
        <w:jc w:val="center"/>
        <w:tblLayout w:type="fixed"/>
        <w:tblLook w:firstColumn="1" w:firstRow="1" w:lastColumn="0" w:lastRow="0" w:noHBand="0" w:noVBand="1" w:val="04A0"/>
        <w:tblInd w:type="dxa" w:w="120"/>
      </w:tblPr>
      <w:tblGrid>
        <w:gridCol w:w="1152"/>
        <w:gridCol w:w="1800"/>
        <w:gridCol w:w="6408"/>
      </w:tblGrid>
      <w:tr>
        <w:trPr>
          <w:tblHeader w:val="true"/>
          <w:cantSplit w:val="true"/>
        </w:trPr>
        <w:tc>
          <w:tcPr>
            <w:tcW w:type="dxa" w:w="1152"/>
            <w:shd w:fill="0B5E3B"/>
            <w:vAlign w:val="center"/>
            <w:tcMar>
              <w:top w:w="80" w:type="dxa"/>
              <w:start w:w="120" w:type="dxa"/>
              <w:bottom w:w="80" w:type="dxa"/>
              <w:end w:w="120" w:type="dxa"/>
            </w:tcMar>
          </w:tcPr>
          <w:p>
            <w:r>
              <w:rPr>
                <w:b/>
                <w:color w:val="FFFFFF"/>
                <w:sz w:val="17"/>
              </w:rPr>
              <w:t>Versi</w:t>
            </w:r>
          </w:p>
        </w:tc>
        <w:tc>
          <w:tcPr>
            <w:tcW w:type="dxa" w:w="1800"/>
            <w:shd w:fill="0B5E3B"/>
            <w:vAlign w:val="center"/>
            <w:tcMar>
              <w:top w:w="80" w:type="dxa"/>
              <w:start w:w="120" w:type="dxa"/>
              <w:bottom w:w="80" w:type="dxa"/>
              <w:end w:w="120" w:type="dxa"/>
            </w:tcMar>
          </w:tcPr>
          <w:p>
            <w:r>
              <w:rPr>
                <w:b/>
                <w:color w:val="FFFFFF"/>
                <w:sz w:val="17"/>
              </w:rPr>
              <w:t>Tanggal</w:t>
            </w:r>
          </w:p>
        </w:tc>
        <w:tc>
          <w:tcPr>
            <w:tcW w:type="dxa" w:w="6408"/>
            <w:shd w:fill="0B5E3B"/>
            <w:vAlign w:val="center"/>
            <w:tcMar>
              <w:top w:w="80" w:type="dxa"/>
              <w:start w:w="120" w:type="dxa"/>
              <w:bottom w:w="80" w:type="dxa"/>
              <w:end w:w="120" w:type="dxa"/>
            </w:tcMar>
          </w:tcPr>
          <w:p>
            <w:r>
              <w:rPr>
                <w:b/>
                <w:color w:val="FFFFFF"/>
                <w:sz w:val="17"/>
              </w:rPr>
              <w:t>Perubahan</w:t>
            </w:r>
          </w:p>
        </w:tc>
      </w:tr>
      <w:tr>
        <w:trPr>
          <w:cantSplit w:val="true"/>
        </w:trPr>
        <w:tc>
          <w:tcPr>
            <w:tcW w:type="dxa" w:w="1152"/>
            <w:vAlign w:val="center"/>
            <w:tcMar>
              <w:top w:w="80" w:type="dxa"/>
              <w:start w:w="120" w:type="dxa"/>
              <w:bottom w:w="80" w:type="dxa"/>
              <w:end w:w="120" w:type="dxa"/>
            </w:tcMar>
          </w:tcPr>
          <w:p>
            <w:pPr>
              <w:spacing w:after="20"/>
            </w:pPr>
            <w:r>
              <w:rPr>
                <w:rFonts w:ascii="Calibri" w:hAnsi="Calibri"/>
                <w:color w:val="2A2E2B"/>
                <w:sz w:val="17"/>
              </w:rPr>
              <w:t>1.0</w:t>
            </w:r>
          </w:p>
        </w:tc>
        <w:tc>
          <w:tcPr>
            <w:tcW w:type="dxa" w:w="1800"/>
            <w:vAlign w:val="center"/>
            <w:tcMar>
              <w:top w:w="80" w:type="dxa"/>
              <w:start w:w="120" w:type="dxa"/>
              <w:bottom w:w="80" w:type="dxa"/>
              <w:end w:w="120" w:type="dxa"/>
            </w:tcMar>
          </w:tcPr>
          <w:p>
            <w:pPr>
              <w:spacing w:after="20"/>
            </w:pPr>
            <w:r>
              <w:rPr>
                <w:rFonts w:ascii="Calibri" w:hAnsi="Calibri"/>
                <w:color w:val="2A2E2B"/>
                <w:sz w:val="17"/>
              </w:rPr>
              <w:t>1 September 2026</w:t>
            </w:r>
          </w:p>
        </w:tc>
        <w:tc>
          <w:tcPr>
            <w:tcW w:type="dxa" w:w="6408"/>
            <w:vAlign w:val="center"/>
            <w:tcMar>
              <w:top w:w="80" w:type="dxa"/>
              <w:start w:w="120" w:type="dxa"/>
              <w:bottom w:w="80" w:type="dxa"/>
              <w:end w:w="120" w:type="dxa"/>
            </w:tcMar>
          </w:tcPr>
          <w:p>
            <w:pPr>
              <w:spacing w:after="20"/>
            </w:pPr>
            <w:r>
              <w:rPr>
                <w:rFonts w:ascii="Calibri" w:hAnsi="Calibri"/>
                <w:color w:val="2A2E2B"/>
                <w:sz w:val="17"/>
              </w:rPr>
              <w:t>Requirement awal berdasarkan prototipe dan diskusi hari pertama.</w:t>
            </w:r>
          </w:p>
        </w:tc>
      </w:tr>
      <w:tr>
        <w:trPr>
          <w:cantSplit w:val="true"/>
        </w:trPr>
        <w:tc>
          <w:tcPr>
            <w:tcW w:type="dxa" w:w="1152"/>
            <w:shd w:fill="F7FAF8"/>
            <w:vAlign w:val="center"/>
            <w:tcMar>
              <w:top w:w="80" w:type="dxa"/>
              <w:start w:w="120" w:type="dxa"/>
              <w:bottom w:w="80" w:type="dxa"/>
              <w:end w:w="120" w:type="dxa"/>
            </w:tcMar>
          </w:tcPr>
          <w:p>
            <w:pPr>
              <w:spacing w:after="20"/>
            </w:pPr>
            <w:r>
              <w:rPr>
                <w:rFonts w:ascii="Calibri" w:hAnsi="Calibri"/>
                <w:color w:val="2A2E2B"/>
                <w:sz w:val="17"/>
              </w:rPr>
              <w:t>2.0</w:t>
            </w:r>
          </w:p>
        </w:tc>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8 September 2026</w:t>
            </w:r>
          </w:p>
        </w:tc>
        <w:tc>
          <w:tcPr>
            <w:tcW w:type="dxa" w:w="6408"/>
            <w:shd w:fill="F7FAF8"/>
            <w:vAlign w:val="center"/>
            <w:tcMar>
              <w:top w:w="80" w:type="dxa"/>
              <w:start w:w="120" w:type="dxa"/>
              <w:bottom w:w="80" w:type="dxa"/>
              <w:end w:w="120" w:type="dxa"/>
            </w:tcMar>
          </w:tcPr>
          <w:p>
            <w:pPr>
              <w:spacing w:after="20"/>
            </w:pPr>
            <w:r>
              <w:rPr>
                <w:rFonts w:ascii="Calibri" w:hAnsi="Calibri"/>
                <w:color w:val="2A2E2B"/>
                <w:sz w:val="17"/>
              </w:rPr>
              <w:t>Menetapkan MVP internal dan portal penerbit, status proses sementara, pembayaran manual yang siap integrasi SIMPONI, penyimpanan sampel naskah, checklist dokumentasi, master Tim Distribusi serta Kategori/Konten Mushaf, versioning dokumen, dan kesiapan BSrE.</w:t>
            </w:r>
          </w:p>
        </w:tc>
      </w:tr>
      <w:tr>
        <w:trPr>
          <w:cantSplit w:val="true"/>
        </w:trPr>
        <w:tc>
          <w:tcPr>
            <w:tcW w:type="dxa" w:w="1152"/>
            <w:vAlign w:val="center"/>
            <w:tcMar>
              <w:top w:w="80" w:type="dxa"/>
              <w:start w:w="120" w:type="dxa"/>
              <w:bottom w:w="80" w:type="dxa"/>
              <w:end w:w="120" w:type="dxa"/>
            </w:tcMar>
          </w:tcPr>
          <w:p>
            <w:pPr>
              <w:spacing w:after="20"/>
            </w:pPr>
            <w:r>
              <w:rPr>
                <w:rFonts w:ascii="Calibri" w:hAnsi="Calibri"/>
                <w:color w:val="2A2E2B"/>
                <w:sz w:val="17"/>
              </w:rPr>
              <w:t>2.1</w:t>
            </w:r>
          </w:p>
        </w:tc>
        <w:tc>
          <w:tcPr>
            <w:tcW w:type="dxa" w:w="1800"/>
            <w:vAlign w:val="center"/>
            <w:tcMar>
              <w:top w:w="80" w:type="dxa"/>
              <w:start w:w="120" w:type="dxa"/>
              <w:bottom w:w="80" w:type="dxa"/>
              <w:end w:w="120" w:type="dxa"/>
            </w:tcMar>
          </w:tcPr>
          <w:p>
            <w:pPr>
              <w:spacing w:after="20"/>
            </w:pPr>
            <w:r>
              <w:rPr>
                <w:rFonts w:ascii="Calibri" w:hAnsi="Calibri"/>
                <w:color w:val="2A2E2B"/>
                <w:sz w:val="17"/>
              </w:rPr>
              <w:t>8 September 2026</w:t>
            </w:r>
          </w:p>
        </w:tc>
        <w:tc>
          <w:tcPr>
            <w:tcW w:type="dxa" w:w="6408"/>
            <w:vAlign w:val="center"/>
            <w:tcMar>
              <w:top w:w="80" w:type="dxa"/>
              <w:start w:w="120" w:type="dxa"/>
              <w:bottom w:w="80" w:type="dxa"/>
              <w:end w:w="120" w:type="dxa"/>
            </w:tcMar>
          </w:tcPr>
          <w:p>
            <w:pPr>
              <w:spacing w:after="20"/>
            </w:pPr>
            <w:r>
              <w:rPr>
                <w:rFonts w:ascii="Calibri" w:hAnsi="Calibri"/>
                <w:color w:val="2A2E2B"/>
                <w:sz w:val="17"/>
              </w:rPr>
              <w:t>Menambahkan 17 jenis layanan dan SLA, addon, pembatalan, kalender kerja, notifikasi, perpanjangan, serta keamanan QR.</w:t>
            </w:r>
          </w:p>
        </w:tc>
      </w:tr>
      <w:tr>
        <w:trPr>
          <w:cantSplit w:val="true"/>
        </w:trPr>
        <w:tc>
          <w:tcPr>
            <w:tcW w:type="dxa" w:w="1152"/>
            <w:shd w:fill="F7FAF8"/>
            <w:vAlign w:val="center"/>
            <w:tcMar>
              <w:top w:w="80" w:type="dxa"/>
              <w:start w:w="120" w:type="dxa"/>
              <w:bottom w:w="80" w:type="dxa"/>
              <w:end w:w="120" w:type="dxa"/>
            </w:tcMar>
          </w:tcPr>
          <w:p>
            <w:pPr>
              <w:spacing w:after="20"/>
            </w:pPr>
            <w:r>
              <w:rPr>
                <w:rFonts w:ascii="Calibri" w:hAnsi="Calibri"/>
                <w:color w:val="2A2E2B"/>
                <w:sz w:val="17"/>
              </w:rPr>
              <w:t>2.2</w:t>
            </w:r>
          </w:p>
        </w:tc>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8 September 2026</w:t>
            </w:r>
          </w:p>
        </w:tc>
        <w:tc>
          <w:tcPr>
            <w:tcW w:type="dxa" w:w="6408"/>
            <w:shd w:fill="F7FAF8"/>
            <w:vAlign w:val="center"/>
            <w:tcMar>
              <w:top w:w="80" w:type="dxa"/>
              <w:start w:w="120" w:type="dxa"/>
              <w:bottom w:w="80" w:type="dxa"/>
              <w:end w:w="120" w:type="dxa"/>
            </w:tcMar>
          </w:tcPr>
          <w:p>
            <w:pPr>
              <w:spacing w:after="20"/>
            </w:pPr>
            <w:r>
              <w:rPr>
                <w:rFonts w:ascii="Calibri" w:hAnsi="Calibri"/>
                <w:color w:val="2A2E2B"/>
                <w:sz w:val="17"/>
              </w:rPr>
              <w:t>Menyelaraskan SOP Verifikasi, Distribusi, Pentashihan, dan Dokumentasi: sampel halaman 1–5, master fisik, approval dan payment gate, tim berbasis SK tanpa ketua kelompok, reviu distributor, penugasan per anggota, STT terpisah dari dokumentasi, serta pelaporan lima eksemplar yang tidak memblokir proses.</w:t>
            </w:r>
          </w:p>
        </w:tc>
      </w:tr>
    </w:tbl>
    <w:p>
      <w:pPr>
        <w:spacing w:after="0"/>
      </w:pPr>
    </w:p>
    <w:p>
      <w:pPr>
        <w:pStyle w:val="Heading1"/>
      </w:pPr>
      <w:r>
        <w:t>Ringkasan Keputusan Produk</w:t>
      </w:r>
    </w:p>
    <w:p>
      <w:pPr>
        <w:spacing w:after="80" w:line="300" w:lineRule="auto"/>
        <w:ind w:left="360" w:hanging="259"/>
      </w:pPr>
      <w:r>
        <w:t xml:space="preserve">•  </w:t>
      </w:r>
      <w:r>
        <w:t>MVP mencakup aplikasi internal LPMQ dan portal penerbit dengan backend serta basis data bersama, tetapi antarmuka dan izin akses dipisahkan.</w:t>
      </w:r>
    </w:p>
    <w:p>
      <w:pPr>
        <w:spacing w:after="80" w:line="300" w:lineRule="auto"/>
        <w:ind w:left="360" w:hanging="259"/>
      </w:pPr>
      <w:r>
        <w:t xml:space="preserve">•  </w:t>
      </w:r>
      <w:r>
        <w:t>Admin internal dapat menginput pengajuan atas nama penerbit. Sumber pengajuan dicatat sebagai publisher_portal atau internal_admin.</w:t>
      </w:r>
    </w:p>
    <w:p>
      <w:pPr>
        <w:spacing w:after="80" w:line="300" w:lineRule="auto"/>
        <w:ind w:left="360" w:hanging="259"/>
      </w:pPr>
      <w:r>
        <w:t xml:space="preserve">•  </w:t>
      </w:r>
      <w:r>
        <w:t>Pembayaran dicatat manual pada MVP; desain data menyiapkan external_provider, external_reference, dan sync_status untuk integrasi SIMPONI.</w:t>
      </w:r>
    </w:p>
    <w:p>
      <w:pPr>
        <w:spacing w:after="80" w:line="300" w:lineRule="auto"/>
        <w:ind w:left="360" w:hanging="259"/>
      </w:pPr>
      <w:r>
        <w:t xml:space="preserve">•  </w:t>
      </w:r>
      <w:r>
        <w:t>Sistem menyimpan metadata, cover, dan halaman Al-Qur’an 1–5 sebagai penanda; master lengkap diserahkan secara fisik dan penerimaannya dicatat.</w:t>
      </w:r>
    </w:p>
    <w:p>
      <w:pPr>
        <w:spacing w:after="80" w:line="300" w:lineRule="auto"/>
        <w:ind w:left="360" w:hanging="259"/>
      </w:pPr>
      <w:r>
        <w:t xml:space="preserve">•  </w:t>
      </w:r>
      <w:r>
        <w:t>Tim pentashih dibentuk berdasarkan SK aktif tanpa ketua kelompok pada alur bisnis. Distributor mereviu hasil berdasarkan rekomendasi pentashih/pembaca naskah.</w:t>
      </w:r>
    </w:p>
    <w:p>
      <w:pPr>
        <w:spacing w:after="80" w:line="300" w:lineRule="auto"/>
        <w:ind w:left="360" w:hanging="259"/>
      </w:pPr>
      <w:r>
        <w:t xml:space="preserve">•  </w:t>
      </w:r>
      <w:r>
        <w:t>Surat Tanda Tashih ditetapkan oleh Kepala LPMQ. Integrasi BSrE menjadi pengembangan lanjutan.</w:t>
      </w:r>
    </w:p>
    <w:p>
      <w:pPr>
        <w:spacing w:after="80" w:line="300" w:lineRule="auto"/>
        <w:ind w:left="360" w:hanging="259"/>
      </w:pPr>
      <w:r>
        <w:t xml:space="preserve">•  </w:t>
      </w:r>
      <w:r>
        <w:t>Master data memisahkan kategori tampilan, 17 jenis layanan/SLA, addon tarif, Tim Distribusi, dan kalender kerja.</w:t>
      </w:r>
    </w:p>
    <w:p>
      <w:pPr>
        <w:spacing w:after="80" w:line="300" w:lineRule="auto"/>
        <w:ind w:left="360" w:hanging="259"/>
      </w:pPr>
      <w:r>
        <w:t xml:space="preserve">•  </w:t>
      </w:r>
      <w:r>
        <w:t>Seluruh kategori mengikuti proses dokumentasi. Target lima eksemplar berlaku sebagai regulasi pelaporan, tidak memblokir penyelesaian; layanan noncetak menggunakan status Tidak Berlaku.</w:t>
      </w:r>
    </w:p>
    <w:p>
      <w:pPr>
        <w:pStyle w:val="Heading1"/>
      </w:pPr>
      <w:r>
        <w:t>1. Pendahuluan</w:t>
      </w:r>
    </w:p>
    <w:p>
      <w:pPr>
        <w:pStyle w:val="Heading2"/>
      </w:pPr>
      <w:r>
        <w:t>1.1 Latar Belakang</w:t>
      </w:r>
    </w:p>
    <w:p>
      <w:r>
        <w:t>LPMQ membutuhkan sistem terpadu untuk mengelola layanan pentashihan sejak data penerbit dan pengajuan naskah diterima, diverifikasi, dihitung tarif serta durasinya, didistribusikan kepada tim pentashih, didokumentasikan, hingga dokumen resmi diterbitkan dan diarsipkan. Prototipe awal membantu menggambarkan fungsi, tetapi arsitektur keamanan, autentikasi, audit, dan pengelolaan transaksi harus dibangun ulang untuk penggunaan operasional.</w:t>
      </w:r>
    </w:p>
    <w:p>
      <w:pPr>
        <w:pStyle w:val="Heading2"/>
      </w:pPr>
      <w:r>
        <w:t>1.2 Tujuan</w:t>
      </w:r>
    </w:p>
    <w:p>
      <w:pPr>
        <w:spacing w:after="80" w:line="300" w:lineRule="auto"/>
        <w:ind w:left="360" w:hanging="259"/>
      </w:pPr>
      <w:r>
        <w:t xml:space="preserve">•  </w:t>
      </w:r>
      <w:r>
        <w:t>Menjadi baseline kebutuhan yang dapat divalidasi dan diuji.</w:t>
      </w:r>
    </w:p>
    <w:p>
      <w:pPr>
        <w:spacing w:after="80" w:line="300" w:lineRule="auto"/>
        <w:ind w:left="360" w:hanging="259"/>
      </w:pPr>
      <w:r>
        <w:t xml:space="preserve">•  </w:t>
      </w:r>
      <w:r>
        <w:t>Menyatukan kebutuhan aplikasi internal dan portal penerbit.</w:t>
      </w:r>
    </w:p>
    <w:p>
      <w:pPr>
        <w:spacing w:after="80" w:line="300" w:lineRule="auto"/>
        <w:ind w:left="360" w:hanging="259"/>
      </w:pPr>
      <w:r>
        <w:t xml:space="preserve">•  </w:t>
      </w:r>
      <w:r>
        <w:t>Menetapkan ruang lingkup MVP, model status, data, keamanan, serta batas integrasi.</w:t>
      </w:r>
    </w:p>
    <w:p>
      <w:pPr>
        <w:spacing w:after="80" w:line="300" w:lineRule="auto"/>
        <w:ind w:left="360" w:hanging="259"/>
      </w:pPr>
      <w:r>
        <w:t xml:space="preserve">•  </w:t>
      </w:r>
      <w:r>
        <w:t>Menjadi acuan ERD, backlog, API, desain antarmuka, dan UAT.</w:t>
      </w:r>
    </w:p>
    <w:p>
      <w:pPr>
        <w:pStyle w:val="Heading2"/>
      </w:pPr>
      <w:r>
        <w:t>1.3 Definisi</w:t>
      </w:r>
    </w:p>
    <w:tbl>
      <w:tblPr>
        <w:tblStyle w:val="TableGrid"/>
        <w:tblW w:type="dxa" w:w="9360"/>
        <w:jc w:val="center"/>
        <w:tblLayout w:type="fixed"/>
        <w:tblLook w:firstColumn="1" w:firstRow="1" w:lastColumn="0" w:lastRow="0" w:noHBand="0" w:noVBand="1" w:val="04A0"/>
        <w:tblInd w:type="dxa" w:w="120"/>
      </w:tblPr>
      <w:tblGrid>
        <w:gridCol w:w="2088"/>
        <w:gridCol w:w="7272"/>
      </w:tblGrid>
      <w:tr>
        <w:trPr>
          <w:tblHeader w:val="true"/>
          <w:cantSplit w:val="true"/>
        </w:trPr>
        <w:tc>
          <w:tcPr>
            <w:tcW w:type="dxa" w:w="2088"/>
            <w:shd w:fill="0B5E3B"/>
            <w:vAlign w:val="center"/>
            <w:tcMar>
              <w:top w:w="80" w:type="dxa"/>
              <w:start w:w="120" w:type="dxa"/>
              <w:bottom w:w="80" w:type="dxa"/>
              <w:end w:w="120" w:type="dxa"/>
            </w:tcMar>
          </w:tcPr>
          <w:p>
            <w:r>
              <w:rPr>
                <w:b/>
                <w:color w:val="FFFFFF"/>
                <w:sz w:val="17"/>
              </w:rPr>
              <w:t>Istilah</w:t>
            </w:r>
          </w:p>
        </w:tc>
        <w:tc>
          <w:tcPr>
            <w:tcW w:type="dxa" w:w="7272"/>
            <w:shd w:fill="0B5E3B"/>
            <w:vAlign w:val="center"/>
            <w:tcMar>
              <w:top w:w="80" w:type="dxa"/>
              <w:start w:w="120" w:type="dxa"/>
              <w:bottom w:w="80" w:type="dxa"/>
              <w:end w:w="120" w:type="dxa"/>
            </w:tcMar>
          </w:tcPr>
          <w:p>
            <w:r>
              <w:rPr>
                <w:b/>
                <w:color w:val="FFFFFF"/>
                <w:sz w:val="17"/>
              </w:rPr>
              <w:t>Definisi</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SOP Verifikasi</w:t>
            </w:r>
          </w:p>
        </w:tc>
        <w:tc>
          <w:tcPr>
            <w:tcW w:type="dxa" w:w="7272"/>
            <w:vAlign w:val="center"/>
            <w:tcMar>
              <w:top w:w="80" w:type="dxa"/>
              <w:start w:w="120" w:type="dxa"/>
              <w:bottom w:w="80" w:type="dxa"/>
              <w:end w:w="120" w:type="dxa"/>
            </w:tcMar>
          </w:tcPr>
          <w:p>
            <w:pPr>
              <w:spacing w:after="20"/>
            </w:pPr>
            <w:r>
              <w:rPr>
                <w:rFonts w:ascii="Calibri" w:hAnsi="Calibri"/>
                <w:color w:val="2A2E2B"/>
                <w:sz w:val="17"/>
              </w:rPr>
              <w:t>SOP Verifikasi Mushaf Al-Qur’an yang berlaku untuk seluruh kategori layanan.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Tashih</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Pemeriksaan dan pengesahan kesesuaian naskah mushaf Al-Qur’an.</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Naskah awal</w:t>
            </w:r>
          </w:p>
        </w:tc>
        <w:tc>
          <w:tcPr>
            <w:tcW w:type="dxa" w:w="7272"/>
            <w:vAlign w:val="center"/>
            <w:tcMar>
              <w:top w:w="80" w:type="dxa"/>
              <w:start w:w="120" w:type="dxa"/>
              <w:bottom w:w="80" w:type="dxa"/>
              <w:end w:w="120" w:type="dxa"/>
            </w:tcMar>
          </w:tcPr>
          <w:p>
            <w:pPr>
              <w:spacing w:after="20"/>
            </w:pPr>
            <w:r>
              <w:rPr>
                <w:rFonts w:ascii="Calibri" w:hAnsi="Calibri"/>
                <w:color w:val="2A2E2B"/>
                <w:sz w:val="17"/>
              </w:rPr>
              <w:t>Versi naskah pada pemeriksaan tahap pertama.</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Naskah perbaikan</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Versi yang dikirim setelah adanya catatan hasil pemeriksaan.</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Dumi</w:t>
            </w:r>
          </w:p>
        </w:tc>
        <w:tc>
          <w:tcPr>
            <w:tcW w:type="dxa" w:w="7272"/>
            <w:vAlign w:val="center"/>
            <w:tcMar>
              <w:top w:w="80" w:type="dxa"/>
              <w:start w:w="120" w:type="dxa"/>
              <w:bottom w:w="80" w:type="dxa"/>
              <w:end w:w="120" w:type="dxa"/>
            </w:tcMar>
          </w:tcPr>
          <w:p>
            <w:pPr>
              <w:spacing w:after="20"/>
            </w:pPr>
            <w:r>
              <w:rPr>
                <w:rFonts w:ascii="Calibri" w:hAnsi="Calibri"/>
                <w:color w:val="2A2E2B"/>
                <w:sz w:val="17"/>
              </w:rPr>
              <w:t>Contoh cetak/dummy untuk pemeriksaan tahap akhir.</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PNBP</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Penerimaan Negara Bukan Pajak atas layanan pentashihan.</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Portal penerbit</w:t>
            </w:r>
          </w:p>
        </w:tc>
        <w:tc>
          <w:tcPr>
            <w:tcW w:type="dxa" w:w="7272"/>
            <w:vAlign w:val="center"/>
            <w:tcMar>
              <w:top w:w="80" w:type="dxa"/>
              <w:start w:w="120" w:type="dxa"/>
              <w:bottom w:w="80" w:type="dxa"/>
              <w:end w:w="120" w:type="dxa"/>
            </w:tcMar>
          </w:tcPr>
          <w:p>
            <w:pPr>
              <w:spacing w:after="20"/>
            </w:pPr>
            <w:r>
              <w:rPr>
                <w:rFonts w:ascii="Calibri" w:hAnsi="Calibri"/>
                <w:color w:val="2A2E2B"/>
                <w:sz w:val="17"/>
              </w:rPr>
              <w:t>Antarmuka terbatas bagi penerbit untuk pengajuan dan pemantauan.</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Master fisik</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Naskah lengkap yang diserahkan secara fisik; penerimaannya dicatat dalam sistem.</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Berita Acara Tashih</w:t>
            </w:r>
          </w:p>
        </w:tc>
        <w:tc>
          <w:tcPr>
            <w:tcW w:type="dxa" w:w="7272"/>
            <w:vAlign w:val="center"/>
            <w:tcMar>
              <w:top w:w="80" w:type="dxa"/>
              <w:start w:w="120" w:type="dxa"/>
              <w:bottom w:w="80" w:type="dxa"/>
              <w:end w:w="120" w:type="dxa"/>
            </w:tcMar>
          </w:tcPr>
          <w:p>
            <w:pPr>
              <w:spacing w:after="20"/>
            </w:pPr>
            <w:r>
              <w:rPr>
                <w:rFonts w:ascii="Calibri" w:hAnsi="Calibri"/>
                <w:color w:val="2A2E2B"/>
                <w:sz w:val="17"/>
              </w:rPr>
              <w:t>Dokumen hasil proses yang memuat identitas naskah, komponen, tarif, durasi, matriks distribusi/progres, catatan, rekomendasi, dan tanda tangan verifikator.</w:t>
            </w:r>
          </w:p>
        </w:tc>
      </w:tr>
      <w:tr>
        <w:trPr>
          <w:cantSplit w:val="true"/>
        </w:trPr>
        <w:tc>
          <w:tcPr>
            <w:tcW w:type="dxa" w:w="2088"/>
            <w:shd w:fill="F7FAF8"/>
            <w:vAlign w:val="center"/>
            <w:tcMar>
              <w:top w:w="80" w:type="dxa"/>
              <w:start w:w="120" w:type="dxa"/>
              <w:bottom w:w="80" w:type="dxa"/>
              <w:end w:w="120" w:type="dxa"/>
            </w:tcMar>
          </w:tcPr>
          <w:p>
            <w:pPr>
              <w:spacing w:after="20"/>
            </w:pPr>
            <w:r>
              <w:rPr>
                <w:rFonts w:ascii="Calibri" w:hAnsi="Calibri"/>
                <w:color w:val="2A2E2B"/>
                <w:sz w:val="17"/>
              </w:rPr>
              <w:t>Checklist dokumentasi</w:t>
            </w:r>
          </w:p>
        </w:tc>
        <w:tc>
          <w:tcPr>
            <w:tcW w:type="dxa" w:w="7272"/>
            <w:shd w:fill="F7FAF8"/>
            <w:vAlign w:val="center"/>
            <w:tcMar>
              <w:top w:w="80" w:type="dxa"/>
              <w:start w:w="120" w:type="dxa"/>
              <w:bottom w:w="80" w:type="dxa"/>
              <w:end w:w="120" w:type="dxa"/>
            </w:tcMar>
          </w:tcPr>
          <w:p>
            <w:pPr>
              <w:spacing w:after="20"/>
            </w:pPr>
            <w:r>
              <w:rPr>
                <w:rFonts w:ascii="Calibri" w:hAnsi="Calibri"/>
                <w:color w:val="2A2E2B"/>
                <w:sz w:val="17"/>
              </w:rPr>
              <w:t>Daftar cross-check untuk pelaporan dan penilaian kinerja; kekurangan eksemplar tidak memblokir proses.</w:t>
            </w:r>
          </w:p>
        </w:tc>
      </w:tr>
      <w:tr>
        <w:trPr>
          <w:cantSplit w:val="true"/>
        </w:trPr>
        <w:tc>
          <w:tcPr>
            <w:tcW w:type="dxa" w:w="2088"/>
            <w:vAlign w:val="center"/>
            <w:tcMar>
              <w:top w:w="80" w:type="dxa"/>
              <w:start w:w="120" w:type="dxa"/>
              <w:bottom w:w="80" w:type="dxa"/>
              <w:end w:w="120" w:type="dxa"/>
            </w:tcMar>
          </w:tcPr>
          <w:p>
            <w:pPr>
              <w:spacing w:after="20"/>
            </w:pPr>
            <w:r>
              <w:rPr>
                <w:rFonts w:ascii="Calibri" w:hAnsi="Calibri"/>
                <w:color w:val="2A2E2B"/>
                <w:sz w:val="17"/>
              </w:rPr>
              <w:t>Tidak Berlaku</w:t>
            </w:r>
          </w:p>
        </w:tc>
        <w:tc>
          <w:tcPr>
            <w:tcW w:type="dxa" w:w="7272"/>
            <w:vAlign w:val="center"/>
            <w:tcMar>
              <w:top w:w="80" w:type="dxa"/>
              <w:start w:w="120" w:type="dxa"/>
              <w:bottom w:w="80" w:type="dxa"/>
              <w:end w:w="120" w:type="dxa"/>
            </w:tcMar>
          </w:tcPr>
          <w:p>
            <w:pPr>
              <w:spacing w:after="20"/>
            </w:pPr>
            <w:r>
              <w:rPr>
                <w:rFonts w:ascii="Calibri" w:hAnsi="Calibri"/>
                <w:color w:val="2A2E2B"/>
                <w:sz w:val="17"/>
              </w:rPr>
              <w:t>Status item dokumentasi yang tidak relevan, misalnya eksemplar fisik untuk layanan digital atau audio/visual.</w:t>
            </w:r>
          </w:p>
        </w:tc>
      </w:tr>
    </w:tbl>
    <w:p>
      <w:pPr>
        <w:spacing w:after="0"/>
      </w:pPr>
    </w:p>
    <w:p>
      <w:pPr>
        <w:pStyle w:val="Heading1"/>
      </w:pPr>
      <w:r>
        <w:t>2. Ruang Lingkup</w:t>
      </w:r>
    </w:p>
    <w:p>
      <w:pPr>
        <w:pStyle w:val="Heading2"/>
      </w:pPr>
      <w:r>
        <w:t>2.1 Termasuk dalam MVP</w:t>
      </w:r>
    </w:p>
    <w:p>
      <w:pPr>
        <w:spacing w:after="80" w:line="300" w:lineRule="auto"/>
        <w:ind w:left="360" w:hanging="259"/>
      </w:pPr>
      <w:r>
        <w:t xml:space="preserve">•  </w:t>
      </w:r>
      <w:r>
        <w:t>Autentikasi, pengguna, role dan permission.</w:t>
      </w:r>
    </w:p>
    <w:p>
      <w:pPr>
        <w:spacing w:after="80" w:line="300" w:lineRule="auto"/>
        <w:ind w:left="360" w:hanging="259"/>
      </w:pPr>
      <w:r>
        <w:t xml:space="preserve">•  </w:t>
      </w:r>
      <w:r>
        <w:t>Profil penerbit dan dokumen badan hukum.</w:t>
      </w:r>
    </w:p>
    <w:p>
      <w:pPr>
        <w:spacing w:after="80" w:line="300" w:lineRule="auto"/>
        <w:ind w:left="360" w:hanging="259"/>
      </w:pPr>
      <w:r>
        <w:t xml:space="preserve">•  </w:t>
      </w:r>
      <w:r>
        <w:t>Pengajuan melalui portal atau input manual admin.</w:t>
      </w:r>
    </w:p>
    <w:p>
      <w:pPr>
        <w:spacing w:after="80" w:line="300" w:lineRule="auto"/>
        <w:ind w:left="360" w:hanging="259"/>
      </w:pPr>
      <w:r>
        <w:t xml:space="preserve">•  </w:t>
      </w:r>
      <w:r>
        <w:t>Unggah cover dan halaman Al-Qur’an 1–5 beserta metadata/versioning.</w:t>
      </w:r>
    </w:p>
    <w:p>
      <w:pPr>
        <w:spacing w:after="80" w:line="300" w:lineRule="auto"/>
        <w:ind w:left="360" w:hanging="259"/>
      </w:pPr>
      <w:r>
        <w:t xml:space="preserve">•  </w:t>
      </w:r>
      <w:r>
        <w:t>Pencatatan penerimaan master fisik.</w:t>
      </w:r>
    </w:p>
    <w:p>
      <w:pPr>
        <w:spacing w:after="80" w:line="300" w:lineRule="auto"/>
        <w:ind w:left="360" w:hanging="259"/>
      </w:pPr>
      <w:r>
        <w:t xml:space="preserve">•  </w:t>
      </w:r>
      <w:r>
        <w:t>Antrean verifikasi, checklist, dan persetujuan Kepala LPMQ.</w:t>
      </w:r>
    </w:p>
    <w:p>
      <w:pPr>
        <w:spacing w:after="80" w:line="300" w:lineRule="auto"/>
        <w:ind w:left="360" w:hanging="259"/>
      </w:pPr>
      <w:r>
        <w:t xml:space="preserve">•  </w:t>
      </w:r>
      <w:r>
        <w:t>Kalkulasi tarif dan durasi untuk cross-check/pelaporan serta snapshot transaksi.</w:t>
      </w:r>
    </w:p>
    <w:p>
      <w:pPr>
        <w:spacing w:after="80" w:line="300" w:lineRule="auto"/>
        <w:ind w:left="360" w:hanging="259"/>
      </w:pPr>
      <w:r>
        <w:t xml:space="preserve">•  </w:t>
      </w:r>
      <w:r>
        <w:t>Pencatatan billing dan pembayaran manual sebelum distribusi.</w:t>
      </w:r>
    </w:p>
    <w:p>
      <w:pPr>
        <w:spacing w:after="80" w:line="300" w:lineRule="auto"/>
        <w:ind w:left="360" w:hanging="259"/>
      </w:pPr>
      <w:r>
        <w:t xml:space="preserve">•  </w:t>
      </w:r>
      <w:r>
        <w:t>Master Tim Distribusi berbasis SK dan penugasan ke setiap anggota.</w:t>
      </w:r>
    </w:p>
    <w:p>
      <w:pPr>
        <w:spacing w:after="80" w:line="300" w:lineRule="auto"/>
        <w:ind w:left="360" w:hanging="259"/>
      </w:pPr>
      <w:r>
        <w:t xml:space="preserve">•  </w:t>
      </w:r>
      <w:r>
        <w:t>Pencatatan hasil pentashih/pembaca naskah, reviu distributor, serta iterasi perbaikan/dumi.</w:t>
      </w:r>
    </w:p>
    <w:p>
      <w:pPr>
        <w:spacing w:after="80" w:line="300" w:lineRule="auto"/>
        <w:ind w:left="360" w:hanging="259"/>
      </w:pPr>
      <w:r>
        <w:t xml:space="preserve">•  </w:t>
      </w:r>
      <w:r>
        <w:t>Checklist dokumentasi, tanda terima eksemplar, dan arsip file.</w:t>
      </w:r>
    </w:p>
    <w:p>
      <w:pPr>
        <w:spacing w:after="80" w:line="300" w:lineRule="auto"/>
        <w:ind w:left="360" w:hanging="259"/>
      </w:pPr>
      <w:r>
        <w:t xml:space="preserve">•  </w:t>
      </w:r>
      <w:r>
        <w:t>Penerbitan dokumen resmi, penandatangan fleksibel, QR/verifikasi publik terbatas.</w:t>
      </w:r>
    </w:p>
    <w:p>
      <w:pPr>
        <w:spacing w:after="80" w:line="300" w:lineRule="auto"/>
        <w:ind w:left="360" w:hanging="259"/>
      </w:pPr>
      <w:r>
        <w:t xml:space="preserve">•  </w:t>
      </w:r>
      <w:r>
        <w:t>Dashboard operasional, laporan dasar, notifikasi, kalender kerja, perpanjangan, dan audit log.</w:t>
      </w:r>
    </w:p>
    <w:p>
      <w:pPr>
        <w:pStyle w:val="Heading2"/>
      </w:pPr>
      <w:r>
        <w:t>2.2 Di luar MVP / fase lanjutan</w:t>
      </w:r>
    </w:p>
    <w:p>
      <w:pPr>
        <w:spacing w:after="80" w:line="300" w:lineRule="auto"/>
        <w:ind w:left="360" w:hanging="259"/>
      </w:pPr>
      <w:r>
        <w:t xml:space="preserve">•  </w:t>
      </w:r>
      <w:r>
        <w:t>Integrasi langsung dengan SIMPONI.</w:t>
      </w:r>
    </w:p>
    <w:p>
      <w:pPr>
        <w:spacing w:after="80" w:line="300" w:lineRule="auto"/>
        <w:ind w:left="360" w:hanging="259"/>
      </w:pPr>
      <w:r>
        <w:t xml:space="preserve">•  </w:t>
      </w:r>
      <w:r>
        <w:t>Tanda tangan elektronik BSrE.</w:t>
      </w:r>
    </w:p>
    <w:p>
      <w:pPr>
        <w:spacing w:after="80" w:line="300" w:lineRule="auto"/>
        <w:ind w:left="360" w:hanging="259"/>
      </w:pPr>
      <w:r>
        <w:t xml:space="preserve">•  </w:t>
      </w:r>
      <w:r>
        <w:t>SSO/SIMPEG.</w:t>
      </w:r>
    </w:p>
    <w:p>
      <w:pPr>
        <w:spacing w:after="80" w:line="300" w:lineRule="auto"/>
        <w:ind w:left="360" w:hanging="259"/>
      </w:pPr>
      <w:r>
        <w:t xml:space="preserve">•  </w:t>
      </w:r>
      <w:r>
        <w:t>Penyimpanan keseluruhan naskah.</w:t>
      </w:r>
    </w:p>
    <w:p>
      <w:pPr>
        <w:spacing w:after="80" w:line="300" w:lineRule="auto"/>
        <w:ind w:left="360" w:hanging="259"/>
      </w:pPr>
      <w:r>
        <w:t xml:space="preserve">•  </w:t>
      </w:r>
      <w:r>
        <w:t>Analitik lanjutan dan otomatisasi kapasitas penuh.</w:t>
      </w:r>
    </w:p>
    <w:p>
      <w:pPr>
        <w:spacing w:after="80" w:line="300" w:lineRule="auto"/>
        <w:ind w:left="360" w:hanging="259"/>
      </w:pPr>
      <w:r>
        <w:t xml:space="preserve">•  </w:t>
      </w:r>
      <w:r>
        <w:t>Aplikasi mobile native.</w:t>
      </w:r>
    </w:p>
    <w:p>
      <w:pPr>
        <w:pStyle w:val="Heading1"/>
      </w:pPr>
      <w:r>
        <w:t>3. Arsitektur Produk dan Kanal</w:t>
      </w:r>
    </w:p>
    <w:p>
      <w:r>
        <w:t>Sistem memiliki dua aplikasi web yang menggunakan API dan basis data bersama. Pemisahan antarmuka tidak berarti duplikasi data. Setiap endpoint menerapkan autentikasi dan otorisasi server-side.</w:t>
      </w:r>
    </w:p>
    <w:tbl>
      <w:tblPr>
        <w:tblStyle w:val="TableGrid"/>
        <w:tblW w:type="dxa" w:w="9360"/>
        <w:jc w:val="center"/>
        <w:tblLayout w:type="fixed"/>
        <w:tblLook w:firstColumn="1" w:firstRow="1" w:lastColumn="0" w:lastRow="0" w:noHBand="0" w:noVBand="1" w:val="04A0"/>
        <w:tblInd w:type="dxa" w:w="120"/>
      </w:tblPr>
      <w:tblGrid>
        <w:gridCol w:w="1800"/>
        <w:gridCol w:w="2952"/>
        <w:gridCol w:w="4608"/>
      </w:tblGrid>
      <w:tr>
        <w:trPr>
          <w:tblHeader w:val="true"/>
          <w:cantSplit w:val="true"/>
        </w:trPr>
        <w:tc>
          <w:tcPr>
            <w:tcW w:type="dxa" w:w="1800"/>
            <w:shd w:fill="0B5E3B"/>
            <w:vAlign w:val="center"/>
            <w:tcMar>
              <w:top w:w="80" w:type="dxa"/>
              <w:start w:w="120" w:type="dxa"/>
              <w:bottom w:w="80" w:type="dxa"/>
              <w:end w:w="120" w:type="dxa"/>
            </w:tcMar>
          </w:tcPr>
          <w:p>
            <w:r>
              <w:rPr>
                <w:b/>
                <w:color w:val="FFFFFF"/>
                <w:sz w:val="17"/>
              </w:rPr>
              <w:t>Kanal</w:t>
            </w:r>
          </w:p>
        </w:tc>
        <w:tc>
          <w:tcPr>
            <w:tcW w:type="dxa" w:w="2952"/>
            <w:shd w:fill="0B5E3B"/>
            <w:vAlign w:val="center"/>
            <w:tcMar>
              <w:top w:w="80" w:type="dxa"/>
              <w:start w:w="120" w:type="dxa"/>
              <w:bottom w:w="80" w:type="dxa"/>
              <w:end w:w="120" w:type="dxa"/>
            </w:tcMar>
          </w:tcPr>
          <w:p>
            <w:r>
              <w:rPr>
                <w:b/>
                <w:color w:val="FFFFFF"/>
                <w:sz w:val="17"/>
              </w:rPr>
              <w:t>Pengguna</w:t>
            </w:r>
          </w:p>
        </w:tc>
        <w:tc>
          <w:tcPr>
            <w:tcW w:type="dxa" w:w="4608"/>
            <w:shd w:fill="0B5E3B"/>
            <w:vAlign w:val="center"/>
            <w:tcMar>
              <w:top w:w="80" w:type="dxa"/>
              <w:start w:w="120" w:type="dxa"/>
              <w:bottom w:w="80" w:type="dxa"/>
              <w:end w:w="120" w:type="dxa"/>
            </w:tcMar>
          </w:tcPr>
          <w:p>
            <w:r>
              <w:rPr>
                <w:b/>
                <w:color w:val="FFFFFF"/>
                <w:sz w:val="17"/>
              </w:rPr>
              <w:t>Fungsi utama</w:t>
            </w:r>
          </w:p>
        </w:tc>
      </w:tr>
      <w:tr>
        <w:trPr>
          <w:cantSplit w:val="true"/>
        </w:trPr>
        <w:tc>
          <w:tcPr>
            <w:tcW w:type="dxa" w:w="1800"/>
            <w:vAlign w:val="center"/>
            <w:tcMar>
              <w:top w:w="80" w:type="dxa"/>
              <w:start w:w="120" w:type="dxa"/>
              <w:bottom w:w="80" w:type="dxa"/>
              <w:end w:w="120" w:type="dxa"/>
            </w:tcMar>
          </w:tcPr>
          <w:p>
            <w:pPr>
              <w:spacing w:after="20"/>
            </w:pPr>
            <w:r>
              <w:rPr>
                <w:rFonts w:ascii="Calibri" w:hAnsi="Calibri"/>
                <w:color w:val="2A2E2B"/>
                <w:sz w:val="17"/>
              </w:rPr>
              <w:t>Portal penerbit</w:t>
            </w:r>
          </w:p>
        </w:tc>
        <w:tc>
          <w:tcPr>
            <w:tcW w:type="dxa" w:w="2952"/>
            <w:vAlign w:val="center"/>
            <w:tcMar>
              <w:top w:w="80" w:type="dxa"/>
              <w:start w:w="120" w:type="dxa"/>
              <w:bottom w:w="80" w:type="dxa"/>
              <w:end w:w="120" w:type="dxa"/>
            </w:tcMar>
          </w:tcPr>
          <w:p>
            <w:pPr>
              <w:spacing w:after="20"/>
            </w:pPr>
            <w:r>
              <w:rPr>
                <w:rFonts w:ascii="Calibri" w:hAnsi="Calibri"/>
                <w:color w:val="2A2E2B"/>
                <w:sz w:val="17"/>
              </w:rPr>
              <w:t>Penerbit/PIC</w:t>
            </w:r>
          </w:p>
        </w:tc>
        <w:tc>
          <w:tcPr>
            <w:tcW w:type="dxa" w:w="4608"/>
            <w:vAlign w:val="center"/>
            <w:tcMar>
              <w:top w:w="80" w:type="dxa"/>
              <w:start w:w="120" w:type="dxa"/>
              <w:bottom w:w="80" w:type="dxa"/>
              <w:end w:w="120" w:type="dxa"/>
            </w:tcMar>
          </w:tcPr>
          <w:p>
            <w:pPr>
              <w:spacing w:after="20"/>
            </w:pPr>
            <w:r>
              <w:rPr>
                <w:rFonts w:ascii="Calibri" w:hAnsi="Calibri"/>
                <w:color w:val="2A2E2B"/>
                <w:sz w:val="17"/>
              </w:rPr>
              <w:t>Profil, pengajuan, upload sampel, revisi, status, pembayaran, unduh dokumen.</w:t>
            </w:r>
          </w:p>
        </w:tc>
      </w:tr>
      <w:tr>
        <w:trPr>
          <w:cantSplit w:val="true"/>
        </w:trPr>
        <w:tc>
          <w:tcPr>
            <w:tcW w:type="dxa" w:w="1800"/>
            <w:shd w:fill="F7FAF8"/>
            <w:vAlign w:val="center"/>
            <w:tcMar>
              <w:top w:w="80" w:type="dxa"/>
              <w:start w:w="120" w:type="dxa"/>
              <w:bottom w:w="80" w:type="dxa"/>
              <w:end w:w="120" w:type="dxa"/>
            </w:tcMar>
          </w:tcPr>
          <w:p>
            <w:pPr>
              <w:spacing w:after="20"/>
            </w:pPr>
            <w:r>
              <w:rPr>
                <w:rFonts w:ascii="Calibri" w:hAnsi="Calibri"/>
                <w:color w:val="2A2E2B"/>
                <w:sz w:val="17"/>
              </w:rPr>
              <w:t>Aplikasi internal</w:t>
            </w:r>
          </w:p>
        </w:tc>
        <w:tc>
          <w:tcPr>
            <w:tcW w:type="dxa" w:w="2952"/>
            <w:shd w:fill="F7FAF8"/>
            <w:vAlign w:val="center"/>
            <w:tcMar>
              <w:top w:w="80" w:type="dxa"/>
              <w:start w:w="120" w:type="dxa"/>
              <w:bottom w:w="80" w:type="dxa"/>
              <w:end w:w="120" w:type="dxa"/>
            </w:tcMar>
          </w:tcPr>
          <w:p>
            <w:pPr>
              <w:spacing w:after="20"/>
            </w:pPr>
            <w:r>
              <w:rPr>
                <w:rFonts w:ascii="Calibri" w:hAnsi="Calibri"/>
                <w:color w:val="2A2E2B"/>
                <w:sz w:val="17"/>
              </w:rPr>
              <w:t>Admin, verifikator, distributor, pentashih, dokumentator, pimpinan/auditor</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7"/>
              </w:rPr>
              <w:t>Operasional internal, verifikasi, penugasan, hasil tashih, dokumentasi, master, laporan, audit.</w:t>
            </w:r>
          </w:p>
        </w:tc>
      </w:tr>
      <w:tr>
        <w:trPr>
          <w:cantSplit w:val="true"/>
        </w:trPr>
        <w:tc>
          <w:tcPr>
            <w:tcW w:type="dxa" w:w="1800"/>
            <w:vAlign w:val="center"/>
            <w:tcMar>
              <w:top w:w="80" w:type="dxa"/>
              <w:start w:w="120" w:type="dxa"/>
              <w:bottom w:w="80" w:type="dxa"/>
              <w:end w:w="120" w:type="dxa"/>
            </w:tcMar>
          </w:tcPr>
          <w:p>
            <w:pPr>
              <w:spacing w:after="20"/>
            </w:pPr>
            <w:r>
              <w:rPr>
                <w:rFonts w:ascii="Calibri" w:hAnsi="Calibri"/>
                <w:color w:val="2A2E2B"/>
                <w:sz w:val="17"/>
              </w:rPr>
              <w:t>API bersama</w:t>
            </w:r>
          </w:p>
        </w:tc>
        <w:tc>
          <w:tcPr>
            <w:tcW w:type="dxa" w:w="2952"/>
            <w:vAlign w:val="center"/>
            <w:tcMar>
              <w:top w:w="80" w:type="dxa"/>
              <w:start w:w="120" w:type="dxa"/>
              <w:bottom w:w="80" w:type="dxa"/>
              <w:end w:w="120" w:type="dxa"/>
            </w:tcMar>
          </w:tcPr>
          <w:p>
            <w:pPr>
              <w:spacing w:after="20"/>
            </w:pPr>
            <w:r>
              <w:rPr>
                <w:rFonts w:ascii="Calibri" w:hAnsi="Calibri"/>
                <w:color w:val="2A2E2B"/>
                <w:sz w:val="17"/>
              </w:rPr>
              <w:t>Kedua kanal</w:t>
            </w:r>
          </w:p>
        </w:tc>
        <w:tc>
          <w:tcPr>
            <w:tcW w:type="dxa" w:w="4608"/>
            <w:vAlign w:val="center"/>
            <w:tcMar>
              <w:top w:w="80" w:type="dxa"/>
              <w:start w:w="120" w:type="dxa"/>
              <w:bottom w:w="80" w:type="dxa"/>
              <w:end w:w="120" w:type="dxa"/>
            </w:tcMar>
          </w:tcPr>
          <w:p>
            <w:pPr>
              <w:spacing w:after="20"/>
            </w:pPr>
            <w:r>
              <w:rPr>
                <w:rFonts w:ascii="Calibri" w:hAnsi="Calibri"/>
                <w:color w:val="2A2E2B"/>
                <w:sz w:val="17"/>
              </w:rPr>
              <w:t>Business rule, RBAC, transaksi, audit, file privat, dan integrasi masa depan.</w:t>
            </w:r>
          </w:p>
        </w:tc>
      </w:tr>
    </w:tbl>
    <w:p>
      <w:pPr>
        <w:spacing w:after="0"/>
      </w:pPr>
    </w:p>
    <w:p>
      <w:pPr>
        <w:pStyle w:val="Heading1"/>
      </w:pPr>
      <w:r>
        <w:t>4. Aktor dan Hak Akses</w:t>
      </w:r>
    </w:p>
    <w:tbl>
      <w:tblPr>
        <w:tblStyle w:val="TableGrid"/>
        <w:tblW w:type="dxa" w:w="9360"/>
        <w:jc w:val="center"/>
        <w:tblLayout w:type="fixed"/>
        <w:tblLook w:firstColumn="1" w:firstRow="1" w:lastColumn="0" w:lastRow="0" w:noHBand="0" w:noVBand="1" w:val="04A0"/>
        <w:tblInd w:type="dxa" w:w="120"/>
      </w:tblPr>
      <w:tblGrid>
        <w:gridCol w:w="2232"/>
        <w:gridCol w:w="7128"/>
      </w:tblGrid>
      <w:tr>
        <w:trPr>
          <w:tblHeader w:val="true"/>
          <w:cantSplit w:val="true"/>
        </w:trPr>
        <w:tc>
          <w:tcPr>
            <w:tcW w:type="dxa" w:w="2232"/>
            <w:shd w:fill="0B5E3B"/>
            <w:vAlign w:val="center"/>
            <w:tcMar>
              <w:top w:w="80" w:type="dxa"/>
              <w:start w:w="120" w:type="dxa"/>
              <w:bottom w:w="80" w:type="dxa"/>
              <w:end w:w="120" w:type="dxa"/>
            </w:tcMar>
          </w:tcPr>
          <w:p>
            <w:r>
              <w:rPr>
                <w:b/>
                <w:color w:val="FFFFFF"/>
                <w:sz w:val="17"/>
              </w:rPr>
              <w:t>Aktor</w:t>
            </w:r>
          </w:p>
        </w:tc>
        <w:tc>
          <w:tcPr>
            <w:tcW w:type="dxa" w:w="7128"/>
            <w:shd w:fill="0B5E3B"/>
            <w:vAlign w:val="center"/>
            <w:tcMar>
              <w:top w:w="80" w:type="dxa"/>
              <w:start w:w="120" w:type="dxa"/>
              <w:bottom w:w="80" w:type="dxa"/>
              <w:end w:w="120" w:type="dxa"/>
            </w:tcMar>
          </w:tcPr>
          <w:p>
            <w:r>
              <w:rPr>
                <w:b/>
                <w:color w:val="FFFFFF"/>
                <w:sz w:val="17"/>
              </w:rPr>
              <w:t>Hak akses utama</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Admin</w:t>
            </w:r>
          </w:p>
        </w:tc>
        <w:tc>
          <w:tcPr>
            <w:tcW w:type="dxa" w:w="7128"/>
            <w:vAlign w:val="center"/>
            <w:tcMar>
              <w:top w:w="80" w:type="dxa"/>
              <w:start w:w="120" w:type="dxa"/>
              <w:bottom w:w="80" w:type="dxa"/>
              <w:end w:w="120" w:type="dxa"/>
            </w:tcMar>
          </w:tcPr>
          <w:p>
            <w:pPr>
              <w:spacing w:after="20"/>
            </w:pPr>
            <w:r>
              <w:rPr>
                <w:rFonts w:ascii="Calibri" w:hAnsi="Calibri"/>
                <w:color w:val="2A2E2B"/>
                <w:sz w:val="17"/>
              </w:rPr>
              <w:t>Kelola pengguna, penerbit, input pengajuan atas nama penerbit, master data, konfigurasi, dan akses operasional sesuai permission.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Penerbit</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Kelola data milik sendiri, membuat dan memperbarui draft, mengajukan, mengunggah revisi/sampel, melihat billing/status/dokumen sendiri.</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Verifikator</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Melihat tugas yang ditugaskan, memeriksa kelengkapan, mencatat keputusan dan catatan.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Distributor</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Menugaskan berdasarkan SK, memantau hasil setiap anggota, serta mereviu rekomendasi pentashih/pembaca naskah untuk perbaikan, dumi, atau proses STT.</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Pentashih/Pembaca naskah</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Melihat penugasan sendiri, mencatat progres/hasil, dan menyampaikan rekomendasi kepada distributor.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Kepala LPMQ</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Menyetujui hasil verifikasi dan menetapkan Surat Tanda Tashih sesuai kewenangan.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7"/>
              </w:rPr>
              <w:t>Dokumentator</w:t>
            </w:r>
          </w:p>
        </w:tc>
        <w:tc>
          <w:tcPr>
            <w:tcW w:type="dxa" w:w="7128"/>
            <w:vAlign w:val="center"/>
            <w:tcMar>
              <w:top w:w="80" w:type="dxa"/>
              <w:start w:w="120" w:type="dxa"/>
              <w:bottom w:w="80" w:type="dxa"/>
              <w:end w:w="120" w:type="dxa"/>
            </w:tcMar>
          </w:tcPr>
          <w:p>
            <w:pPr>
              <w:spacing w:after="20"/>
            </w:pPr>
            <w:r>
              <w:rPr>
                <w:rFonts w:ascii="Calibri" w:hAnsi="Calibri"/>
                <w:color w:val="2A2E2B"/>
                <w:sz w:val="17"/>
              </w:rPr>
              <w:t>Melakukan cross-check dokumen, mencatat jumlah eksemplar aktual atau Tidak Berlaku, menerbitkan tanda terima, dan menyusun pelaporan/kinerja.</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7"/>
              </w:rPr>
              <w:t>Pimpinan/Auditor</w:t>
            </w:r>
          </w:p>
        </w:tc>
        <w:tc>
          <w:tcPr>
            <w:tcW w:type="dxa" w:w="7128"/>
            <w:shd w:fill="F7FAF8"/>
            <w:vAlign w:val="center"/>
            <w:tcMar>
              <w:top w:w="80" w:type="dxa"/>
              <w:start w:w="120" w:type="dxa"/>
              <w:bottom w:w="80" w:type="dxa"/>
              <w:end w:w="120" w:type="dxa"/>
            </w:tcMar>
          </w:tcPr>
          <w:p>
            <w:pPr>
              <w:spacing w:after="20"/>
            </w:pPr>
            <w:r>
              <w:rPr>
                <w:rFonts w:ascii="Calibri" w:hAnsi="Calibri"/>
                <w:color w:val="2A2E2B"/>
                <w:sz w:val="17"/>
              </w:rPr>
              <w:t>Akses baca laporan dan audit sesuai lingkup izin.</w:t>
            </w:r>
          </w:p>
        </w:tc>
      </w:tr>
    </w:tbl>
    <w:p>
      <w:pPr>
        <w:spacing w:after="0"/>
      </w:pPr>
    </w:p>
    <w:p>
      <w:r>
        <w:t>Pengguna internal dapat memiliki lebih dari satu role. Izin efektif berasal dari gabungan permission, sedangkan role aktif hanya mengatur navigasi/tampilan.</w:t>
      </w:r>
    </w:p>
    <w:p>
      <w:pPr>
        <w:pStyle w:val="Heading1"/>
      </w:pPr>
      <w:r>
        <w:t>5. Kebutuhan Fungsional</w:t>
      </w:r>
    </w:p>
    <w:p>
      <w:pPr>
        <w:pStyle w:val="Heading2"/>
      </w:pPr>
      <w:r>
        <w:t>5.1 Autentikasi dan Akses</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RF-AUTH-01</w:t>
            </w:r>
          </w:p>
        </w:tc>
        <w:tc>
          <w:tcPr>
            <w:tcW w:type="dxa" w:w="6840"/>
            <w:vAlign w:val="center"/>
            <w:tcMar>
              <w:top w:w="80" w:type="dxa"/>
              <w:start w:w="120" w:type="dxa"/>
              <w:bottom w:w="80" w:type="dxa"/>
              <w:end w:w="120" w:type="dxa"/>
            </w:tcMar>
          </w:tcPr>
          <w:p>
            <w:pPr>
              <w:spacing w:after="20"/>
            </w:pPr>
            <w:r>
              <w:rPr>
                <w:rFonts w:ascii="Calibri" w:hAnsi="Calibri"/>
                <w:color w:val="2A2E2B"/>
                <w:sz w:val="16"/>
              </w:rPr>
              <w:t>Login diverifikasi pada server dan menghasilkan sesi/token yang dapat dicabut.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RF-AUTH-02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menerapkan multi-role dan permission dengan default deny.</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Password disimpan sebagai hash adaptif dan tidak pernah dikembalikan ke client.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RF-AUTH-04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Reset password menggunakan token per pengguna; tidak menggunakan PIN global.</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RF-AUTH-05</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dapat menonaktifkan akun tanpa menghapus riwayat.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5.2 Penerbit dan Portal</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 dapat membuat akun dan mengelola profil badan hukum.</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RF-PUB-02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 wajib dapat dikonfigurasi sesuai jenis badan hukum.</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RF-PUB-03</w:t>
            </w:r>
          </w:p>
        </w:tc>
        <w:tc>
          <w:tcPr>
            <w:tcW w:type="dxa" w:w="6840"/>
            <w:vAlign w:val="center"/>
            <w:tcMar>
              <w:top w:w="80" w:type="dxa"/>
              <w:start w:w="120" w:type="dxa"/>
              <w:bottom w:w="80" w:type="dxa"/>
              <w:end w:w="120" w:type="dxa"/>
            </w:tcMar>
          </w:tcPr>
          <w:p>
            <w:pPr>
              <w:spacing w:after="20"/>
            </w:pPr>
            <w:r>
              <w:rPr>
                <w:rFonts w:ascii="Calibri" w:hAnsi="Calibri"/>
                <w:color w:val="2A2E2B"/>
                <w:sz w:val="16"/>
              </w:rPr>
              <w:t>Petugas dapat memverifikasi, meminta perbaikan, menerima, atau menolak profil.</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RF-PUB-04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Penerbit hanya dapat melihat dan mengubah data miliknya.</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RF-PUB-05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Portal menampilkan status, catatan tindakan, billing, dan dokumen milik penerbit.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5.3 Pengajuan Naskah</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 atau admin dapat membuat draft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mencatat submission_source: publisher_portal atau internal_admin.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RF-REG-03</w:t>
            </w:r>
          </w:p>
        </w:tc>
        <w:tc>
          <w:tcPr>
            <w:tcW w:type="dxa" w:w="6840"/>
            <w:vAlign w:val="center"/>
            <w:tcMar>
              <w:top w:w="80" w:type="dxa"/>
              <w:start w:w="120" w:type="dxa"/>
              <w:bottom w:w="80" w:type="dxa"/>
              <w:end w:w="120" w:type="dxa"/>
            </w:tcMar>
          </w:tcPr>
          <w:p>
            <w:pPr>
              <w:spacing w:after="20"/>
            </w:pPr>
            <w:r>
              <w:rPr>
                <w:rFonts w:ascii="Calibri" w:hAnsi="Calibri"/>
                <w:color w:val="2A2E2B"/>
                <w:sz w:val="16"/>
              </w:rPr>
              <w:t>Nomor pengajuan dibuat unik saat submit.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Pengajuan memilih kategori dan jenis konten dari master aktif.</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RF-REG-05</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menyimpan metadata, cover, dan halaman Al-Qur’an 1–5 sebagai penanda.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mencatat penerimaan master fisik lengkap, tanggal, nomor tanda terima, dan petugas penerima.</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RF-REG-07</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Pengajuan mencatat registration_type NEW atau RENEWAL dan referensi pengajuan/dokumen sebelumnya bila perpanjangan.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RF-REG-08</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Perubahan status tersimpan pada riwayat append-only.</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RF-REG-09</w:t>
            </w:r>
          </w:p>
        </w:tc>
        <w:tc>
          <w:tcPr>
            <w:tcW w:type="dxa" w:w="6840"/>
            <w:vAlign w:val="center"/>
            <w:tcMar>
              <w:top w:w="80" w:type="dxa"/>
              <w:start w:w="120" w:type="dxa"/>
              <w:bottom w:w="80" w:type="dxa"/>
              <w:end w:w="120" w:type="dxa"/>
            </w:tcMar>
          </w:tcPr>
          <w:p>
            <w:pPr>
              <w:spacing w:after="20"/>
            </w:pPr>
            <w:r>
              <w:rPr>
                <w:rFonts w:ascii="Calibri" w:hAnsi="Calibri"/>
                <w:color w:val="2A2E2B"/>
                <w:sz w:val="16"/>
              </w:rPr>
              <w:t>Daftar pengajuan mendukung pencarian, filter, sorting, dan pagination.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5.4 Verifikasi</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Pengajuan dapat ditugaskan kepada verifikator tertentu.</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Halaman menyediakan tampilan Tugas Saya berdasarkan verifier_id.</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RF-VER-03</w:t>
            </w:r>
          </w:p>
        </w:tc>
        <w:tc>
          <w:tcPr>
            <w:tcW w:type="dxa" w:w="6840"/>
            <w:vAlign w:val="center"/>
            <w:tcMar>
              <w:top w:w="80" w:type="dxa"/>
              <w:start w:w="120" w:type="dxa"/>
              <w:bottom w:w="80" w:type="dxa"/>
              <w:end w:w="120" w:type="dxa"/>
            </w:tcMar>
          </w:tcPr>
          <w:p>
            <w:pPr>
              <w:spacing w:after="20"/>
            </w:pPr>
            <w:r>
              <w:rPr>
                <w:rFonts w:ascii="Calibri" w:hAnsi="Calibri"/>
                <w:color w:val="2A2E2B"/>
                <w:sz w:val="16"/>
              </w:rPr>
              <w:t>Antrean menyediakan filter Siap Diverifikasi, Sedang Diproses, Perlu Perbaikan, dan Selesai Tashih.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Verifikator dapat menyimpan checklist, catatan, rekomendasi, dan Berita Acara Tashih.</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RF-VER-05</w:t>
            </w:r>
          </w:p>
        </w:tc>
        <w:tc>
          <w:tcPr>
            <w:tcW w:type="dxa" w:w="6840"/>
            <w:vAlign w:val="center"/>
            <w:tcMar>
              <w:top w:w="80" w:type="dxa"/>
              <w:start w:w="120" w:type="dxa"/>
              <w:bottom w:w="80" w:type="dxa"/>
              <w:end w:w="120" w:type="dxa"/>
            </w:tcMar>
          </w:tcPr>
          <w:p>
            <w:pPr>
              <w:spacing w:after="20"/>
            </w:pPr>
            <w:r>
              <w:rPr>
                <w:rFonts w:ascii="Calibri" w:hAnsi="Calibri"/>
                <w:color w:val="2A2E2B"/>
                <w:sz w:val="16"/>
              </w:rPr>
              <w:t>Kepala LPMQ dapat menyetujui hasil verifikasi atau mengembalikannya disertai alasan.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RF-VER-06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Persetujuan hasil verifikasi memicu notifikasi kepada penerbit dan proses billing.</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RF-VER-07</w:t>
            </w:r>
          </w:p>
        </w:tc>
        <w:tc>
          <w:tcPr>
            <w:tcW w:type="dxa" w:w="6840"/>
            <w:vAlign w:val="center"/>
            <w:tcMar>
              <w:top w:w="80" w:type="dxa"/>
              <w:start w:w="120" w:type="dxa"/>
              <w:bottom w:w="80" w:type="dxa"/>
              <w:end w:w="120" w:type="dxa"/>
            </w:tcMar>
          </w:tcPr>
          <w:p>
            <w:pPr>
              <w:spacing w:after="20"/>
            </w:pPr>
            <w:r>
              <w:rPr>
                <w:rFonts w:ascii="Calibri" w:hAnsi="Calibri"/>
                <w:color w:val="2A2E2B"/>
                <w:sz w:val="16"/>
              </w:rPr>
              <w:t>Transisi ilegal atau perubahan oleh petugas tanpa izin ditolak.</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5.5 Master Data</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RF-MST-01</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kategori Mushaf Cetak, Digital, Audio/Visual, dan Lainnya.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Admin mengelola 17 jenis layanan, tarif dasar, satuan, durasi awal–perbaikan–dumi/perpanjangan, urutan, dan status.</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RF-MST-03</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addon materi beserta tarif dan effective date secara terpisah dari jenis layanan/SLA.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Admin mengelola Tim Distribusi berdasarkan SK/periode, file SK, anggota, dan status tanpa ketua kelompok dalam logika bisnis.</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RF-MST-05</w:t>
            </w:r>
          </w:p>
        </w:tc>
        <w:tc>
          <w:tcPr>
            <w:tcW w:type="dxa" w:w="6840"/>
            <w:vAlign w:val="center"/>
            <w:tcMar>
              <w:top w:w="80" w:type="dxa"/>
              <w:start w:w="120" w:type="dxa"/>
              <w:bottom w:w="80" w:type="dxa"/>
              <w:end w:w="120" w:type="dxa"/>
            </w:tcMar>
          </w:tcPr>
          <w:p>
            <w:pPr>
              <w:spacing w:after="20"/>
            </w:pPr>
            <w:r>
              <w:rPr>
                <w:rFonts w:ascii="Calibri" w:hAnsi="Calibri"/>
                <w:color w:val="2A2E2B"/>
                <w:sz w:val="16"/>
              </w:rPr>
              <w:t>Admin mengelola kalender hari kerja/libur beserta sumber dan audit perubahan.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RF-MST-06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Data master yang sudah dipakai dinonaktifkan, bukan dihapus permanen.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RF-MST-07</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Perubahan tarif/durasi mempunyai effective date dan audit trail.</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5.6 Tarif dan SLA</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RF-CALC-01</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menghitung preview tarif dan SLA dari master aktif.</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menghitung total dari tarif dasar jenis layanan ditambah addon terpilih.</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RF-CALC-03</w:t>
            </w:r>
          </w:p>
        </w:tc>
        <w:tc>
          <w:tcPr>
            <w:tcW w:type="dxa" w:w="6840"/>
            <w:vAlign w:val="center"/>
            <w:tcMar>
              <w:top w:w="80" w:type="dxa"/>
              <w:start w:w="120" w:type="dxa"/>
              <w:bottom w:w="80" w:type="dxa"/>
              <w:end w:w="120" w:type="dxa"/>
            </w:tcMar>
          </w:tcPr>
          <w:p>
            <w:pPr>
              <w:spacing w:after="20"/>
            </w:pPr>
            <w:r>
              <w:rPr>
                <w:rFonts w:ascii="Calibri" w:hAnsi="Calibri"/>
                <w:color w:val="2A2E2B"/>
                <w:sz w:val="16"/>
              </w:rPr>
              <w:t>Tarif dan SLA final disimpan sebagai snapshot immutable pada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Perubahan master tidak mengubah transaksi lama.</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Perhitungan hari kerja menggunakan kalender kerja yang dikonfigurasi.</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RF-CALC-06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menampilkan rincian biaya dan estimasi sebelum konfirmasi.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RF-CALC-07</w:t>
            </w:r>
          </w:p>
        </w:tc>
        <w:tc>
          <w:tcPr>
            <w:tcW w:type="dxa" w:w="6840"/>
            <w:vAlign w:val="center"/>
            <w:tcMar>
              <w:top w:w="80" w:type="dxa"/>
              <w:start w:w="120" w:type="dxa"/>
              <w:bottom w:w="80" w:type="dxa"/>
              <w:end w:w="120" w:type="dxa"/>
            </w:tcMar>
          </w:tcPr>
          <w:p>
            <w:pPr>
              <w:spacing w:after="20"/>
            </w:pPr>
            <w:r>
              <w:rPr>
                <w:rFonts w:ascii="Calibri" w:hAnsi="Calibri"/>
                <w:color w:val="2A2E2B"/>
                <w:sz w:val="16"/>
              </w:rPr>
              <w:t>Target SLA dan realisasi ditampilkan sebagai cross-check/pelaporan dan tidak memblokir transisi proses.</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2"/>
      </w:pPr>
      <w:r>
        <w:t>5.7 Pembayaran</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RF-PAY-01</w:t>
            </w:r>
          </w:p>
        </w:tc>
        <w:tc>
          <w:tcPr>
            <w:tcW w:type="dxa" w:w="6840"/>
            <w:vAlign w:val="center"/>
            <w:tcMar>
              <w:top w:w="80" w:type="dxa"/>
              <w:start w:w="120" w:type="dxa"/>
              <w:bottom w:w="80" w:type="dxa"/>
              <w:end w:w="120" w:type="dxa"/>
            </w:tcMar>
          </w:tcPr>
          <w:p>
            <w:pPr>
              <w:spacing w:after="20"/>
            </w:pPr>
            <w:r>
              <w:rPr>
                <w:rFonts w:ascii="Calibri" w:hAnsi="Calibri"/>
                <w:color w:val="2A2E2B"/>
                <w:sz w:val="16"/>
              </w:rPr>
              <w:t>Petugas mencatat nomor billing, nominal, tanggal, tenggat, status, dan bukti pembayaran.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RF-PAY-02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Riwayat pembayaran mendukung lebih dari satu record, tetapi hanya satu billing aktif pada satu waktu.</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RF-PAY-03</w:t>
            </w:r>
          </w:p>
        </w:tc>
        <w:tc>
          <w:tcPr>
            <w:tcW w:type="dxa" w:w="6840"/>
            <w:vAlign w:val="center"/>
            <w:tcMar>
              <w:top w:w="80" w:type="dxa"/>
              <w:start w:w="120" w:type="dxa"/>
              <w:bottom w:w="80" w:type="dxa"/>
              <w:end w:w="120" w:type="dxa"/>
            </w:tcMar>
          </w:tcPr>
          <w:p>
            <w:pPr>
              <w:spacing w:after="20"/>
            </w:pPr>
            <w:r>
              <w:rPr>
                <w:rFonts w:ascii="Calibri" w:hAnsi="Calibri"/>
                <w:color w:val="2A2E2B"/>
                <w:sz w:val="16"/>
              </w:rPr>
              <w:t>Konfirmasi pembayaran mencatat aktor, waktu, dan catatan.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RF-PAY-04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Model data menyediakan provider, external reference, dan sync status untuk SIMPONI.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5.8 Distribusi dan Tashih</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Distributor memilih tim aktif berdasarkan SK dan membuat penugasan bagi setiap anggota yang relevan.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Penugasan mencatat tahap INITIAL, REVISION, atau DUMI.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RF-DIST-03</w:t>
            </w:r>
          </w:p>
        </w:tc>
        <w:tc>
          <w:tcPr>
            <w:tcW w:type="dxa" w:w="6840"/>
            <w:vAlign w:val="center"/>
            <w:tcMar>
              <w:top w:w="80" w:type="dxa"/>
              <w:start w:w="120" w:type="dxa"/>
              <w:bottom w:w="80" w:type="dxa"/>
              <w:end w:w="120" w:type="dxa"/>
            </w:tcMar>
          </w:tcPr>
          <w:p>
            <w:pPr>
              <w:spacing w:after="20"/>
            </w:pPr>
            <w:r>
              <w:rPr>
                <w:rFonts w:ascii="Calibri" w:hAnsi="Calibri"/>
                <w:color w:val="2A2E2B"/>
                <w:sz w:val="16"/>
              </w:rPr>
              <w:t>Tahap perbaikan mendukung iterasi berulang.</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Pentashih hanya dapat memproses penugasan sesuai izin.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RF-DIST-05</w:t>
            </w:r>
          </w:p>
        </w:tc>
        <w:tc>
          <w:tcPr>
            <w:tcW w:type="dxa" w:w="6840"/>
            <w:vAlign w:val="center"/>
            <w:tcMar>
              <w:top w:w="80" w:type="dxa"/>
              <w:start w:w="120" w:type="dxa"/>
              <w:bottom w:w="80" w:type="dxa"/>
              <w:end w:w="120" w:type="dxa"/>
            </w:tcMar>
          </w:tcPr>
          <w:p>
            <w:pPr>
              <w:spacing w:after="20"/>
            </w:pPr>
            <w:r>
              <w:rPr>
                <w:rFonts w:ascii="Calibri" w:hAnsi="Calibri"/>
                <w:color w:val="2A2E2B"/>
                <w:sz w:val="16"/>
              </w:rPr>
              <w:t>Hasil setiap anggota menyimpan progres, keputusan, catatan, rekomendasi, waktu, dan versi naskah.</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RF-DIST-06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Distributor mereviu hasil/rekomendasi dan memilih tindak lanjut: lanjut STT, baca ulang, perbaikan penerbit, atau dumi.</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RF-DIST-07</w:t>
            </w:r>
          </w:p>
        </w:tc>
        <w:tc>
          <w:tcPr>
            <w:tcW w:type="dxa" w:w="6840"/>
            <w:vAlign w:val="center"/>
            <w:tcMar>
              <w:top w:w="80" w:type="dxa"/>
              <w:start w:w="120" w:type="dxa"/>
              <w:bottom w:w="80" w:type="dxa"/>
              <w:end w:w="120" w:type="dxa"/>
            </w:tcMar>
          </w:tcPr>
          <w:p>
            <w:pPr>
              <w:spacing w:after="20"/>
            </w:pPr>
            <w:r>
              <w:rPr>
                <w:rFonts w:ascii="Calibri" w:hAnsi="Calibri"/>
                <w:color w:val="2A2E2B"/>
                <w:sz w:val="16"/>
              </w:rPr>
              <w:t>Sistem menampilkan beban kerja dan keterlambatan dasar.</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5.9 Dokumentasi dan Dokumen Resmi</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Dokumentator mengelola checklist dinamis per pengajuan.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Item minimal mencakup bukti pembayaran, hasil tashih, tanda terima, Surat Tanda Tashih, cover, dan sampel halaman.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RF-DOC-03</w:t>
            </w:r>
          </w:p>
        </w:tc>
        <w:tc>
          <w:tcPr>
            <w:tcW w:type="dxa" w:w="6840"/>
            <w:vAlign w:val="center"/>
            <w:tcMar>
              <w:top w:w="80" w:type="dxa"/>
              <w:start w:w="120" w:type="dxa"/>
              <w:bottom w:w="80" w:type="dxa"/>
              <w:end w:w="120" w:type="dxa"/>
            </w:tcMar>
          </w:tcPr>
          <w:p>
            <w:pPr>
              <w:spacing w:after="20"/>
            </w:pPr>
            <w:r>
              <w:rPr>
                <w:rFonts w:ascii="Calibri" w:hAnsi="Calibri"/>
                <w:color w:val="2A2E2B"/>
                <w:sz w:val="16"/>
              </w:rPr>
              <w:t>Setiap item mempunyai status Belum Ada, Sudah Diunggah, Sudah Diperiksa, atau Tidak Berlaku.</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 resmi disimpan 1:N dengan versioning dan satu versi aktif.</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RF-DOC-05</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Penandatangan disimpan generik dengan snapshot nama/jabatan dan metode tanda tangan.</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menyediakan QR/token verifikasi publik dengan informasi minimum.</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RF-DOC-07</w:t>
            </w:r>
          </w:p>
        </w:tc>
        <w:tc>
          <w:tcPr>
            <w:tcW w:type="dxa" w:w="6840"/>
            <w:vAlign w:val="center"/>
            <w:tcMar>
              <w:top w:w="80" w:type="dxa"/>
              <w:start w:w="120" w:type="dxa"/>
              <w:bottom w:w="80" w:type="dxa"/>
              <w:end w:w="120" w:type="dxa"/>
            </w:tcMar>
          </w:tcPr>
          <w:p>
            <w:pPr>
              <w:spacing w:after="20"/>
            </w:pPr>
            <w:r>
              <w:rPr>
                <w:rFonts w:ascii="Calibri" w:hAnsi="Calibri"/>
                <w:color w:val="2A2E2B"/>
                <w:sz w:val="16"/>
              </w:rPr>
              <w:t>Verifikasi QR menampilkan judul mushaf, penerbit, nomor surat, status, deskripsi, dan cover sesuai kebijakan akses.</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RF-DOC-08</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menandai dokumen akan kedaluwarsa/kedaluwarsa berdasarkan masa berlaku dua tahun.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RF-DOC-09</w:t>
            </w:r>
          </w:p>
        </w:tc>
        <w:tc>
          <w:tcPr>
            <w:tcW w:type="dxa" w:w="6840"/>
            <w:vAlign w:val="center"/>
            <w:tcMar>
              <w:top w:w="80" w:type="dxa"/>
              <w:start w:w="120" w:type="dxa"/>
              <w:bottom w:w="80" w:type="dxa"/>
              <w:end w:w="120" w:type="dxa"/>
            </w:tcMar>
          </w:tcPr>
          <w:p>
            <w:pPr>
              <w:spacing w:after="20"/>
            </w:pPr>
            <w:r>
              <w:rPr>
                <w:rFonts w:ascii="Calibri" w:hAnsi="Calibri"/>
                <w:color w:val="2A2E2B"/>
                <w:sz w:val="16"/>
              </w:rPr>
              <w:t>Penerbit/admin dapat membuat pengajuan perpanjangan yang tertaut ke dokumen sebelumnya.</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RF-DOC-10</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Dokumentator mencatat target lima eksemplar, jumlah aktual, tanggal terima, surat tanda terima, catatan, dan penilaian.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RF-DOC-11</w:t>
            </w:r>
          </w:p>
        </w:tc>
        <w:tc>
          <w:tcPr>
            <w:tcW w:type="dxa" w:w="6840"/>
            <w:vAlign w:val="center"/>
            <w:tcMar>
              <w:top w:w="80" w:type="dxa"/>
              <w:start w:w="120" w:type="dxa"/>
              <w:bottom w:w="80" w:type="dxa"/>
              <w:end w:w="120" w:type="dxa"/>
            </w:tcMar>
          </w:tcPr>
          <w:p>
            <w:pPr>
              <w:spacing w:after="20"/>
            </w:pPr>
            <w:r>
              <w:rPr>
                <w:rFonts w:ascii="Calibri" w:hAnsi="Calibri"/>
                <w:color w:val="2A2E2B"/>
                <w:sz w:val="16"/>
              </w:rPr>
              <w:t>Jumlah aktual kurang dari lima tidak memblokir penyelesaian; layanan noncetak memakai status Tidak Berlaku tanpa eksemplar.</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RF-DOC-12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Struktur dokumen menyiapkan signing method BSRE tanpa mengaktifkan integrasi pada MVP.</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bl>
    <w:p>
      <w:pPr>
        <w:spacing w:after="0"/>
      </w:pPr>
    </w:p>
    <w:p>
      <w:pPr>
        <w:pStyle w:val="Heading2"/>
      </w:pPr>
      <w:r>
        <w:t>5.10 Laporan, Notifikasi, dan Audit</w:t>
      </w:r>
    </w:p>
    <w:tbl>
      <w:tblPr>
        <w:tblStyle w:val="TableGrid"/>
        <w:tblW w:type="dxa" w:w="9360"/>
        <w:jc w:val="center"/>
        <w:tblLayout w:type="fixed"/>
        <w:tblLook w:firstColumn="1" w:firstRow="1" w:lastColumn="0" w:lastRow="0" w:noHBand="0" w:noVBand="1" w:val="04A0"/>
        <w:tblInd w:type="dxa" w:w="120"/>
      </w:tblPr>
      <w:tblGrid>
        <w:gridCol w:w="1512"/>
        <w:gridCol w:w="6840"/>
        <w:gridCol w:w="1008"/>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6840"/>
            <w:shd w:fill="0B5E3B"/>
            <w:vAlign w:val="center"/>
            <w:tcMar>
              <w:top w:w="80" w:type="dxa"/>
              <w:start w:w="120" w:type="dxa"/>
              <w:bottom w:w="80" w:type="dxa"/>
              <w:end w:w="120" w:type="dxa"/>
            </w:tcMar>
          </w:tcPr>
          <w:p>
            <w:r>
              <w:rPr>
                <w:b/>
                <w:color w:val="FFFFFF"/>
                <w:sz w:val="16"/>
              </w:rPr>
              <w:t>Kebutuhan</w:t>
            </w:r>
          </w:p>
        </w:tc>
        <w:tc>
          <w:tcPr>
            <w:tcW w:type="dxa" w:w="1008"/>
            <w:shd w:fill="0B5E3B"/>
            <w:vAlign w:val="center"/>
            <w:tcMar>
              <w:top w:w="80" w:type="dxa"/>
              <w:start w:w="120" w:type="dxa"/>
              <w:bottom w:w="80" w:type="dxa"/>
              <w:end w:w="120" w:type="dxa"/>
            </w:tcMar>
          </w:tcPr>
          <w:p>
            <w:r>
              <w:rPr>
                <w:b/>
                <w:color w:val="FFFFFF"/>
                <w:sz w:val="16"/>
              </w:rPr>
              <w:t>Prioritas</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RF-OPS-01</w:t>
            </w:r>
          </w:p>
        </w:tc>
        <w:tc>
          <w:tcPr>
            <w:tcW w:type="dxa" w:w="6840"/>
            <w:vAlign w:val="center"/>
            <w:tcMar>
              <w:top w:w="80" w:type="dxa"/>
              <w:start w:w="120" w:type="dxa"/>
              <w:bottom w:w="80" w:type="dxa"/>
              <w:end w:w="120" w:type="dxa"/>
            </w:tcMar>
          </w:tcPr>
          <w:p>
            <w:pPr>
              <w:spacing w:after="20"/>
            </w:pPr>
            <w:r>
              <w:rPr>
                <w:rFonts w:ascii="Calibri" w:hAnsi="Calibri"/>
                <w:color w:val="2A2E2B"/>
                <w:sz w:val="16"/>
              </w:rPr>
              <w:t>Dashboard menampilkan antrean dan tugas sesuai role.</w:t>
            </w:r>
          </w:p>
        </w:tc>
        <w:tc>
          <w:tcPr>
            <w:tcW w:type="dxa" w:w="1008"/>
            <w:vAlign w:val="center"/>
            <w:tcMar>
              <w:top w:w="80" w:type="dxa"/>
              <w:start w:w="120" w:type="dxa"/>
              <w:bottom w:w="80" w:type="dxa"/>
              <w:end w:w="120" w:type="dxa"/>
            </w:tcMar>
          </w:tcPr>
          <w:p>
            <w:pPr>
              <w:spacing w:after="20"/>
            </w:pPr>
            <w:r>
              <w:rPr>
                <w:rFonts w:ascii="Calibri" w:hAnsi="Calibri"/>
                <w:color w:val="2A2E2B"/>
                <w:sz w:val="16"/>
              </w:rPr>
              <w:t>P0</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RF-OPS-02</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Sistem menyediakan laporan jumlah pengajuan, PNBP, SLA, dan beban kerja dasar.</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RF-OPS-03</w:t>
            </w:r>
          </w:p>
        </w:tc>
        <w:tc>
          <w:tcPr>
            <w:tcW w:type="dxa" w:w="6840"/>
            <w:vAlign w:val="center"/>
            <w:tcMar>
              <w:top w:w="80" w:type="dxa"/>
              <w:start w:w="120" w:type="dxa"/>
              <w:bottom w:w="80" w:type="dxa"/>
              <w:end w:w="120" w:type="dxa"/>
            </w:tcMar>
          </w:tcPr>
          <w:p>
            <w:pPr>
              <w:spacing w:after="20"/>
            </w:pPr>
            <w:r>
              <w:rPr>
                <w:rFonts w:ascii="Calibri" w:hAnsi="Calibri"/>
                <w:color w:val="2A2E2B"/>
                <w:sz w:val="16"/>
              </w:rPr>
              <w:t>Laporan dapat difilter dan diekspor sesuai izin.</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RF-OPS-04</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Notifikasi dibuat untuk tugas baru, revisi, pembayaran, distribusi, dan dokumen.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RF-OPS-05</w:t>
            </w:r>
          </w:p>
        </w:tc>
        <w:tc>
          <w:tcPr>
            <w:tcW w:type="dxa" w:w="6840"/>
            <w:vAlign w:val="center"/>
            <w:tcMar>
              <w:top w:w="80" w:type="dxa"/>
              <w:start w:w="120" w:type="dxa"/>
              <w:bottom w:w="80" w:type="dxa"/>
              <w:end w:w="120" w:type="dxa"/>
            </w:tcMar>
          </w:tcPr>
          <w:p>
            <w:pPr>
              <w:spacing w:after="20"/>
            </w:pPr>
            <w:r>
              <w:rPr>
                <w:rFonts w:ascii="Calibri" w:hAnsi="Calibri"/>
                <w:color w:val="2A2E2B"/>
                <w:sz w:val="16"/>
              </w:rPr>
              <w:t>Notifikasi menyimpan status telah dibaca dan referensi transaksi terkait.</w:t>
            </w:r>
          </w:p>
        </w:tc>
        <w:tc>
          <w:tcPr>
            <w:tcW w:type="dxa" w:w="1008"/>
            <w:vAlign w:val="center"/>
            <w:tcMar>
              <w:top w:w="80" w:type="dxa"/>
              <w:start w:w="120" w:type="dxa"/>
              <w:bottom w:w="80" w:type="dxa"/>
              <w:end w:w="120" w:type="dxa"/>
            </w:tcMar>
          </w:tcPr>
          <w:p>
            <w:pPr>
              <w:spacing w:after="20"/>
            </w:pPr>
            <w:r>
              <w:rPr>
                <w:rFonts w:ascii="Calibri" w:hAnsi="Calibri"/>
                <w:color w:val="2A2E2B"/>
                <w:sz w:val="16"/>
              </w:rPr>
              <w:t>P1</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RF-OPS-06</w:t>
            </w:r>
          </w:p>
        </w:tc>
        <w:tc>
          <w:tcPr>
            <w:tcW w:type="dxa" w:w="6840"/>
            <w:shd w:fill="F7FAF8"/>
            <w:vAlign w:val="center"/>
            <w:tcMar>
              <w:top w:w="80" w:type="dxa"/>
              <w:start w:w="120" w:type="dxa"/>
              <w:bottom w:w="80" w:type="dxa"/>
              <w:end w:w="120" w:type="dxa"/>
            </w:tcMar>
          </w:tcPr>
          <w:p>
            <w:pPr>
              <w:spacing w:after="20"/>
            </w:pPr>
            <w:r>
              <w:rPr>
                <w:rFonts w:ascii="Calibri" w:hAnsi="Calibri"/>
                <w:color w:val="2A2E2B"/>
                <w:sz w:val="16"/>
              </w:rPr>
              <w:t>Audit log append-only mencatat perubahan status, master, pembayaran, penugasan, dan dokumen.</w:t>
            </w:r>
          </w:p>
        </w:tc>
        <w:tc>
          <w:tcPr>
            <w:tcW w:type="dxa" w:w="1008"/>
            <w:shd w:fill="F7FAF8"/>
            <w:vAlign w:val="center"/>
            <w:tcMar>
              <w:top w:w="80" w:type="dxa"/>
              <w:start w:w="120" w:type="dxa"/>
              <w:bottom w:w="80" w:type="dxa"/>
              <w:end w:w="120" w:type="dxa"/>
            </w:tcMar>
          </w:tcPr>
          <w:p>
            <w:pPr>
              <w:spacing w:after="20"/>
            </w:pPr>
            <w:r>
              <w:rPr>
                <w:rFonts w:ascii="Calibri" w:hAnsi="Calibri"/>
                <w:color w:val="2A2E2B"/>
                <w:sz w:val="16"/>
              </w:rPr>
              <w:t>P0</w:t>
            </w:r>
          </w:p>
        </w:tc>
      </w:tr>
    </w:tbl>
    <w:p>
      <w:pPr>
        <w:spacing w:after="0"/>
      </w:pPr>
    </w:p>
    <w:p>
      <w:pPr>
        <w:pStyle w:val="Heading1"/>
      </w:pPr>
      <w:r>
        <w:t>6. Status dan Proses Bisnis</w:t>
      </w:r>
    </w:p>
    <w:p>
      <w:pPr>
        <w:pStyle w:val="Heading2"/>
      </w:pPr>
      <w:r>
        <w:t>6.1 Status utama pengajuan</w:t>
      </w:r>
    </w:p>
    <w:tbl>
      <w:tblPr>
        <w:tblStyle w:val="TableGrid"/>
        <w:tblW w:type="dxa" w:w="9360"/>
        <w:jc w:val="center"/>
        <w:tblLayout w:type="fixed"/>
        <w:tblLook w:firstColumn="1" w:firstRow="1" w:lastColumn="0" w:lastRow="0" w:noHBand="0" w:noVBand="1" w:val="04A0"/>
        <w:tblInd w:type="dxa" w:w="120"/>
      </w:tblPr>
      <w:tblGrid>
        <w:gridCol w:w="2520"/>
        <w:gridCol w:w="2232"/>
        <w:gridCol w:w="4608"/>
      </w:tblGrid>
      <w:tr>
        <w:trPr>
          <w:tblHeader w:val="true"/>
          <w:cantSplit w:val="true"/>
        </w:trPr>
        <w:tc>
          <w:tcPr>
            <w:tcW w:type="dxa" w:w="2520"/>
            <w:shd w:fill="0B5E3B"/>
            <w:vAlign w:val="center"/>
            <w:tcMar>
              <w:top w:w="80" w:type="dxa"/>
              <w:start w:w="120" w:type="dxa"/>
              <w:bottom w:w="80" w:type="dxa"/>
              <w:end w:w="120" w:type="dxa"/>
            </w:tcMar>
          </w:tcPr>
          <w:p>
            <w:r>
              <w:rPr>
                <w:b/>
                <w:color w:val="FFFFFF"/>
                <w:sz w:val="16"/>
              </w:rPr>
              <w:t>Kode</w:t>
            </w:r>
          </w:p>
        </w:tc>
        <w:tc>
          <w:tcPr>
            <w:tcW w:type="dxa" w:w="2232"/>
            <w:shd w:fill="0B5E3B"/>
            <w:vAlign w:val="center"/>
            <w:tcMar>
              <w:top w:w="80" w:type="dxa"/>
              <w:start w:w="120" w:type="dxa"/>
              <w:bottom w:w="80" w:type="dxa"/>
              <w:end w:w="120" w:type="dxa"/>
            </w:tcMar>
          </w:tcPr>
          <w:p>
            <w:r>
              <w:rPr>
                <w:b/>
                <w:color w:val="FFFFFF"/>
                <w:sz w:val="16"/>
              </w:rPr>
              <w:t>Label</w:t>
            </w:r>
          </w:p>
        </w:tc>
        <w:tc>
          <w:tcPr>
            <w:tcW w:type="dxa" w:w="4608"/>
            <w:shd w:fill="0B5E3B"/>
            <w:vAlign w:val="center"/>
            <w:tcMar>
              <w:top w:w="80" w:type="dxa"/>
              <w:start w:w="120" w:type="dxa"/>
              <w:bottom w:w="80" w:type="dxa"/>
              <w:end w:w="120" w:type="dxa"/>
            </w:tcMar>
          </w:tcPr>
          <w:p>
            <w:r>
              <w:rPr>
                <w:b/>
                <w:color w:val="FFFFFF"/>
                <w:sz w:val="16"/>
              </w:rPr>
              <w:t>Makna</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DRAFT</w:t>
            </w:r>
          </w:p>
        </w:tc>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4608"/>
            <w:vAlign w:val="center"/>
            <w:tcMar>
              <w:top w:w="80" w:type="dxa"/>
              <w:start w:w="120" w:type="dxa"/>
              <w:bottom w:w="80" w:type="dxa"/>
              <w:end w:w="120" w:type="dxa"/>
            </w:tcMar>
          </w:tcPr>
          <w:p>
            <w:pPr>
              <w:spacing w:after="20"/>
            </w:pPr>
            <w:r>
              <w:rPr>
                <w:rFonts w:ascii="Calibri" w:hAnsi="Calibri"/>
                <w:color w:val="2A2E2B"/>
                <w:sz w:val="16"/>
              </w:rPr>
              <w:t>Data belum diajukan.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Siap Diverifikasi</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Pengajuan telah dikirim dan menunggu pemeriksaan.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Sedang Diproses</w:t>
            </w:r>
          </w:p>
        </w:tc>
        <w:tc>
          <w:tcPr>
            <w:tcW w:type="dxa" w:w="4608"/>
            <w:vAlign w:val="center"/>
            <w:tcMar>
              <w:top w:w="80" w:type="dxa"/>
              <w:start w:w="120" w:type="dxa"/>
              <w:bottom w:w="80" w:type="dxa"/>
              <w:end w:w="120" w:type="dxa"/>
            </w:tcMar>
          </w:tcPr>
          <w:p>
            <w:pPr>
              <w:spacing w:after="20"/>
            </w:pPr>
            <w:r>
              <w:rPr>
                <w:rFonts w:ascii="Calibri" w:hAnsi="Calibri"/>
                <w:color w:val="2A2E2B"/>
                <w:sz w:val="16"/>
              </w:rPr>
              <w:t>Berkas sedang diperiksa.</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Perlu Perbaikan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Penerbit/admin harus melengkapi atau memperbaiki berkas.</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WAITING_VERIFICATION_APPROVAL</w:t>
            </w:r>
          </w:p>
        </w:tc>
        <w:tc>
          <w:tcPr>
            <w:tcW w:type="dxa" w:w="2232"/>
            <w:vAlign w:val="center"/>
            <w:tcMar>
              <w:top w:w="80" w:type="dxa"/>
              <w:start w:w="120" w:type="dxa"/>
              <w:bottom w:w="80" w:type="dxa"/>
              <w:end w:w="120" w:type="dxa"/>
            </w:tcMar>
          </w:tcPr>
          <w:p>
            <w:pPr>
              <w:spacing w:after="20"/>
            </w:pPr>
            <w:r>
              <w:rPr>
                <w:rFonts w:ascii="Calibri" w:hAnsi="Calibri"/>
                <w:color w:val="2A2E2B"/>
                <w:sz w:val="16"/>
              </w:rPr>
              <w:t>Menunggu Persetujuan</w:t>
            </w:r>
          </w:p>
        </w:tc>
        <w:tc>
          <w:tcPr>
            <w:tcW w:type="dxa" w:w="4608"/>
            <w:vAlign w:val="center"/>
            <w:tcMar>
              <w:top w:w="80" w:type="dxa"/>
              <w:start w:w="120" w:type="dxa"/>
              <w:bottom w:w="80" w:type="dxa"/>
              <w:end w:w="120" w:type="dxa"/>
            </w:tcMar>
          </w:tcPr>
          <w:p>
            <w:pPr>
              <w:spacing w:after="20"/>
            </w:pPr>
            <w:r>
              <w:rPr>
                <w:rFonts w:ascii="Calibri" w:hAnsi="Calibri"/>
                <w:color w:val="2A2E2B"/>
                <w:sz w:val="16"/>
              </w:rPr>
              <w:t>Hasil verifikasi menunggu persetujuan Kepala LPMQ.</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AWAITING_PAYMENT</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Menunggu Pembayaran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Billing telah tersedia dan menunggu pembayaran.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PAYMENT_VERIFICATION</w:t>
            </w:r>
          </w:p>
        </w:tc>
        <w:tc>
          <w:tcPr>
            <w:tcW w:type="dxa" w:w="2232"/>
            <w:vAlign w:val="center"/>
            <w:tcMar>
              <w:top w:w="80" w:type="dxa"/>
              <w:start w:w="120" w:type="dxa"/>
              <w:bottom w:w="80" w:type="dxa"/>
              <w:end w:w="120" w:type="dxa"/>
            </w:tcMar>
          </w:tcPr>
          <w:p>
            <w:pPr>
              <w:spacing w:after="20"/>
            </w:pPr>
            <w:r>
              <w:rPr>
                <w:rFonts w:ascii="Calibri" w:hAnsi="Calibri"/>
                <w:color w:val="2A2E2B"/>
                <w:sz w:val="16"/>
              </w:rPr>
              <w:t>Verifikasi Pembayaran</w:t>
            </w:r>
          </w:p>
        </w:tc>
        <w:tc>
          <w:tcPr>
            <w:tcW w:type="dxa" w:w="4608"/>
            <w:vAlign w:val="center"/>
            <w:tcMar>
              <w:top w:w="80" w:type="dxa"/>
              <w:start w:w="120" w:type="dxa"/>
              <w:bottom w:w="80" w:type="dxa"/>
              <w:end w:w="120" w:type="dxa"/>
            </w:tcMar>
          </w:tcPr>
          <w:p>
            <w:pPr>
              <w:spacing w:after="20"/>
            </w:pPr>
            <w:r>
              <w:rPr>
                <w:rFonts w:ascii="Calibri" w:hAnsi="Calibri"/>
                <w:color w:val="2A2E2B"/>
                <w:sz w:val="16"/>
              </w:rPr>
              <w:t>Bukti pembayaran sedang diperiksa.</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Menunggu Distribusi</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Pembayaran terkonfirmasi dan siap ditugaskan.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232"/>
            <w:vAlign w:val="center"/>
            <w:tcMar>
              <w:top w:w="80" w:type="dxa"/>
              <w:start w:w="120" w:type="dxa"/>
              <w:bottom w:w="80" w:type="dxa"/>
              <w:end w:w="120" w:type="dxa"/>
            </w:tcMar>
          </w:tcPr>
          <w:p>
            <w:pPr>
              <w:spacing w:after="20"/>
            </w:pPr>
            <w:r>
              <w:rPr>
                <w:rFonts w:ascii="Calibri" w:hAnsi="Calibri"/>
                <w:color w:val="2A2E2B"/>
                <w:sz w:val="16"/>
              </w:rPr>
              <w:t>Proses Pentashihan</w:t>
            </w:r>
          </w:p>
        </w:tc>
        <w:tc>
          <w:tcPr>
            <w:tcW w:type="dxa" w:w="4608"/>
            <w:vAlign w:val="center"/>
            <w:tcMar>
              <w:top w:w="80" w:type="dxa"/>
              <w:start w:w="120" w:type="dxa"/>
              <w:bottom w:w="80" w:type="dxa"/>
              <w:end w:w="120" w:type="dxa"/>
            </w:tcMar>
          </w:tcPr>
          <w:p>
            <w:pPr>
              <w:spacing w:after="20"/>
            </w:pPr>
            <w:r>
              <w:rPr>
                <w:rFonts w:ascii="Calibri" w:hAnsi="Calibri"/>
                <w:color w:val="2A2E2B"/>
                <w:sz w:val="16"/>
              </w:rPr>
              <w:t>Berada pada tahap awal, baca ulang, perbaikan, atau dumi.</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READY_FOR_STT</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Siap Ditetapkan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Hasil reviu distributor siap untuk penetapan STT.</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STT_ISSUED</w:t>
            </w:r>
          </w:p>
        </w:tc>
        <w:tc>
          <w:tcPr>
            <w:tcW w:type="dxa" w:w="2232"/>
            <w:vAlign w:val="center"/>
            <w:tcMar>
              <w:top w:w="80" w:type="dxa"/>
              <w:start w:w="120" w:type="dxa"/>
              <w:bottom w:w="80" w:type="dxa"/>
              <w:end w:w="120" w:type="dxa"/>
            </w:tcMar>
          </w:tcPr>
          <w:p>
            <w:pPr>
              <w:spacing w:after="20"/>
            </w:pPr>
            <w:r>
              <w:rPr>
                <w:rFonts w:ascii="Calibri" w:hAnsi="Calibri"/>
                <w:color w:val="2A2E2B"/>
                <w:sz w:val="16"/>
              </w:rPr>
              <w:t>STT Terbit</w:t>
            </w:r>
          </w:p>
        </w:tc>
        <w:tc>
          <w:tcPr>
            <w:tcW w:type="dxa" w:w="4608"/>
            <w:vAlign w:val="center"/>
            <w:tcMar>
              <w:top w:w="80" w:type="dxa"/>
              <w:start w:w="120" w:type="dxa"/>
              <w:bottom w:w="80" w:type="dxa"/>
              <w:end w:w="120" w:type="dxa"/>
            </w:tcMar>
          </w:tcPr>
          <w:p>
            <w:pPr>
              <w:spacing w:after="20"/>
            </w:pPr>
            <w:r>
              <w:rPr>
                <w:rFonts w:ascii="Calibri" w:hAnsi="Calibri"/>
                <w:color w:val="2A2E2B"/>
                <w:sz w:val="16"/>
              </w:rPr>
              <w:t>Surat Tanda Tashih telah ditetapkan dan diterbitkan.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DOCUMENTATION_IN_PROGRESS</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Proses Dokumentasi</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Dokumentator melakukan cross-check dan penilaian pelaporan.</w:t>
            </w:r>
          </w:p>
        </w:tc>
      </w:tr>
      <w:tr>
        <w:trPr>
          <w:cantSplit w:val="true"/>
        </w:trPr>
        <w:tc>
          <w:tcPr>
            <w:tcW w:type="dxa" w:w="2520"/>
            <w:vAlign w:val="center"/>
            <w:tcMar>
              <w:top w:w="80" w:type="dxa"/>
              <w:start w:w="120" w:type="dxa"/>
              <w:bottom w:w="80" w:type="dxa"/>
              <w:end w:w="120" w:type="dxa"/>
            </w:tcMar>
          </w:tcPr>
          <w:p>
            <w:pPr>
              <w:spacing w:after="20"/>
            </w:pPr>
            <w:r>
              <w:rPr>
                <w:rFonts w:ascii="Calibri" w:hAnsi="Calibri"/>
                <w:color w:val="2A2E2B"/>
                <w:sz w:val="16"/>
              </w:rPr>
              <w:t>COMPLETED</w:t>
            </w:r>
          </w:p>
        </w:tc>
        <w:tc>
          <w:tcPr>
            <w:tcW w:type="dxa" w:w="2232"/>
            <w:vAlign w:val="center"/>
            <w:tcMar>
              <w:top w:w="80" w:type="dxa"/>
              <w:start w:w="120" w:type="dxa"/>
              <w:bottom w:w="80" w:type="dxa"/>
              <w:end w:w="120" w:type="dxa"/>
            </w:tcMar>
          </w:tcPr>
          <w:p>
            <w:pPr>
              <w:spacing w:after="20"/>
            </w:pPr>
            <w:r>
              <w:rPr>
                <w:rFonts w:ascii="Calibri" w:hAnsi="Calibri"/>
                <w:color w:val="2A2E2B"/>
                <w:sz w:val="16"/>
              </w:rPr>
              <w:t>Selesai</w:t>
            </w:r>
          </w:p>
        </w:tc>
        <w:tc>
          <w:tcPr>
            <w:tcW w:type="dxa" w:w="4608"/>
            <w:vAlign w:val="center"/>
            <w:tcMar>
              <w:top w:w="80" w:type="dxa"/>
              <w:start w:w="120" w:type="dxa"/>
              <w:bottom w:w="80" w:type="dxa"/>
              <w:end w:w="120" w:type="dxa"/>
            </w:tcMar>
          </w:tcPr>
          <w:p>
            <w:pPr>
              <w:spacing w:after="20"/>
            </w:pPr>
            <w:r>
              <w:rPr>
                <w:rFonts w:ascii="Calibri" w:hAnsi="Calibri"/>
                <w:color w:val="2A2E2B"/>
                <w:sz w:val="16"/>
              </w:rPr>
              <w:t>STT telah terbit dan penilaian dokumentasi telah diselesaikan.</w:t>
            </w:r>
          </w:p>
        </w:tc>
      </w:tr>
      <w:tr>
        <w:trPr>
          <w:cantSplit w:val="true"/>
        </w:trPr>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Dibatalkan</w:t>
            </w:r>
          </w:p>
        </w:tc>
        <w:tc>
          <w:tcPr>
            <w:tcW w:type="dxa" w:w="4608"/>
            <w:shd w:fill="F7FAF8"/>
            <w:vAlign w:val="center"/>
            <w:tcMar>
              <w:top w:w="80" w:type="dxa"/>
              <w:start w:w="120" w:type="dxa"/>
              <w:bottom w:w="80" w:type="dxa"/>
              <w:end w:w="120" w:type="dxa"/>
            </w:tcMar>
          </w:tcPr>
          <w:p>
            <w:pPr>
              <w:spacing w:after="20"/>
            </w:pPr>
            <w:r>
              <w:rPr>
                <w:rFonts w:ascii="Calibri" w:hAnsi="Calibri"/>
                <w:color w:val="2A2E2B"/>
                <w:sz w:val="16"/>
              </w:rPr>
              <w:t>Pengajuan dihentikan dengan alasan dan audit.</w:t>
            </w:r>
          </w:p>
        </w:tc>
      </w:tr>
    </w:tbl>
    <w:p>
      <w:pPr>
        <w:spacing w:after="0"/>
      </w:pPr>
    </w:p>
    <w:p>
      <w:r>
        <w:t>“Tugas Saya” adalah filter kepemilikan tugas berdasarkan verifier_id/assignee_id, bukan status lifecycle.</w:t>
      </w:r>
    </w:p>
    <w:p>
      <w:pPr>
        <w:pStyle w:val="Heading2"/>
      </w:pPr>
      <w:r>
        <w:t>6.2 Transisi minimum</w:t>
      </w:r>
    </w:p>
    <w:tbl>
      <w:tblPr>
        <w:tblStyle w:val="TableGrid"/>
        <w:tblW w:type="dxa" w:w="9360"/>
        <w:jc w:val="center"/>
        <w:tblLayout w:type="fixed"/>
        <w:tblLook w:firstColumn="1" w:firstRow="1" w:lastColumn="0" w:lastRow="0" w:noHBand="0" w:noVBand="1" w:val="04A0"/>
        <w:tblInd w:type="dxa" w:w="120"/>
      </w:tblPr>
      <w:tblGrid>
        <w:gridCol w:w="2232"/>
        <w:gridCol w:w="2448"/>
        <w:gridCol w:w="2520"/>
        <w:gridCol w:w="2160"/>
      </w:tblGrid>
      <w:tr>
        <w:trPr>
          <w:tblHeader w:val="true"/>
          <w:cantSplit w:val="true"/>
        </w:trPr>
        <w:tc>
          <w:tcPr>
            <w:tcW w:type="dxa" w:w="2232"/>
            <w:shd w:fill="0B5E3B"/>
            <w:vAlign w:val="center"/>
            <w:tcMar>
              <w:top w:w="80" w:type="dxa"/>
              <w:start w:w="120" w:type="dxa"/>
              <w:bottom w:w="80" w:type="dxa"/>
              <w:end w:w="120" w:type="dxa"/>
            </w:tcMar>
          </w:tcPr>
          <w:p>
            <w:r>
              <w:rPr>
                <w:b/>
                <w:color w:val="FFFFFF"/>
                <w:sz w:val="16"/>
              </w:rPr>
              <w:t>Dari</w:t>
            </w:r>
          </w:p>
        </w:tc>
        <w:tc>
          <w:tcPr>
            <w:tcW w:type="dxa" w:w="2448"/>
            <w:shd w:fill="0B5E3B"/>
            <w:vAlign w:val="center"/>
            <w:tcMar>
              <w:top w:w="80" w:type="dxa"/>
              <w:start w:w="120" w:type="dxa"/>
              <w:bottom w:w="80" w:type="dxa"/>
              <w:end w:w="120" w:type="dxa"/>
            </w:tcMar>
          </w:tcPr>
          <w:p>
            <w:r>
              <w:rPr>
                <w:b/>
                <w:color w:val="FFFFFF"/>
                <w:sz w:val="16"/>
              </w:rPr>
              <w:t>Aksi</w:t>
            </w:r>
          </w:p>
        </w:tc>
        <w:tc>
          <w:tcPr>
            <w:tcW w:type="dxa" w:w="2520"/>
            <w:shd w:fill="0B5E3B"/>
            <w:vAlign w:val="center"/>
            <w:tcMar>
              <w:top w:w="80" w:type="dxa"/>
              <w:start w:w="120" w:type="dxa"/>
              <w:bottom w:w="80" w:type="dxa"/>
              <w:end w:w="120" w:type="dxa"/>
            </w:tcMar>
          </w:tcPr>
          <w:p>
            <w:r>
              <w:rPr>
                <w:b/>
                <w:color w:val="FFFFFF"/>
                <w:sz w:val="16"/>
              </w:rPr>
              <w:t>Ke</w:t>
            </w:r>
          </w:p>
        </w:tc>
        <w:tc>
          <w:tcPr>
            <w:tcW w:type="dxa" w:w="2160"/>
            <w:shd w:fill="0B5E3B"/>
            <w:vAlign w:val="center"/>
            <w:tcMar>
              <w:top w:w="80" w:type="dxa"/>
              <w:start w:w="120" w:type="dxa"/>
              <w:bottom w:w="80" w:type="dxa"/>
              <w:end w:w="120" w:type="dxa"/>
            </w:tcMar>
          </w:tcPr>
          <w:p>
            <w:r>
              <w:rPr>
                <w:b/>
                <w:color w:val="FFFFFF"/>
                <w:sz w:val="16"/>
              </w:rPr>
              <w:t>Aktor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2448"/>
            <w:vAlign w:val="center"/>
            <w:tcMar>
              <w:top w:w="80" w:type="dxa"/>
              <w:start w:w="120" w:type="dxa"/>
              <w:bottom w:w="80" w:type="dxa"/>
              <w:end w:w="120" w:type="dxa"/>
            </w:tcMar>
          </w:tcPr>
          <w:p>
            <w:pPr>
              <w:spacing w:after="20"/>
            </w:pPr>
            <w:r>
              <w:rPr>
                <w:rFonts w:ascii="Calibri" w:hAnsi="Calibri"/>
                <w:color w:val="2A2E2B"/>
                <w:sz w:val="16"/>
              </w:rPr>
              <w:t>Ajukan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Mulai verifikasi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Minta perbaikan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160"/>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Ajukan kembali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DRAFT</w:t>
            </w:r>
          </w:p>
        </w:tc>
        <w:tc>
          <w:tcPr>
            <w:tcW w:type="dxa" w:w="2448"/>
            <w:vAlign w:val="center"/>
            <w:tcMar>
              <w:top w:w="80" w:type="dxa"/>
              <w:start w:w="120" w:type="dxa"/>
              <w:bottom w:w="80" w:type="dxa"/>
              <w:end w:w="120" w:type="dxa"/>
            </w:tcMar>
          </w:tcPr>
          <w:p>
            <w:pPr>
              <w:spacing w:after="20"/>
            </w:pPr>
            <w:r>
              <w:rPr>
                <w:rFonts w:ascii="Calibri" w:hAnsi="Calibri"/>
                <w:color w:val="2A2E2B"/>
                <w:sz w:val="16"/>
              </w:rPr>
              <w:t>Batalkan draft</w:t>
            </w:r>
          </w:p>
        </w:tc>
        <w:tc>
          <w:tcPr>
            <w:tcW w:type="dxa" w:w="2520"/>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READY_FOR_VERIFICATION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Batalkan sebelum diproses</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REVISION_REQUIRED</w:t>
            </w:r>
          </w:p>
        </w:tc>
        <w:tc>
          <w:tcPr>
            <w:tcW w:type="dxa" w:w="2448"/>
            <w:vAlign w:val="center"/>
            <w:tcMar>
              <w:top w:w="80" w:type="dxa"/>
              <w:start w:w="120" w:type="dxa"/>
              <w:bottom w:w="80" w:type="dxa"/>
              <w:end w:w="120" w:type="dxa"/>
            </w:tcMar>
          </w:tcPr>
          <w:p>
            <w:pPr>
              <w:spacing w:after="20"/>
            </w:pPr>
            <w:r>
              <w:rPr>
                <w:rFonts w:ascii="Calibri" w:hAnsi="Calibri"/>
                <w:color w:val="2A2E2B"/>
                <w:sz w:val="16"/>
              </w:rPr>
              <w:t>Batalkan pengajuan</w:t>
            </w:r>
          </w:p>
        </w:tc>
        <w:tc>
          <w:tcPr>
            <w:tcW w:type="dxa" w:w="2520"/>
            <w:vAlign w:val="center"/>
            <w:tcMar>
              <w:top w:w="80" w:type="dxa"/>
              <w:start w:w="120" w:type="dxa"/>
              <w:bottom w:w="80" w:type="dxa"/>
              <w:end w:w="120" w:type="dxa"/>
            </w:tcMar>
          </w:tcPr>
          <w:p>
            <w:pPr>
              <w:spacing w:after="20"/>
            </w:pPr>
            <w:r>
              <w:rPr>
                <w:rFonts w:ascii="Calibri" w:hAnsi="Calibri"/>
                <w:color w:val="2A2E2B"/>
                <w:sz w:val="16"/>
              </w:rPr>
              <w:t>CANCELLED</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Penerbit/Admin</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Ajukan persetujuan</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WAITING_VERIFICATION_APPROVAL</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Verifikator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WAITING_VERIFICATION_APPROVAL</w:t>
            </w:r>
          </w:p>
        </w:tc>
        <w:tc>
          <w:tcPr>
            <w:tcW w:type="dxa" w:w="2448"/>
            <w:vAlign w:val="center"/>
            <w:tcMar>
              <w:top w:w="80" w:type="dxa"/>
              <w:start w:w="120" w:type="dxa"/>
              <w:bottom w:w="80" w:type="dxa"/>
              <w:end w:w="120" w:type="dxa"/>
            </w:tcMar>
          </w:tcPr>
          <w:p>
            <w:pPr>
              <w:spacing w:after="20"/>
            </w:pPr>
            <w:r>
              <w:rPr>
                <w:rFonts w:ascii="Calibri" w:hAnsi="Calibri"/>
                <w:color w:val="2A2E2B"/>
                <w:sz w:val="16"/>
              </w:rPr>
              <w:t>Kembalikan</w:t>
            </w:r>
          </w:p>
        </w:tc>
        <w:tc>
          <w:tcPr>
            <w:tcW w:type="dxa" w:w="2520"/>
            <w:vAlign w:val="center"/>
            <w:tcMar>
              <w:top w:w="80" w:type="dxa"/>
              <w:start w:w="120" w:type="dxa"/>
              <w:bottom w:w="80" w:type="dxa"/>
              <w:end w:w="120" w:type="dxa"/>
            </w:tcMar>
          </w:tcPr>
          <w:p>
            <w:pPr>
              <w:spacing w:after="20"/>
            </w:pPr>
            <w:r>
              <w:rPr>
                <w:rFonts w:ascii="Calibri" w:hAnsi="Calibri"/>
                <w:color w:val="2A2E2B"/>
                <w:sz w:val="16"/>
              </w:rPr>
              <w:t>IN_VERIFICATION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Kepala LPMQ</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WAITING_VERIFICATION_APPROVAL</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Setujui dan buat billing</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AWAITING_PAYMENT</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Kepala LPMQ/Petugas</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AWAITING_PAYMENT</w:t>
            </w:r>
          </w:p>
        </w:tc>
        <w:tc>
          <w:tcPr>
            <w:tcW w:type="dxa" w:w="2448"/>
            <w:vAlign w:val="center"/>
            <w:tcMar>
              <w:top w:w="80" w:type="dxa"/>
              <w:start w:w="120" w:type="dxa"/>
              <w:bottom w:w="80" w:type="dxa"/>
              <w:end w:w="120" w:type="dxa"/>
            </w:tcMar>
          </w:tcPr>
          <w:p>
            <w:pPr>
              <w:spacing w:after="20"/>
            </w:pPr>
            <w:r>
              <w:rPr>
                <w:rFonts w:ascii="Calibri" w:hAnsi="Calibri"/>
                <w:color w:val="2A2E2B"/>
                <w:sz w:val="16"/>
              </w:rPr>
              <w:t>Unggah/catat pembayaran</w:t>
            </w:r>
          </w:p>
        </w:tc>
        <w:tc>
          <w:tcPr>
            <w:tcW w:type="dxa" w:w="2520"/>
            <w:vAlign w:val="center"/>
            <w:tcMar>
              <w:top w:w="80" w:type="dxa"/>
              <w:start w:w="120" w:type="dxa"/>
              <w:bottom w:w="80" w:type="dxa"/>
              <w:end w:w="120" w:type="dxa"/>
            </w:tcMar>
          </w:tcPr>
          <w:p>
            <w:pPr>
              <w:spacing w:after="20"/>
            </w:pPr>
            <w:r>
              <w:rPr>
                <w:rFonts w:ascii="Calibri" w:hAnsi="Calibri"/>
                <w:color w:val="2A2E2B"/>
                <w:sz w:val="16"/>
              </w:rPr>
              <w:t>PAYMENT_VERIFICATION</w:t>
            </w:r>
          </w:p>
        </w:tc>
        <w:tc>
          <w:tcPr>
            <w:tcW w:type="dxa" w:w="2160"/>
            <w:vAlign w:val="center"/>
            <w:tcMar>
              <w:top w:w="80" w:type="dxa"/>
              <w:start w:w="120" w:type="dxa"/>
              <w:bottom w:w="80" w:type="dxa"/>
              <w:end w:w="120" w:type="dxa"/>
            </w:tcMar>
          </w:tcPr>
          <w:p>
            <w:pPr>
              <w:spacing w:after="20"/>
            </w:pPr>
            <w:r>
              <w:rPr>
                <w:rFonts w:ascii="Calibri" w:hAnsi="Calibri"/>
                <w:color w:val="2A2E2B"/>
                <w:sz w:val="16"/>
              </w:rPr>
              <w:t>Penerbit/Petugas</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PAYMENT_VERIFICATION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Konfirmasi pembayaran</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Petugas pembayaran</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WAITING_DISTRIBUTION</w:t>
            </w:r>
          </w:p>
        </w:tc>
        <w:tc>
          <w:tcPr>
            <w:tcW w:type="dxa" w:w="2448"/>
            <w:vAlign w:val="center"/>
            <w:tcMar>
              <w:top w:w="80" w:type="dxa"/>
              <w:start w:w="120" w:type="dxa"/>
              <w:bottom w:w="80" w:type="dxa"/>
              <w:end w:w="120" w:type="dxa"/>
            </w:tcMar>
          </w:tcPr>
          <w:p>
            <w:pPr>
              <w:spacing w:after="20"/>
            </w:pPr>
            <w:r>
              <w:rPr>
                <w:rFonts w:ascii="Calibri" w:hAnsi="Calibri"/>
                <w:color w:val="2A2E2B"/>
                <w:sz w:val="16"/>
              </w:rPr>
              <w:t>Buat penugasan</w:t>
            </w:r>
          </w:p>
        </w:tc>
        <w:tc>
          <w:tcPr>
            <w:tcW w:type="dxa" w:w="2520"/>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160"/>
            <w:vAlign w:val="center"/>
            <w:tcMar>
              <w:top w:w="80" w:type="dxa"/>
              <w:start w:w="120" w:type="dxa"/>
              <w:bottom w:w="80" w:type="dxa"/>
              <w:end w:w="120" w:type="dxa"/>
            </w:tcMar>
          </w:tcPr>
          <w:p>
            <w:pPr>
              <w:spacing w:after="20"/>
            </w:pPr>
            <w:r>
              <w:rPr>
                <w:rFonts w:ascii="Calibri" w:hAnsi="Calibri"/>
                <w:color w:val="2A2E2B"/>
                <w:sz w:val="16"/>
              </w:rPr>
              <w:t>Distributor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Baca ulang/perbaikan/dumi</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Distributor</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TASHIH_IN_PROGRESS</w:t>
            </w:r>
          </w:p>
        </w:tc>
        <w:tc>
          <w:tcPr>
            <w:tcW w:type="dxa" w:w="2448"/>
            <w:vAlign w:val="center"/>
            <w:tcMar>
              <w:top w:w="80" w:type="dxa"/>
              <w:start w:w="120" w:type="dxa"/>
              <w:bottom w:w="80" w:type="dxa"/>
              <w:end w:w="120" w:type="dxa"/>
            </w:tcMar>
          </w:tcPr>
          <w:p>
            <w:pPr>
              <w:spacing w:after="20"/>
            </w:pPr>
            <w:r>
              <w:rPr>
                <w:rFonts w:ascii="Calibri" w:hAnsi="Calibri"/>
                <w:color w:val="2A2E2B"/>
                <w:sz w:val="16"/>
              </w:rPr>
              <w:t>Rekomendasikan STT</w:t>
            </w:r>
          </w:p>
        </w:tc>
        <w:tc>
          <w:tcPr>
            <w:tcW w:type="dxa" w:w="2520"/>
            <w:vAlign w:val="center"/>
            <w:tcMar>
              <w:top w:w="80" w:type="dxa"/>
              <w:start w:w="120" w:type="dxa"/>
              <w:bottom w:w="80" w:type="dxa"/>
              <w:end w:w="120" w:type="dxa"/>
            </w:tcMar>
          </w:tcPr>
          <w:p>
            <w:pPr>
              <w:spacing w:after="20"/>
            </w:pPr>
            <w:r>
              <w:rPr>
                <w:rFonts w:ascii="Calibri" w:hAnsi="Calibri"/>
                <w:color w:val="2A2E2B"/>
                <w:sz w:val="16"/>
              </w:rPr>
              <w:t>READY_FOR_STT</w:t>
            </w:r>
          </w:p>
        </w:tc>
        <w:tc>
          <w:tcPr>
            <w:tcW w:type="dxa" w:w="2160"/>
            <w:vAlign w:val="center"/>
            <w:tcMar>
              <w:top w:w="80" w:type="dxa"/>
              <w:start w:w="120" w:type="dxa"/>
              <w:bottom w:w="80" w:type="dxa"/>
              <w:end w:w="120" w:type="dxa"/>
            </w:tcMar>
          </w:tcPr>
          <w:p>
            <w:pPr>
              <w:spacing w:after="20"/>
            </w:pPr>
            <w:r>
              <w:rPr>
                <w:rFonts w:ascii="Calibri" w:hAnsi="Calibri"/>
                <w:color w:val="2A2E2B"/>
                <w:sz w:val="16"/>
              </w:rPr>
              <w:t>Distributor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READY_FOR_STT</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Tetapkan dan terbitkan STT</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STT_ISSUED</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Kepala LPMQ</w:t>
            </w:r>
          </w:p>
        </w:tc>
      </w:tr>
      <w:tr>
        <w:trPr>
          <w:cantSplit w:val="true"/>
        </w:trPr>
        <w:tc>
          <w:tcPr>
            <w:tcW w:type="dxa" w:w="2232"/>
            <w:vAlign w:val="center"/>
            <w:tcMar>
              <w:top w:w="80" w:type="dxa"/>
              <w:start w:w="120" w:type="dxa"/>
              <w:bottom w:w="80" w:type="dxa"/>
              <w:end w:w="120" w:type="dxa"/>
            </w:tcMar>
          </w:tcPr>
          <w:p>
            <w:pPr>
              <w:spacing w:after="20"/>
            </w:pPr>
            <w:r>
              <w:rPr>
                <w:rFonts w:ascii="Calibri" w:hAnsi="Calibri"/>
                <w:color w:val="2A2E2B"/>
                <w:sz w:val="16"/>
              </w:rPr>
              <w:t>STT_ISSUED</w:t>
            </w:r>
          </w:p>
        </w:tc>
        <w:tc>
          <w:tcPr>
            <w:tcW w:type="dxa" w:w="2448"/>
            <w:vAlign w:val="center"/>
            <w:tcMar>
              <w:top w:w="80" w:type="dxa"/>
              <w:start w:w="120" w:type="dxa"/>
              <w:bottom w:w="80" w:type="dxa"/>
              <w:end w:w="120" w:type="dxa"/>
            </w:tcMar>
          </w:tcPr>
          <w:p>
            <w:pPr>
              <w:spacing w:after="20"/>
            </w:pPr>
            <w:r>
              <w:rPr>
                <w:rFonts w:ascii="Calibri" w:hAnsi="Calibri"/>
                <w:color w:val="2A2E2B"/>
                <w:sz w:val="16"/>
              </w:rPr>
              <w:t>Mulai dokumentasi</w:t>
            </w:r>
          </w:p>
        </w:tc>
        <w:tc>
          <w:tcPr>
            <w:tcW w:type="dxa" w:w="2520"/>
            <w:vAlign w:val="center"/>
            <w:tcMar>
              <w:top w:w="80" w:type="dxa"/>
              <w:start w:w="120" w:type="dxa"/>
              <w:bottom w:w="80" w:type="dxa"/>
              <w:end w:w="120" w:type="dxa"/>
            </w:tcMar>
          </w:tcPr>
          <w:p>
            <w:pPr>
              <w:spacing w:after="20"/>
            </w:pPr>
            <w:r>
              <w:rPr>
                <w:rFonts w:ascii="Calibri" w:hAnsi="Calibri"/>
                <w:color w:val="2A2E2B"/>
                <w:sz w:val="16"/>
              </w:rPr>
              <w:t>DOCUMENTATION_IN_PROGRESS</w:t>
            </w:r>
          </w:p>
        </w:tc>
        <w:tc>
          <w:tcPr>
            <w:tcW w:type="dxa" w:w="2160"/>
            <w:vAlign w:val="center"/>
            <w:tcMar>
              <w:top w:w="80" w:type="dxa"/>
              <w:start w:w="120" w:type="dxa"/>
              <w:bottom w:w="80" w:type="dxa"/>
              <w:end w:w="120" w:type="dxa"/>
            </w:tcMar>
          </w:tcPr>
          <w:p>
            <w:pPr>
              <w:spacing w:after="20"/>
            </w:pPr>
            <w:r>
              <w:rPr>
                <w:rFonts w:ascii="Calibri" w:hAnsi="Calibri"/>
                <w:color w:val="2A2E2B"/>
                <w:sz w:val="16"/>
              </w:rPr>
              <w:t>Dokumentator</w:t>
            </w:r>
          </w:p>
        </w:tc>
      </w:tr>
      <w:tr>
        <w:trPr>
          <w:cantSplit w:val="true"/>
        </w:trPr>
        <w:tc>
          <w:tcPr>
            <w:tcW w:type="dxa" w:w="2232"/>
            <w:shd w:fill="F7FAF8"/>
            <w:vAlign w:val="center"/>
            <w:tcMar>
              <w:top w:w="80" w:type="dxa"/>
              <w:start w:w="120" w:type="dxa"/>
              <w:bottom w:w="80" w:type="dxa"/>
              <w:end w:w="120" w:type="dxa"/>
            </w:tcMar>
          </w:tcPr>
          <w:p>
            <w:pPr>
              <w:spacing w:after="20"/>
            </w:pPr>
            <w:r>
              <w:rPr>
                <w:rFonts w:ascii="Calibri" w:hAnsi="Calibri"/>
                <w:color w:val="2A2E2B"/>
                <w:sz w:val="16"/>
              </w:rPr>
              <w:t>DOCUMENTATION_IN_PROGRESS</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Selesaikan penilaian</w:t>
            </w:r>
          </w:p>
        </w:tc>
        <w:tc>
          <w:tcPr>
            <w:tcW w:type="dxa" w:w="2520"/>
            <w:shd w:fill="F7FAF8"/>
            <w:vAlign w:val="center"/>
            <w:tcMar>
              <w:top w:w="80" w:type="dxa"/>
              <w:start w:w="120" w:type="dxa"/>
              <w:bottom w:w="80" w:type="dxa"/>
              <w:end w:w="120" w:type="dxa"/>
            </w:tcMar>
          </w:tcPr>
          <w:p>
            <w:pPr>
              <w:spacing w:after="20"/>
            </w:pPr>
            <w:r>
              <w:rPr>
                <w:rFonts w:ascii="Calibri" w:hAnsi="Calibri"/>
                <w:color w:val="2A2E2B"/>
                <w:sz w:val="16"/>
              </w:rPr>
              <w:t>COMPLETED</w:t>
            </w:r>
          </w:p>
        </w:tc>
        <w:tc>
          <w:tcPr>
            <w:tcW w:type="dxa" w:w="2160"/>
            <w:shd w:fill="F7FAF8"/>
            <w:vAlign w:val="center"/>
            <w:tcMar>
              <w:top w:w="80" w:type="dxa"/>
              <w:start w:w="120" w:type="dxa"/>
              <w:bottom w:w="80" w:type="dxa"/>
              <w:end w:w="120" w:type="dxa"/>
            </w:tcMar>
          </w:tcPr>
          <w:p>
            <w:pPr>
              <w:spacing w:after="20"/>
            </w:pPr>
            <w:r>
              <w:rPr>
                <w:rFonts w:ascii="Calibri" w:hAnsi="Calibri"/>
                <w:color w:val="2A2E2B"/>
                <w:sz w:val="16"/>
              </w:rPr>
              <w:t>Dokumentator</w:t>
            </w:r>
          </w:p>
        </w:tc>
      </w:tr>
    </w:tbl>
    <w:p>
      <w:pPr>
        <w:spacing w:after="0"/>
      </w:pPr>
    </w:p>
    <w:p>
      <w:pPr>
        <w:pStyle w:val="Heading1"/>
      </w:pPr>
      <w:r>
        <w:t>7. Aturan Bisnis</w:t>
      </w:r>
    </w:p>
    <w:tbl>
      <w:tblPr>
        <w:tblStyle w:val="TableGrid"/>
        <w:tblW w:type="dxa" w:w="9360"/>
        <w:jc w:val="center"/>
        <w:tblLayout w:type="fixed"/>
        <w:tblLook w:firstColumn="1" w:firstRow="1" w:lastColumn="0" w:lastRow="0" w:noHBand="0" w:noVBand="1" w:val="04A0"/>
        <w:tblInd w:type="dxa" w:w="120"/>
      </w:tblPr>
      <w:tblGrid>
        <w:gridCol w:w="1440"/>
        <w:gridCol w:w="7920"/>
      </w:tblGrid>
      <w:tr>
        <w:trPr>
          <w:tblHeader w:val="true"/>
          <w:cantSplit w:val="true"/>
        </w:trPr>
        <w:tc>
          <w:tcPr>
            <w:tcW w:type="dxa" w:w="1440"/>
            <w:shd w:fill="0B5E3B"/>
            <w:vAlign w:val="center"/>
            <w:tcMar>
              <w:top w:w="80" w:type="dxa"/>
              <w:start w:w="120" w:type="dxa"/>
              <w:bottom w:w="80" w:type="dxa"/>
              <w:end w:w="120" w:type="dxa"/>
            </w:tcMar>
          </w:tcPr>
          <w:p>
            <w:r>
              <w:rPr>
                <w:b/>
                <w:color w:val="FFFFFF"/>
                <w:sz w:val="17"/>
              </w:rPr>
              <w:t>ID</w:t>
            </w:r>
          </w:p>
        </w:tc>
        <w:tc>
          <w:tcPr>
            <w:tcW w:type="dxa" w:w="7920"/>
            <w:shd w:fill="0B5E3B"/>
            <w:vAlign w:val="center"/>
            <w:tcMar>
              <w:top w:w="80" w:type="dxa"/>
              <w:start w:w="120" w:type="dxa"/>
              <w:bottom w:w="80" w:type="dxa"/>
              <w:end w:w="120" w:type="dxa"/>
            </w:tcMar>
          </w:tcPr>
          <w:p>
            <w:r>
              <w:rPr>
                <w:b/>
                <w:color w:val="FFFFFF"/>
                <w:sz w:val="17"/>
              </w:rPr>
              <w:t>Aturan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BR-01</w:t>
            </w:r>
          </w:p>
        </w:tc>
        <w:tc>
          <w:tcPr>
            <w:tcW w:type="dxa" w:w="7920"/>
            <w:vAlign w:val="center"/>
            <w:tcMar>
              <w:top w:w="80" w:type="dxa"/>
              <w:start w:w="120" w:type="dxa"/>
              <w:bottom w:w="80" w:type="dxa"/>
              <w:end w:w="120" w:type="dxa"/>
            </w:tcMar>
          </w:tcPr>
          <w:p>
            <w:pPr>
              <w:spacing w:after="20"/>
            </w:pPr>
            <w:r>
              <w:rPr>
                <w:rFonts w:ascii="Calibri" w:hAnsi="Calibri"/>
                <w:color w:val="2A2E2B"/>
                <w:sz w:val="17"/>
              </w:rPr>
              <w:t>Setiap pengajuan terkait satu penerbit dan satu jenis layanan utama.</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Admin dapat membuat pengajuan atas nama penerbit; sumber pengajuan tidak boleh diubah setelah submit.</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BR-03</w:t>
            </w:r>
          </w:p>
        </w:tc>
        <w:tc>
          <w:tcPr>
            <w:tcW w:type="dxa" w:w="7920"/>
            <w:vAlign w:val="center"/>
            <w:tcMar>
              <w:top w:w="80" w:type="dxa"/>
              <w:start w:w="120" w:type="dxa"/>
              <w:bottom w:w="80" w:type="dxa"/>
              <w:end w:w="120" w:type="dxa"/>
            </w:tcMar>
          </w:tcPr>
          <w:p>
            <w:pPr>
              <w:spacing w:after="20"/>
            </w:pPr>
            <w:r>
              <w:rPr>
                <w:rFonts w:ascii="Calibri" w:hAnsi="Calibri"/>
                <w:color w:val="2A2E2B"/>
                <w:sz w:val="17"/>
              </w:rPr>
              <w:t>Cover dan halaman Al-Qur’an 1–5 wajib tersedia sebelum submit, kecuali ada override berizin dan beralasan.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BR-04</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Penerimaan master fisik dicatat dengan tanggal, petugas, dan nomor surat/tanda terima; ketentuannya berlaku sesuai SOP layanan.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BR-05</w:t>
            </w:r>
          </w:p>
        </w:tc>
        <w:tc>
          <w:tcPr>
            <w:tcW w:type="dxa" w:w="7920"/>
            <w:vAlign w:val="center"/>
            <w:tcMar>
              <w:top w:w="80" w:type="dxa"/>
              <w:start w:w="120" w:type="dxa"/>
              <w:bottom w:w="80" w:type="dxa"/>
              <w:end w:w="120" w:type="dxa"/>
            </w:tcMar>
          </w:tcPr>
          <w:p>
            <w:pPr>
              <w:spacing w:after="20"/>
            </w:pPr>
            <w:r>
              <w:rPr>
                <w:rFonts w:ascii="Calibri" w:hAnsi="Calibri"/>
                <w:color w:val="2A2E2B"/>
                <w:sz w:val="17"/>
              </w:rPr>
              <w:t>Master yang sudah direferensikan transaksi tidak boleh hard delete.</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BR-06</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Tarif dan SLA transaksi memakai snapshot dari versi master yang berlaku saat finalisasi.</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BR-07</w:t>
            </w:r>
          </w:p>
        </w:tc>
        <w:tc>
          <w:tcPr>
            <w:tcW w:type="dxa" w:w="7920"/>
            <w:vAlign w:val="center"/>
            <w:tcMar>
              <w:top w:w="80" w:type="dxa"/>
              <w:start w:w="120" w:type="dxa"/>
              <w:bottom w:w="80" w:type="dxa"/>
              <w:end w:w="120" w:type="dxa"/>
            </w:tcMar>
          </w:tcPr>
          <w:p>
            <w:pPr>
              <w:spacing w:after="20"/>
            </w:pPr>
            <w:r>
              <w:rPr>
                <w:rFonts w:ascii="Calibri" w:hAnsi="Calibri"/>
                <w:color w:val="2A2E2B"/>
                <w:sz w:val="17"/>
              </w:rPr>
              <w:t>SLA adalah alat cross-check dan pelaporan; keterlambatan tidak boleh memblokir transisi bisnis.</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BR-08</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Hanya satu billing aktif untuk satu pengajuan pada satu waktu.</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BR-09</w:t>
            </w:r>
          </w:p>
        </w:tc>
        <w:tc>
          <w:tcPr>
            <w:tcW w:type="dxa" w:w="7920"/>
            <w:vAlign w:val="center"/>
            <w:tcMar>
              <w:top w:w="80" w:type="dxa"/>
              <w:start w:w="120" w:type="dxa"/>
              <w:bottom w:w="80" w:type="dxa"/>
              <w:end w:w="120" w:type="dxa"/>
            </w:tcMar>
          </w:tcPr>
          <w:p>
            <w:pPr>
              <w:spacing w:after="20"/>
            </w:pPr>
            <w:r>
              <w:rPr>
                <w:rFonts w:ascii="Calibri" w:hAnsi="Calibri"/>
                <w:color w:val="2A2E2B"/>
                <w:sz w:val="17"/>
              </w:rPr>
              <w:t>Distribusi/pentashihan baru diproses setelah pembayaran dikonfirmasi.</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BR-10</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Tim penugasan dipilih dari SK aktif; logika bisnis tidak mengenal ketua kelompok.</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BR-11</w:t>
            </w:r>
          </w:p>
        </w:tc>
        <w:tc>
          <w:tcPr>
            <w:tcW w:type="dxa" w:w="7920"/>
            <w:vAlign w:val="center"/>
            <w:tcMar>
              <w:top w:w="80" w:type="dxa"/>
              <w:start w:w="120" w:type="dxa"/>
              <w:bottom w:w="80" w:type="dxa"/>
              <w:end w:w="120" w:type="dxa"/>
            </w:tcMar>
          </w:tcPr>
          <w:p>
            <w:pPr>
              <w:spacing w:after="20"/>
            </w:pPr>
            <w:r>
              <w:rPr>
                <w:rFonts w:ascii="Calibri" w:hAnsi="Calibri"/>
                <w:color w:val="2A2E2B"/>
                <w:sz w:val="17"/>
              </w:rPr>
              <w:t>Tahap perbaikan/dumi dapat berulang; iteration meningkat dan tidak boleh diturunkan.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Distributor mereviu rekomendasi pentashih/pembaca naskah dan menentukan tindak lanjut.</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BR-13</w:t>
            </w:r>
          </w:p>
        </w:tc>
        <w:tc>
          <w:tcPr>
            <w:tcW w:type="dxa" w:w="7920"/>
            <w:vAlign w:val="center"/>
            <w:tcMar>
              <w:top w:w="80" w:type="dxa"/>
              <w:start w:w="120" w:type="dxa"/>
              <w:bottom w:w="80" w:type="dxa"/>
              <w:end w:w="120" w:type="dxa"/>
            </w:tcMar>
          </w:tcPr>
          <w:p>
            <w:pPr>
              <w:spacing w:after="20"/>
            </w:pPr>
            <w:r>
              <w:rPr>
                <w:rFonts w:ascii="Calibri" w:hAnsi="Calibri"/>
                <w:color w:val="2A2E2B"/>
                <w:sz w:val="17"/>
              </w:rPr>
              <w:t>Satu versi dokumen resmi berstatus aktif; versi sebelumnya tetap tersedia sebagai riwayat.</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BR-14</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Surat Tanda Tashih ditetapkan oleh Kepala LPMQ setelah hasil tashih direkomendasikan untuk diterbitkan.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BR-15</w:t>
            </w:r>
          </w:p>
        </w:tc>
        <w:tc>
          <w:tcPr>
            <w:tcW w:type="dxa" w:w="7920"/>
            <w:vAlign w:val="center"/>
            <w:tcMar>
              <w:top w:w="80" w:type="dxa"/>
              <w:start w:w="120" w:type="dxa"/>
              <w:bottom w:w="80" w:type="dxa"/>
              <w:end w:w="120" w:type="dxa"/>
            </w:tcMar>
          </w:tcPr>
          <w:p>
            <w:pPr>
              <w:spacing w:after="20"/>
            </w:pPr>
            <w:r>
              <w:rPr>
                <w:rFonts w:ascii="Calibri" w:hAnsi="Calibri"/>
                <w:color w:val="2A2E2B"/>
                <w:sz w:val="17"/>
              </w:rPr>
              <w:t>Seluruh kategori menjalani dokumentasi; target lima eksemplar dicatat sebagai kepatuhan regulasi dan penilaian kinerja, bukan syarat penghambat.</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BR-16</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Layanan tanpa eksemplar fisik diberi status Tidak Berlaku pada item tersebut.</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BR-17</w:t>
            </w:r>
          </w:p>
        </w:tc>
        <w:tc>
          <w:tcPr>
            <w:tcW w:type="dxa" w:w="7920"/>
            <w:vAlign w:val="center"/>
            <w:tcMar>
              <w:top w:w="80" w:type="dxa"/>
              <w:start w:w="120" w:type="dxa"/>
              <w:bottom w:w="80" w:type="dxa"/>
              <w:end w:w="120" w:type="dxa"/>
            </w:tcMar>
          </w:tcPr>
          <w:p>
            <w:pPr>
              <w:spacing w:after="20"/>
            </w:pPr>
            <w:r>
              <w:rPr>
                <w:rFonts w:ascii="Calibri" w:hAnsi="Calibri"/>
                <w:color w:val="2A2E2B"/>
                <w:sz w:val="17"/>
              </w:rPr>
              <w:t>Pengajuan selesai setelah STT terbit dan penilaian dokumentasi selesai, walaupun jumlah eksemplar aktual kurang dari lima.</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BR-18</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Setiap perubahan state, master, pembayaran, file, penugasan, dan dokumen resmi dicatat pada audit log.</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BR-19</w:t>
            </w:r>
          </w:p>
        </w:tc>
        <w:tc>
          <w:tcPr>
            <w:tcW w:type="dxa" w:w="7920"/>
            <w:vAlign w:val="center"/>
            <w:tcMar>
              <w:top w:w="80" w:type="dxa"/>
              <w:start w:w="120" w:type="dxa"/>
              <w:bottom w:w="80" w:type="dxa"/>
              <w:end w:w="120" w:type="dxa"/>
            </w:tcMar>
          </w:tcPr>
          <w:p>
            <w:pPr>
              <w:spacing w:after="20"/>
            </w:pPr>
            <w:r>
              <w:rPr>
                <w:rFonts w:ascii="Calibri" w:hAnsi="Calibri"/>
                <w:color w:val="2A2E2B"/>
                <w:sz w:val="17"/>
              </w:rPr>
              <w:t>Informasi verifikasi QR publik dibatasi pada data yang disetujui kebijakan LPMQ.</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BR-20</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Surat Tanda Tashih berlaku dua tahun dan dapat diperpanjang; perubahan materi/desain mengharuskan proses baru.</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BR-21</w:t>
            </w:r>
          </w:p>
        </w:tc>
        <w:tc>
          <w:tcPr>
            <w:tcW w:type="dxa" w:w="7920"/>
            <w:vAlign w:val="center"/>
            <w:tcMar>
              <w:top w:w="80" w:type="dxa"/>
              <w:start w:w="120" w:type="dxa"/>
              <w:bottom w:w="80" w:type="dxa"/>
              <w:end w:w="120" w:type="dxa"/>
            </w:tcMar>
          </w:tcPr>
          <w:p>
            <w:pPr>
              <w:spacing w:after="20"/>
            </w:pPr>
            <w:r>
              <w:rPr>
                <w:rFonts w:ascii="Calibri" w:hAnsi="Calibri"/>
                <w:color w:val="2A2E2B"/>
                <w:sz w:val="17"/>
              </w:rPr>
              <w:t>Pengajuan perpanjangan menyimpan referensi dokumen/pengajuan sebelumnya dan menggunakan SLA dumi/perpanjangan untuk pelaporan.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BR-22</w:t>
            </w:r>
          </w:p>
        </w:tc>
        <w:tc>
          <w:tcPr>
            <w:tcW w:type="dxa" w:w="7920"/>
            <w:shd w:fill="F7FAF8"/>
            <w:vAlign w:val="center"/>
            <w:tcMar>
              <w:top w:w="80" w:type="dxa"/>
              <w:start w:w="120" w:type="dxa"/>
              <w:bottom w:w="80" w:type="dxa"/>
              <w:end w:w="120" w:type="dxa"/>
            </w:tcMar>
          </w:tcPr>
          <w:p>
            <w:pPr>
              <w:spacing w:after="20"/>
            </w:pPr>
            <w:r>
              <w:rPr>
                <w:rFonts w:ascii="Calibri" w:hAnsi="Calibri"/>
                <w:color w:val="2A2E2B"/>
                <w:sz w:val="17"/>
              </w:rPr>
              <w:t>Pembatalan setelah billing atau pembayaran hanya dapat dilakukan setelah kebijakan PNBP disahkan.</w:t>
            </w:r>
          </w:p>
        </w:tc>
      </w:tr>
    </w:tbl>
    <w:p>
      <w:pPr>
        <w:spacing w:after="0"/>
      </w:pPr>
    </w:p>
    <w:p>
      <w:pPr>
        <w:pStyle w:val="Heading1"/>
      </w:pPr>
      <w:r>
        <w:t>8. Model Data</w:t>
      </w:r>
    </w:p>
    <w:p>
      <w:r>
        <w:t>Model data logis MVP ditampilkan pada ERD berikut. Detail atribut dapat disesuaikan pada physical data model tanpa mengubah relasi dan aturan domain yang telah disepakati.</w:t>
      </w:r>
    </w:p>
    <w:p>
      <w:r>
        <w:drawing>
          <wp:inline xmlns:a="http://schemas.openxmlformats.org/drawingml/2006/main" xmlns:pic="http://schemas.openxmlformats.org/drawingml/2006/picture">
            <wp:extent cx="5943600" cy="5448300"/>
            <wp:docPr id="1" name="Picture 1"/>
            <wp:cNvGraphicFramePr>
              <a:graphicFrameLocks noChangeAspect="1"/>
            </wp:cNvGraphicFramePr>
            <a:graphic>
              <a:graphicData uri="http://schemas.openxmlformats.org/drawingml/2006/picture">
                <pic:pic>
                  <pic:nvPicPr>
                    <pic:cNvPr id="0" name="ERD_Sistem_Pentashihan_LPMQ_v2.2.png"/>
                    <pic:cNvPicPr/>
                  </pic:nvPicPr>
                  <pic:blipFill>
                    <a:blip r:embed="rId11"/>
                    <a:stretch>
                      <a:fillRect/>
                    </a:stretch>
                  </pic:blipFill>
                  <pic:spPr>
                    <a:xfrm>
                      <a:off x="0" y="0"/>
                      <a:ext cx="5943600" cy="5448300"/>
                    </a:xfrm>
                    <a:prstGeom prst="rect"/>
                  </pic:spPr>
                </pic:pic>
              </a:graphicData>
            </a:graphic>
          </wp:inline>
        </w:drawing>
      </w:r>
    </w:p>
    <w:p>
      <w:pPr>
        <w:jc w:val="center"/>
      </w:pPr>
      <w:r>
        <w:rPr>
          <w:i/>
          <w:color w:val="5B615C"/>
          <w:sz w:val="16"/>
        </w:rPr>
        <w:t>Gambar 1. ERD Sistem Manajemen Layanan Pentashihan LPMQ v2.2</w:t>
      </w:r>
    </w:p>
    <w:p>
      <w:pPr>
        <w:pStyle w:val="Heading1"/>
      </w:pPr>
      <w:r>
        <w:t>9. Master Data Sementara</w:t>
      </w:r>
    </w:p>
    <w:p>
      <w:pPr>
        <w:pStyle w:val="Heading2"/>
      </w:pPr>
      <w:r>
        <w:t>9.1 Kategori mushaf</w:t>
      </w:r>
    </w:p>
    <w:tbl>
      <w:tblPr>
        <w:tblStyle w:val="TableGrid"/>
        <w:tblW w:type="dxa" w:w="9360"/>
        <w:jc w:val="center"/>
        <w:tblLayout w:type="fixed"/>
        <w:tblLook w:firstColumn="1" w:firstRow="1" w:lastColumn="0" w:lastRow="0" w:noHBand="0" w:noVBand="1" w:val="04A0"/>
        <w:tblInd w:type="dxa" w:w="120"/>
      </w:tblPr>
      <w:tblGrid>
        <w:gridCol w:w="1440"/>
        <w:gridCol w:w="5904"/>
        <w:gridCol w:w="2016"/>
      </w:tblGrid>
      <w:tr>
        <w:trPr>
          <w:tblHeader w:val="true"/>
          <w:cantSplit w:val="true"/>
        </w:trPr>
        <w:tc>
          <w:tcPr>
            <w:tcW w:type="dxa" w:w="1440"/>
            <w:shd w:fill="0B5E3B"/>
            <w:vAlign w:val="center"/>
            <w:tcMar>
              <w:top w:w="80" w:type="dxa"/>
              <w:start w:w="120" w:type="dxa"/>
              <w:bottom w:w="80" w:type="dxa"/>
              <w:end w:w="120" w:type="dxa"/>
            </w:tcMar>
          </w:tcPr>
          <w:p>
            <w:r>
              <w:rPr>
                <w:b/>
                <w:color w:val="FFFFFF"/>
                <w:sz w:val="17"/>
              </w:rPr>
              <w:t>Kode</w:t>
            </w:r>
          </w:p>
        </w:tc>
        <w:tc>
          <w:tcPr>
            <w:tcW w:type="dxa" w:w="5904"/>
            <w:shd w:fill="0B5E3B"/>
            <w:vAlign w:val="center"/>
            <w:tcMar>
              <w:top w:w="80" w:type="dxa"/>
              <w:start w:w="120" w:type="dxa"/>
              <w:bottom w:w="80" w:type="dxa"/>
              <w:end w:w="120" w:type="dxa"/>
            </w:tcMar>
          </w:tcPr>
          <w:p>
            <w:r>
              <w:rPr>
                <w:b/>
                <w:color w:val="FFFFFF"/>
                <w:sz w:val="17"/>
              </w:rPr>
              <w:t>Nama</w:t>
            </w:r>
          </w:p>
        </w:tc>
        <w:tc>
          <w:tcPr>
            <w:tcW w:type="dxa" w:w="2016"/>
            <w:shd w:fill="0B5E3B"/>
            <w:vAlign w:val="center"/>
            <w:tcMar>
              <w:top w:w="80" w:type="dxa"/>
              <w:start w:w="120" w:type="dxa"/>
              <w:bottom w:w="80" w:type="dxa"/>
              <w:end w:w="120" w:type="dxa"/>
            </w:tcMar>
          </w:tcPr>
          <w:p>
            <w:r>
              <w:rPr>
                <w:b/>
                <w:color w:val="FFFFFF"/>
                <w:sz w:val="17"/>
              </w:rPr>
              <w:t>Status awal</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MC</w:t>
            </w:r>
          </w:p>
        </w:tc>
        <w:tc>
          <w:tcPr>
            <w:tcW w:type="dxa" w:w="5904"/>
            <w:vAlign w:val="center"/>
            <w:tcMar>
              <w:top w:w="80" w:type="dxa"/>
              <w:start w:w="120" w:type="dxa"/>
              <w:bottom w:w="80" w:type="dxa"/>
              <w:end w:w="120" w:type="dxa"/>
            </w:tcMar>
          </w:tcPr>
          <w:p>
            <w:pPr>
              <w:spacing w:after="20"/>
            </w:pPr>
            <w:r>
              <w:rPr>
                <w:rFonts w:ascii="Calibri" w:hAnsi="Calibri"/>
                <w:color w:val="2A2E2B"/>
                <w:sz w:val="17"/>
              </w:rPr>
              <w:t>Mushaf Cetak</w:t>
            </w:r>
          </w:p>
        </w:tc>
        <w:tc>
          <w:tcPr>
            <w:tcW w:type="dxa" w:w="2016"/>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MD</w:t>
            </w:r>
          </w:p>
        </w:tc>
        <w:tc>
          <w:tcPr>
            <w:tcW w:type="dxa" w:w="5904"/>
            <w:shd w:fill="F7FAF8"/>
            <w:vAlign w:val="center"/>
            <w:tcMar>
              <w:top w:w="80" w:type="dxa"/>
              <w:start w:w="120" w:type="dxa"/>
              <w:bottom w:w="80" w:type="dxa"/>
              <w:end w:w="120" w:type="dxa"/>
            </w:tcMar>
          </w:tcPr>
          <w:p>
            <w:pPr>
              <w:spacing w:after="20"/>
            </w:pPr>
            <w:r>
              <w:rPr>
                <w:rFonts w:ascii="Calibri" w:hAnsi="Calibri"/>
                <w:color w:val="2A2E2B"/>
                <w:sz w:val="17"/>
              </w:rPr>
              <w:t>Mushaf Digital</w:t>
            </w:r>
          </w:p>
        </w:tc>
        <w:tc>
          <w:tcPr>
            <w:tcW w:type="dxa" w:w="2016"/>
            <w:shd w:fill="F7FAF8"/>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7"/>
              </w:rPr>
              <w:t>MAV</w:t>
            </w:r>
          </w:p>
        </w:tc>
        <w:tc>
          <w:tcPr>
            <w:tcW w:type="dxa" w:w="5904"/>
            <w:vAlign w:val="center"/>
            <w:tcMar>
              <w:top w:w="80" w:type="dxa"/>
              <w:start w:w="120" w:type="dxa"/>
              <w:bottom w:w="80" w:type="dxa"/>
              <w:end w:w="120" w:type="dxa"/>
            </w:tcMar>
          </w:tcPr>
          <w:p>
            <w:pPr>
              <w:spacing w:after="20"/>
            </w:pPr>
            <w:r>
              <w:rPr>
                <w:rFonts w:ascii="Calibri" w:hAnsi="Calibri"/>
                <w:color w:val="2A2E2B"/>
                <w:sz w:val="17"/>
              </w:rPr>
              <w:t>Mushaf Audio/Visual</w:t>
            </w:r>
          </w:p>
        </w:tc>
        <w:tc>
          <w:tcPr>
            <w:tcW w:type="dxa" w:w="2016"/>
            <w:vAlign w:val="center"/>
            <w:tcMar>
              <w:top w:w="80" w:type="dxa"/>
              <w:start w:w="120" w:type="dxa"/>
              <w:bottom w:w="80" w:type="dxa"/>
              <w:end w:w="120" w:type="dxa"/>
            </w:tcMar>
          </w:tcPr>
          <w:p>
            <w:pPr>
              <w:spacing w:after="20"/>
            </w:pPr>
            <w:r>
              <w:rPr>
                <w:rFonts w:ascii="Calibri" w:hAnsi="Calibri"/>
                <w:color w:val="2A2E2B"/>
                <w:sz w:val="17"/>
              </w:rPr>
              <w:t>Aktif</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7"/>
              </w:rPr>
              <w:t>L</w:t>
            </w:r>
          </w:p>
        </w:tc>
        <w:tc>
          <w:tcPr>
            <w:tcW w:type="dxa" w:w="5904"/>
            <w:shd w:fill="F7FAF8"/>
            <w:vAlign w:val="center"/>
            <w:tcMar>
              <w:top w:w="80" w:type="dxa"/>
              <w:start w:w="120" w:type="dxa"/>
              <w:bottom w:w="80" w:type="dxa"/>
              <w:end w:w="120" w:type="dxa"/>
            </w:tcMar>
          </w:tcPr>
          <w:p>
            <w:pPr>
              <w:spacing w:after="20"/>
            </w:pPr>
            <w:r>
              <w:rPr>
                <w:rFonts w:ascii="Calibri" w:hAnsi="Calibri"/>
                <w:color w:val="2A2E2B"/>
                <w:sz w:val="17"/>
              </w:rPr>
              <w:t>Lainnya</w:t>
            </w:r>
          </w:p>
        </w:tc>
        <w:tc>
          <w:tcPr>
            <w:tcW w:type="dxa" w:w="2016"/>
            <w:shd w:fill="F7FAF8"/>
            <w:vAlign w:val="center"/>
            <w:tcMar>
              <w:top w:w="80" w:type="dxa"/>
              <w:start w:w="120" w:type="dxa"/>
              <w:bottom w:w="80" w:type="dxa"/>
              <w:end w:w="120" w:type="dxa"/>
            </w:tcMar>
          </w:tcPr>
          <w:p>
            <w:pPr>
              <w:spacing w:after="20"/>
            </w:pPr>
            <w:r>
              <w:rPr>
                <w:rFonts w:ascii="Calibri" w:hAnsi="Calibri"/>
                <w:color w:val="2A2E2B"/>
                <w:sz w:val="17"/>
              </w:rPr>
              <w:t>Aktif</w:t>
            </w:r>
          </w:p>
        </w:tc>
      </w:tr>
    </w:tbl>
    <w:p>
      <w:pPr>
        <w:spacing w:after="0"/>
      </w:pPr>
    </w:p>
    <w:p>
      <w:pPr>
        <w:pStyle w:val="Heading2"/>
      </w:pPr>
      <w:r>
        <w:t>9.2 Jenis layanan dan SLA resmi</w:t>
      </w:r>
    </w:p>
    <w:tbl>
      <w:tblPr>
        <w:tblStyle w:val="TableGrid"/>
        <w:tblW w:type="dxa" w:w="9360"/>
        <w:jc w:val="center"/>
        <w:tblLayout w:type="fixed"/>
        <w:tblLook w:firstColumn="1" w:firstRow="1" w:lastColumn="0" w:lastRow="0" w:noHBand="0" w:noVBand="1" w:val="04A0"/>
        <w:tblInd w:type="dxa" w:w="120"/>
      </w:tblPr>
      <w:tblGrid>
        <w:gridCol w:w="4968"/>
        <w:gridCol w:w="1224"/>
        <w:gridCol w:w="1512"/>
        <w:gridCol w:w="1656"/>
      </w:tblGrid>
      <w:tr>
        <w:trPr>
          <w:tblHeader w:val="true"/>
          <w:cantSplit w:val="true"/>
        </w:trPr>
        <w:tc>
          <w:tcPr>
            <w:tcW w:type="dxa" w:w="4968"/>
            <w:shd w:fill="0B5E3B"/>
            <w:vAlign w:val="center"/>
            <w:tcMar>
              <w:top w:w="80" w:type="dxa"/>
              <w:start w:w="120" w:type="dxa"/>
              <w:bottom w:w="80" w:type="dxa"/>
              <w:end w:w="120" w:type="dxa"/>
            </w:tcMar>
          </w:tcPr>
          <w:p>
            <w:r>
              <w:rPr>
                <w:b/>
                <w:color w:val="FFFFFF"/>
                <w:sz w:val="15"/>
              </w:rPr>
              <w:t>Jenis naskah</w:t>
            </w:r>
          </w:p>
        </w:tc>
        <w:tc>
          <w:tcPr>
            <w:tcW w:type="dxa" w:w="1224"/>
            <w:shd w:fill="0B5E3B"/>
            <w:vAlign w:val="center"/>
            <w:tcMar>
              <w:top w:w="80" w:type="dxa"/>
              <w:start w:w="120" w:type="dxa"/>
              <w:bottom w:w="80" w:type="dxa"/>
              <w:end w:w="120" w:type="dxa"/>
            </w:tcMar>
          </w:tcPr>
          <w:p>
            <w:r>
              <w:rPr>
                <w:b/>
                <w:color w:val="FFFFFF"/>
                <w:sz w:val="15"/>
              </w:rPr>
              <w:t>Awal (HK)</w:t>
            </w:r>
          </w:p>
        </w:tc>
        <w:tc>
          <w:tcPr>
            <w:tcW w:type="dxa" w:w="1512"/>
            <w:shd w:fill="0B5E3B"/>
            <w:vAlign w:val="center"/>
            <w:tcMar>
              <w:top w:w="80" w:type="dxa"/>
              <w:start w:w="120" w:type="dxa"/>
              <w:bottom w:w="80" w:type="dxa"/>
              <w:end w:w="120" w:type="dxa"/>
            </w:tcMar>
          </w:tcPr>
          <w:p>
            <w:r>
              <w:rPr>
                <w:b/>
                <w:color w:val="FFFFFF"/>
                <w:sz w:val="15"/>
              </w:rPr>
              <w:t>Perbaikan (HK)</w:t>
            </w:r>
          </w:p>
        </w:tc>
        <w:tc>
          <w:tcPr>
            <w:tcW w:type="dxa" w:w="1656"/>
            <w:shd w:fill="0B5E3B"/>
            <w:vAlign w:val="center"/>
            <w:tcMar>
              <w:top w:w="80" w:type="dxa"/>
              <w:start w:w="120" w:type="dxa"/>
              <w:bottom w:w="80" w:type="dxa"/>
              <w:end w:w="120" w:type="dxa"/>
            </w:tcMar>
          </w:tcPr>
          <w:p>
            <w:r>
              <w:rPr>
                <w:b/>
                <w:color w:val="FFFFFF"/>
                <w:sz w:val="15"/>
              </w:rPr>
              <w:t>Dumi/Perpanjangan (HK)</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30 Juz</w:t>
            </w:r>
          </w:p>
        </w:tc>
        <w:tc>
          <w:tcPr>
            <w:tcW w:type="dxa" w:w="1224"/>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dan Terjemahnya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Tajwid Warna/Kode Tajwid</w:t>
            </w:r>
          </w:p>
        </w:tc>
        <w:tc>
          <w:tcPr>
            <w:tcW w:type="dxa" w:w="1224"/>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Waqaf Ibtida’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Qiraat</w:t>
            </w:r>
          </w:p>
        </w:tc>
        <w:tc>
          <w:tcPr>
            <w:tcW w:type="dxa" w:w="1224"/>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Transliterasi</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12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Al-Qur’an Audio/Visual</w:t>
            </w:r>
          </w:p>
        </w:tc>
        <w:tc>
          <w:tcPr>
            <w:tcW w:type="dxa" w:w="1224"/>
            <w:vAlign w:val="center"/>
            <w:tcMar>
              <w:top w:w="80" w:type="dxa"/>
              <w:start w:w="120" w:type="dxa"/>
              <w:bottom w:w="80" w:type="dxa"/>
              <w:end w:w="120" w:type="dxa"/>
            </w:tcMar>
          </w:tcPr>
          <w:p>
            <w:pPr>
              <w:spacing w:after="20"/>
            </w:pPr>
            <w:r>
              <w:rPr>
                <w:rFonts w:ascii="Calibri" w:hAnsi="Calibri"/>
                <w:color w:val="2A2E2B"/>
                <w:sz w:val="15"/>
              </w:rPr>
              <w:t>30</w:t>
            </w:r>
          </w:p>
        </w:tc>
        <w:tc>
          <w:tcPr>
            <w:tcW w:type="dxa" w:w="1512"/>
            <w:vAlign w:val="center"/>
            <w:tcMar>
              <w:top w:w="80" w:type="dxa"/>
              <w:start w:w="120" w:type="dxa"/>
              <w:bottom w:w="80" w:type="dxa"/>
              <w:end w:w="120" w:type="dxa"/>
            </w:tcMar>
          </w:tcPr>
          <w:p>
            <w:pPr>
              <w:spacing w:after="20"/>
            </w:pPr>
            <w:r>
              <w:rPr>
                <w:rFonts w:ascii="Calibri" w:hAnsi="Calibri"/>
                <w:color w:val="2A2E2B"/>
                <w:sz w:val="15"/>
              </w:rPr>
              <w:t>15</w:t>
            </w:r>
          </w:p>
        </w:tc>
        <w:tc>
          <w:tcPr>
            <w:tcW w:type="dxa" w:w="1656"/>
            <w:vAlign w:val="center"/>
            <w:tcMar>
              <w:top w:w="80" w:type="dxa"/>
              <w:start w:w="120" w:type="dxa"/>
              <w:bottom w:w="80" w:type="dxa"/>
              <w:end w:w="120" w:type="dxa"/>
            </w:tcMar>
          </w:tcPr>
          <w:p>
            <w:pPr>
              <w:spacing w:after="20"/>
            </w:pPr>
            <w:r>
              <w:rPr>
                <w:rFonts w:ascii="Calibri" w:hAnsi="Calibri"/>
                <w:color w:val="2A2E2B"/>
                <w:sz w:val="15"/>
              </w:rPr>
              <w:t>7</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Digital</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Terjemah Perkata</w:t>
            </w:r>
          </w:p>
        </w:tc>
        <w:tc>
          <w:tcPr>
            <w:tcW w:type="dxa" w:w="1224"/>
            <w:vAlign w:val="center"/>
            <w:tcMar>
              <w:top w:w="80" w:type="dxa"/>
              <w:start w:w="120" w:type="dxa"/>
              <w:bottom w:w="80" w:type="dxa"/>
              <w:end w:w="120" w:type="dxa"/>
            </w:tcMar>
          </w:tcPr>
          <w:p>
            <w:pPr>
              <w:spacing w:after="20"/>
            </w:pPr>
            <w:r>
              <w:rPr>
                <w:rFonts w:ascii="Calibri" w:hAnsi="Calibri"/>
                <w:color w:val="2A2E2B"/>
                <w:sz w:val="15"/>
              </w:rPr>
              <w:t>45</w:t>
            </w:r>
          </w:p>
        </w:tc>
        <w:tc>
          <w:tcPr>
            <w:tcW w:type="dxa" w:w="1512"/>
            <w:vAlign w:val="center"/>
            <w:tcMar>
              <w:top w:w="80" w:type="dxa"/>
              <w:start w:w="120" w:type="dxa"/>
              <w:bottom w:w="80" w:type="dxa"/>
              <w:end w:w="120" w:type="dxa"/>
            </w:tcMar>
          </w:tcPr>
          <w:p>
            <w:pPr>
              <w:spacing w:after="20"/>
            </w:pPr>
            <w:r>
              <w:rPr>
                <w:rFonts w:ascii="Calibri" w:hAnsi="Calibri"/>
                <w:color w:val="2A2E2B"/>
                <w:sz w:val="15"/>
              </w:rPr>
              <w:t>22</w:t>
            </w:r>
          </w:p>
        </w:tc>
        <w:tc>
          <w:tcPr>
            <w:tcW w:type="dxa" w:w="1656"/>
            <w:vAlign w:val="center"/>
            <w:tcMar>
              <w:top w:w="80" w:type="dxa"/>
              <w:start w:w="120" w:type="dxa"/>
              <w:bottom w:w="80" w:type="dxa"/>
              <w:end w:w="120" w:type="dxa"/>
            </w:tcMar>
          </w:tcPr>
          <w:p>
            <w:pPr>
              <w:spacing w:after="20"/>
            </w:pPr>
            <w:r>
              <w:rPr>
                <w:rFonts w:ascii="Calibri" w:hAnsi="Calibri"/>
                <w:color w:val="2A2E2B"/>
                <w:sz w:val="15"/>
              </w:rPr>
              <w:t>12</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dan Tafsirnya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45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22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12</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Mushaf Al-Qur’an Luar Negeri</w:t>
            </w:r>
          </w:p>
        </w:tc>
        <w:tc>
          <w:tcPr>
            <w:tcW w:type="dxa" w:w="1224"/>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Mushaf Al-Qur’an Braille</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60</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30</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15</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Surah Yasin dan Bacaan Tahlil</w:t>
            </w:r>
          </w:p>
        </w:tc>
        <w:tc>
          <w:tcPr>
            <w:tcW w:type="dxa" w:w="1224"/>
            <w:vAlign w:val="center"/>
            <w:tcMar>
              <w:top w:w="80" w:type="dxa"/>
              <w:start w:w="120" w:type="dxa"/>
              <w:bottom w:w="80" w:type="dxa"/>
              <w:end w:w="120" w:type="dxa"/>
            </w:tcMar>
          </w:tcPr>
          <w:p>
            <w:pPr>
              <w:spacing w:after="20"/>
            </w:pPr>
            <w:r>
              <w:rPr>
                <w:rFonts w:ascii="Calibri" w:hAnsi="Calibri"/>
                <w:color w:val="2A2E2B"/>
                <w:sz w:val="15"/>
              </w:rPr>
              <w:t>5</w:t>
            </w:r>
          </w:p>
        </w:tc>
        <w:tc>
          <w:tcPr>
            <w:tcW w:type="dxa" w:w="1512"/>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vAlign w:val="center"/>
            <w:tcMar>
              <w:top w:w="80" w:type="dxa"/>
              <w:start w:w="120" w:type="dxa"/>
              <w:bottom w:w="80" w:type="dxa"/>
              <w:end w:w="120" w:type="dxa"/>
            </w:tcMar>
          </w:tcPr>
          <w:p>
            <w:pPr>
              <w:spacing w:after="20"/>
            </w:pPr>
            <w:r>
              <w:rPr>
                <w:rFonts w:ascii="Calibri" w:hAnsi="Calibri"/>
                <w:color w:val="2A2E2B"/>
                <w:sz w:val="15"/>
              </w:rPr>
              <w:t>1</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Juz ‘Amma dan Terjemahnya</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1</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Majmu’ Syarif</w:t>
            </w:r>
          </w:p>
        </w:tc>
        <w:tc>
          <w:tcPr>
            <w:tcW w:type="dxa" w:w="1224"/>
            <w:vAlign w:val="center"/>
            <w:tcMar>
              <w:top w:w="80" w:type="dxa"/>
              <w:start w:w="120" w:type="dxa"/>
              <w:bottom w:w="80" w:type="dxa"/>
              <w:end w:w="120" w:type="dxa"/>
            </w:tcMar>
          </w:tcPr>
          <w:p>
            <w:pPr>
              <w:spacing w:after="20"/>
            </w:pPr>
            <w:r>
              <w:rPr>
                <w:rFonts w:ascii="Calibri" w:hAnsi="Calibri"/>
                <w:color w:val="2A2E2B"/>
                <w:sz w:val="15"/>
              </w:rPr>
              <w:t>5</w:t>
            </w:r>
          </w:p>
        </w:tc>
        <w:tc>
          <w:tcPr>
            <w:tcW w:type="dxa" w:w="1512"/>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vAlign w:val="center"/>
            <w:tcMar>
              <w:top w:w="80" w:type="dxa"/>
              <w:start w:w="120" w:type="dxa"/>
              <w:bottom w:w="80" w:type="dxa"/>
              <w:end w:w="120" w:type="dxa"/>
            </w:tcMar>
          </w:tcPr>
          <w:p>
            <w:pPr>
              <w:spacing w:after="20"/>
            </w:pPr>
            <w:r>
              <w:rPr>
                <w:rFonts w:ascii="Calibri" w:hAnsi="Calibri"/>
                <w:color w:val="2A2E2B"/>
                <w:sz w:val="15"/>
              </w:rPr>
              <w:t>1</w:t>
            </w:r>
          </w:p>
        </w:tc>
      </w:tr>
      <w:tr>
        <w:trPr>
          <w:cantSplit w:val="true"/>
        </w:trPr>
        <w:tc>
          <w:tcPr>
            <w:tcW w:type="dxa" w:w="4968"/>
            <w:shd w:fill="F7FAF8"/>
            <w:vAlign w:val="center"/>
            <w:tcMar>
              <w:top w:w="80" w:type="dxa"/>
              <w:start w:w="120" w:type="dxa"/>
              <w:bottom w:w="80" w:type="dxa"/>
              <w:end w:w="120" w:type="dxa"/>
            </w:tcMar>
          </w:tcPr>
          <w:p>
            <w:pPr>
              <w:spacing w:after="20"/>
            </w:pPr>
            <w:r>
              <w:rPr>
                <w:rFonts w:ascii="Calibri" w:hAnsi="Calibri"/>
                <w:color w:val="2A2E2B"/>
                <w:sz w:val="15"/>
              </w:rPr>
              <w:t>Metode Baca Tulis Al-Qur’an</w:t>
            </w:r>
          </w:p>
        </w:tc>
        <w:tc>
          <w:tcPr>
            <w:tcW w:type="dxa" w:w="1224"/>
            <w:shd w:fill="F7FAF8"/>
            <w:vAlign w:val="center"/>
            <w:tcMar>
              <w:top w:w="80" w:type="dxa"/>
              <w:start w:w="120" w:type="dxa"/>
              <w:bottom w:w="80" w:type="dxa"/>
              <w:end w:w="120" w:type="dxa"/>
            </w:tcMar>
          </w:tcPr>
          <w:p>
            <w:pPr>
              <w:spacing w:after="20"/>
            </w:pPr>
            <w:r>
              <w:rPr>
                <w:rFonts w:ascii="Calibri" w:hAnsi="Calibri"/>
                <w:color w:val="2A2E2B"/>
                <w:sz w:val="15"/>
              </w:rPr>
              <w:t>15</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5"/>
              </w:rPr>
              <w:t>7</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5"/>
              </w:rPr>
              <w:t>3</w:t>
            </w:r>
          </w:p>
        </w:tc>
      </w:tr>
      <w:tr>
        <w:trPr>
          <w:cantSplit w:val="true"/>
        </w:trPr>
        <w:tc>
          <w:tcPr>
            <w:tcW w:type="dxa" w:w="4968"/>
            <w:vAlign w:val="center"/>
            <w:tcMar>
              <w:top w:w="80" w:type="dxa"/>
              <w:start w:w="120" w:type="dxa"/>
              <w:bottom w:w="80" w:type="dxa"/>
              <w:end w:w="120" w:type="dxa"/>
            </w:tcMar>
          </w:tcPr>
          <w:p>
            <w:pPr>
              <w:spacing w:after="20"/>
            </w:pPr>
            <w:r>
              <w:rPr>
                <w:rFonts w:ascii="Calibri" w:hAnsi="Calibri"/>
                <w:color w:val="2A2E2B"/>
                <w:sz w:val="15"/>
              </w:rPr>
              <w:t>Kaligrafi</w:t>
            </w:r>
          </w:p>
        </w:tc>
        <w:tc>
          <w:tcPr>
            <w:tcW w:type="dxa" w:w="1224"/>
            <w:vAlign w:val="center"/>
            <w:tcMar>
              <w:top w:w="80" w:type="dxa"/>
              <w:start w:w="120" w:type="dxa"/>
              <w:bottom w:w="80" w:type="dxa"/>
              <w:end w:w="120" w:type="dxa"/>
            </w:tcMar>
          </w:tcPr>
          <w:p>
            <w:pPr>
              <w:spacing w:after="20"/>
            </w:pPr>
            <w:r>
              <w:rPr>
                <w:rFonts w:ascii="Calibri" w:hAnsi="Calibri"/>
                <w:color w:val="2A2E2B"/>
                <w:sz w:val="15"/>
              </w:rPr>
              <w:t>3</w:t>
            </w:r>
          </w:p>
        </w:tc>
        <w:tc>
          <w:tcPr>
            <w:tcW w:type="dxa" w:w="1512"/>
            <w:vAlign w:val="center"/>
            <w:tcMar>
              <w:top w:w="80" w:type="dxa"/>
              <w:start w:w="120" w:type="dxa"/>
              <w:bottom w:w="80" w:type="dxa"/>
              <w:end w:w="120" w:type="dxa"/>
            </w:tcMar>
          </w:tcPr>
          <w:p>
            <w:pPr>
              <w:spacing w:after="20"/>
            </w:pPr>
            <w:r>
              <w:rPr>
                <w:rFonts w:ascii="Calibri" w:hAnsi="Calibri"/>
                <w:color w:val="2A2E2B"/>
                <w:sz w:val="15"/>
              </w:rPr>
              <w:t>2</w:t>
            </w:r>
          </w:p>
        </w:tc>
        <w:tc>
          <w:tcPr>
            <w:tcW w:type="dxa" w:w="1656"/>
            <w:vAlign w:val="center"/>
            <w:tcMar>
              <w:top w:w="80" w:type="dxa"/>
              <w:start w:w="120" w:type="dxa"/>
              <w:bottom w:w="80" w:type="dxa"/>
              <w:end w:w="120" w:type="dxa"/>
            </w:tcMar>
          </w:tcPr>
          <w:p>
            <w:pPr>
              <w:spacing w:after="20"/>
            </w:pPr>
            <w:r>
              <w:rPr>
                <w:rFonts w:ascii="Calibri" w:hAnsi="Calibri"/>
                <w:color w:val="2A2E2B"/>
                <w:sz w:val="15"/>
              </w:rPr>
              <w:t>1</w:t>
            </w:r>
          </w:p>
        </w:tc>
      </w:tr>
    </w:tbl>
    <w:p>
      <w:pPr>
        <w:spacing w:after="0"/>
      </w:pPr>
    </w:p>
    <w:p>
      <w:pPr>
        <w:pStyle w:val="Heading2"/>
      </w:pPr>
      <w:r>
        <w:t>9.3 Kelompok tarif dan addon</w:t>
      </w:r>
    </w:p>
    <w:tbl>
      <w:tblPr>
        <w:tblStyle w:val="TableGrid"/>
        <w:tblW w:type="dxa" w:w="9360"/>
        <w:jc w:val="center"/>
        <w:tblLayout w:type="fixed"/>
        <w:tblLook w:firstColumn="1" w:firstRow="1" w:lastColumn="0" w:lastRow="0" w:noHBand="0" w:noVBand="1" w:val="04A0"/>
        <w:tblInd w:type="dxa" w:w="120"/>
      </w:tblPr>
      <w:tblGrid>
        <w:gridCol w:w="1584"/>
        <w:gridCol w:w="3888"/>
        <w:gridCol w:w="2376"/>
        <w:gridCol w:w="1512"/>
      </w:tblGrid>
      <w:tr>
        <w:trPr>
          <w:tblHeader w:val="true"/>
          <w:cantSplit w:val="true"/>
        </w:trPr>
        <w:tc>
          <w:tcPr>
            <w:tcW w:type="dxa" w:w="1584"/>
            <w:shd w:fill="0B5E3B"/>
            <w:vAlign w:val="center"/>
            <w:tcMar>
              <w:top w:w="80" w:type="dxa"/>
              <w:start w:w="120" w:type="dxa"/>
              <w:bottom w:w="80" w:type="dxa"/>
              <w:end w:w="120" w:type="dxa"/>
            </w:tcMar>
          </w:tcPr>
          <w:p>
            <w:r>
              <w:rPr>
                <w:b/>
                <w:color w:val="FFFFFF"/>
                <w:sz w:val="16"/>
              </w:rPr>
              <w:t>Kode aturan</w:t>
            </w:r>
          </w:p>
        </w:tc>
        <w:tc>
          <w:tcPr>
            <w:tcW w:type="dxa" w:w="3888"/>
            <w:shd w:fill="0B5E3B"/>
            <w:vAlign w:val="center"/>
            <w:tcMar>
              <w:top w:w="80" w:type="dxa"/>
              <w:start w:w="120" w:type="dxa"/>
              <w:bottom w:w="80" w:type="dxa"/>
              <w:end w:w="120" w:type="dxa"/>
            </w:tcMar>
          </w:tcPr>
          <w:p>
            <w:r>
              <w:rPr>
                <w:b/>
                <w:color w:val="FFFFFF"/>
                <w:sz w:val="16"/>
              </w:rPr>
              <w:t>Jenis tarif</w:t>
            </w:r>
          </w:p>
        </w:tc>
        <w:tc>
          <w:tcPr>
            <w:tcW w:type="dxa" w:w="2376"/>
            <w:shd w:fill="0B5E3B"/>
            <w:vAlign w:val="center"/>
            <w:tcMar>
              <w:top w:w="80" w:type="dxa"/>
              <w:start w:w="120" w:type="dxa"/>
              <w:bottom w:w="80" w:type="dxa"/>
              <w:end w:w="120" w:type="dxa"/>
            </w:tcMar>
          </w:tcPr>
          <w:p>
            <w:r>
              <w:rPr>
                <w:b/>
                <w:color w:val="FFFFFF"/>
                <w:sz w:val="16"/>
              </w:rPr>
              <w:t>Satuan</w:t>
            </w:r>
          </w:p>
        </w:tc>
        <w:tc>
          <w:tcPr>
            <w:tcW w:type="dxa" w:w="1512"/>
            <w:shd w:fill="0B5E3B"/>
            <w:vAlign w:val="center"/>
            <w:tcMar>
              <w:top w:w="80" w:type="dxa"/>
              <w:start w:w="120" w:type="dxa"/>
              <w:bottom w:w="80" w:type="dxa"/>
              <w:end w:w="120" w:type="dxa"/>
            </w:tcMar>
          </w:tcPr>
          <w:p>
            <w:r>
              <w:rPr>
                <w:b/>
                <w:color w:val="FFFFFF"/>
                <w:sz w:val="16"/>
              </w:rPr>
              <w:t>Tarif</w:t>
            </w:r>
          </w:p>
        </w:tc>
      </w:tr>
      <w:tr>
        <w:trPr>
          <w:cantSplit w:val="true"/>
        </w:trPr>
        <w:tc>
          <w:tcPr>
            <w:tcW w:type="dxa" w:w="1584"/>
            <w:vAlign w:val="center"/>
            <w:tcMar>
              <w:top w:w="80" w:type="dxa"/>
              <w:start w:w="120" w:type="dxa"/>
              <w:bottom w:w="80" w:type="dxa"/>
              <w:end w:w="120" w:type="dxa"/>
            </w:tcMar>
          </w:tcPr>
          <w:p>
            <w:pPr>
              <w:spacing w:after="20"/>
            </w:pPr>
            <w:r>
              <w:rPr>
                <w:rFonts w:ascii="Calibri" w:hAnsi="Calibri"/>
                <w:color w:val="2A2E2B"/>
                <w:sz w:val="16"/>
              </w:rPr>
              <w:t>TAR-BRAILLE</w:t>
            </w:r>
          </w:p>
        </w:tc>
        <w:tc>
          <w:tcPr>
            <w:tcW w:type="dxa" w:w="3888"/>
            <w:vAlign w:val="center"/>
            <w:tcMar>
              <w:top w:w="80" w:type="dxa"/>
              <w:start w:w="120" w:type="dxa"/>
              <w:bottom w:w="80" w:type="dxa"/>
              <w:end w:w="120" w:type="dxa"/>
            </w:tcMar>
          </w:tcPr>
          <w:p>
            <w:pPr>
              <w:spacing w:after="20"/>
            </w:pPr>
            <w:r>
              <w:rPr>
                <w:rFonts w:ascii="Calibri" w:hAnsi="Calibri"/>
                <w:color w:val="2A2E2B"/>
                <w:sz w:val="16"/>
              </w:rPr>
              <w:t>Mushaf Al-Qur’an Braille</w:t>
            </w:r>
          </w:p>
        </w:tc>
        <w:tc>
          <w:tcPr>
            <w:tcW w:type="dxa" w:w="2376"/>
            <w:vAlign w:val="center"/>
            <w:tcMar>
              <w:top w:w="80" w:type="dxa"/>
              <w:start w:w="120" w:type="dxa"/>
              <w:bottom w:w="80" w:type="dxa"/>
              <w:end w:w="120" w:type="dxa"/>
            </w:tcMar>
          </w:tcPr>
          <w:p>
            <w:pPr>
              <w:spacing w:after="20"/>
            </w:pPr>
            <w:r>
              <w:rPr>
                <w:rFonts w:ascii="Calibri" w:hAnsi="Calibri"/>
                <w:color w:val="2A2E2B"/>
                <w:sz w:val="16"/>
              </w:rPr>
              <w:t>Per Surat Tanda Tashih</w:t>
            </w:r>
          </w:p>
        </w:tc>
        <w:tc>
          <w:tcPr>
            <w:tcW w:type="dxa" w:w="1512"/>
            <w:vAlign w:val="center"/>
            <w:tcMar>
              <w:top w:w="80" w:type="dxa"/>
              <w:start w:w="120" w:type="dxa"/>
              <w:bottom w:w="80" w:type="dxa"/>
              <w:end w:w="120" w:type="dxa"/>
            </w:tcMar>
          </w:tcPr>
          <w:p>
            <w:pPr>
              <w:spacing w:after="20"/>
            </w:pPr>
            <w:r>
              <w:rPr>
                <w:rFonts w:ascii="Calibri" w:hAnsi="Calibri"/>
                <w:color w:val="2A2E2B"/>
                <w:sz w:val="16"/>
              </w:rPr>
              <w:t>Rp 0</w:t>
            </w:r>
          </w:p>
        </w:tc>
      </w:tr>
      <w:tr>
        <w:trPr>
          <w:cantSplit w:val="true"/>
        </w:trPr>
        <w:tc>
          <w:tcPr>
            <w:tcW w:type="dxa" w:w="1584"/>
            <w:shd w:fill="F7FAF8"/>
            <w:vAlign w:val="center"/>
            <w:tcMar>
              <w:top w:w="80" w:type="dxa"/>
              <w:start w:w="120" w:type="dxa"/>
              <w:bottom w:w="80" w:type="dxa"/>
              <w:end w:w="120" w:type="dxa"/>
            </w:tcMar>
          </w:tcPr>
          <w:p>
            <w:pPr>
              <w:spacing w:after="20"/>
            </w:pPr>
            <w:r>
              <w:rPr>
                <w:rFonts w:ascii="Calibri" w:hAnsi="Calibri"/>
                <w:color w:val="2A2E2B"/>
                <w:sz w:val="16"/>
              </w:rPr>
              <w:t>TAR-PENDEK</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6"/>
              </w:rPr>
              <w:t>Kaligrafi, Juz ‘Amma/surah-surah pendek</w:t>
            </w:r>
          </w:p>
        </w:tc>
        <w:tc>
          <w:tcPr>
            <w:tcW w:type="dxa" w:w="2376"/>
            <w:shd w:fill="F7FAF8"/>
            <w:vAlign w:val="center"/>
            <w:tcMar>
              <w:top w:w="80" w:type="dxa"/>
              <w:start w:w="120" w:type="dxa"/>
              <w:bottom w:w="80" w:type="dxa"/>
              <w:end w:w="120" w:type="dxa"/>
            </w:tcMar>
          </w:tcPr>
          <w:p>
            <w:pPr>
              <w:spacing w:after="20"/>
            </w:pPr>
            <w:r>
              <w:rPr>
                <w:rFonts w:ascii="Calibri" w:hAnsi="Calibri"/>
                <w:color w:val="2A2E2B"/>
                <w:sz w:val="16"/>
              </w:rPr>
              <w:t>Per Surat Tanda Tashih</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Rp 500.000</w:t>
            </w:r>
          </w:p>
        </w:tc>
      </w:tr>
      <w:tr>
        <w:trPr>
          <w:cantSplit w:val="true"/>
        </w:trPr>
        <w:tc>
          <w:tcPr>
            <w:tcW w:type="dxa" w:w="1584"/>
            <w:vAlign w:val="center"/>
            <w:tcMar>
              <w:top w:w="80" w:type="dxa"/>
              <w:start w:w="120" w:type="dxa"/>
              <w:bottom w:w="80" w:type="dxa"/>
              <w:end w:w="120" w:type="dxa"/>
            </w:tcMar>
          </w:tcPr>
          <w:p>
            <w:pPr>
              <w:spacing w:after="20"/>
            </w:pPr>
            <w:r>
              <w:rPr>
                <w:rFonts w:ascii="Calibri" w:hAnsi="Calibri"/>
                <w:color w:val="2A2E2B"/>
                <w:sz w:val="16"/>
              </w:rPr>
              <w:t>TAR-MUSHAF</w:t>
            </w:r>
          </w:p>
        </w:tc>
        <w:tc>
          <w:tcPr>
            <w:tcW w:type="dxa" w:w="3888"/>
            <w:vAlign w:val="center"/>
            <w:tcMar>
              <w:top w:w="80" w:type="dxa"/>
              <w:start w:w="120" w:type="dxa"/>
              <w:bottom w:w="80" w:type="dxa"/>
              <w:end w:w="120" w:type="dxa"/>
            </w:tcMar>
          </w:tcPr>
          <w:p>
            <w:pPr>
              <w:spacing w:after="20"/>
            </w:pPr>
            <w:r>
              <w:rPr>
                <w:rFonts w:ascii="Calibri" w:hAnsi="Calibri"/>
                <w:color w:val="2A2E2B"/>
                <w:sz w:val="16"/>
              </w:rPr>
              <w:t>Mushaf Al-Qur’an</w:t>
            </w:r>
          </w:p>
        </w:tc>
        <w:tc>
          <w:tcPr>
            <w:tcW w:type="dxa" w:w="2376"/>
            <w:vAlign w:val="center"/>
            <w:tcMar>
              <w:top w:w="80" w:type="dxa"/>
              <w:start w:w="120" w:type="dxa"/>
              <w:bottom w:w="80" w:type="dxa"/>
              <w:end w:w="120" w:type="dxa"/>
            </w:tcMar>
          </w:tcPr>
          <w:p>
            <w:pPr>
              <w:spacing w:after="20"/>
            </w:pPr>
            <w:r>
              <w:rPr>
                <w:rFonts w:ascii="Calibri" w:hAnsi="Calibri"/>
                <w:color w:val="2A2E2B"/>
                <w:sz w:val="16"/>
              </w:rPr>
              <w:t>Per Surat Tanda Tashih</w:t>
            </w:r>
          </w:p>
        </w:tc>
        <w:tc>
          <w:tcPr>
            <w:tcW w:type="dxa" w:w="1512"/>
            <w:vAlign w:val="center"/>
            <w:tcMar>
              <w:top w:w="80" w:type="dxa"/>
              <w:start w:w="120" w:type="dxa"/>
              <w:bottom w:w="80" w:type="dxa"/>
              <w:end w:w="120" w:type="dxa"/>
            </w:tcMar>
          </w:tcPr>
          <w:p>
            <w:pPr>
              <w:spacing w:after="20"/>
            </w:pPr>
            <w:r>
              <w:rPr>
                <w:rFonts w:ascii="Calibri" w:hAnsi="Calibri"/>
                <w:color w:val="2A2E2B"/>
                <w:sz w:val="16"/>
              </w:rPr>
              <w:t>Rp 1.000.000</w:t>
            </w:r>
          </w:p>
        </w:tc>
      </w:tr>
      <w:tr>
        <w:trPr>
          <w:cantSplit w:val="true"/>
        </w:trPr>
        <w:tc>
          <w:tcPr>
            <w:tcW w:type="dxa" w:w="1584"/>
            <w:shd w:fill="F7FAF8"/>
            <w:vAlign w:val="center"/>
            <w:tcMar>
              <w:top w:w="80" w:type="dxa"/>
              <w:start w:w="120" w:type="dxa"/>
              <w:bottom w:w="80" w:type="dxa"/>
              <w:end w:w="120" w:type="dxa"/>
            </w:tcMar>
          </w:tcPr>
          <w:p>
            <w:pPr>
              <w:spacing w:after="20"/>
            </w:pPr>
            <w:r>
              <w:rPr>
                <w:rFonts w:ascii="Calibri" w:hAnsi="Calibri"/>
                <w:color w:val="2A2E2B"/>
                <w:sz w:val="16"/>
              </w:rPr>
              <w:t>ADD-MATERI</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6"/>
              </w:rPr>
              <w:t>Tambahan materi selain konten ayat</w:t>
            </w:r>
          </w:p>
        </w:tc>
        <w:tc>
          <w:tcPr>
            <w:tcW w:type="dxa" w:w="2376"/>
            <w:shd w:fill="F7FAF8"/>
            <w:vAlign w:val="center"/>
            <w:tcMar>
              <w:top w:w="80" w:type="dxa"/>
              <w:start w:w="120" w:type="dxa"/>
              <w:bottom w:w="80" w:type="dxa"/>
              <w:end w:w="120" w:type="dxa"/>
            </w:tcMar>
          </w:tcPr>
          <w:p>
            <w:pPr>
              <w:spacing w:after="20"/>
            </w:pPr>
            <w:r>
              <w:rPr>
                <w:rFonts w:ascii="Calibri" w:hAnsi="Calibri"/>
                <w:color w:val="2A2E2B"/>
                <w:sz w:val="16"/>
              </w:rPr>
              <w:t>Per item per Surat Tanda Tashih</w:t>
            </w:r>
          </w:p>
        </w:tc>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Rp 500.000</w:t>
            </w:r>
          </w:p>
        </w:tc>
      </w:tr>
    </w:tbl>
    <w:p>
      <w:pPr>
        <w:spacing w:after="0"/>
      </w:pPr>
    </w:p>
    <w:p>
      <w:r>
        <w:t>Kategori MC/MD/MAV/L tetap dipakai untuk navigasi dan klasifikasi tampilan. Jenis layanan menyimpan profil SLA, sedangkan addon menyimpan tambahan tarif. Sistem tidak boleh menyamakan addon dengan SLA layanan tanpa aturan pemetaan yang disahkan.</w:t>
      </w:r>
    </w:p>
    <w:p>
      <w:r>
        <w:rPr>
          <w:b/>
          <w:color w:val="0B5E3B"/>
        </w:rPr>
        <w:t xml:space="preserve">Sumber resmi: </w:t>
      </w:r>
      <w:r>
        <w:t>https://tashih.kemenag.go.id/info-layanan-pentashihan/read/standar-pelayanan-permohonan-surat-tanda-tashih (diakses 8 September 2026). Konfirmasi stakeholder tetap diperlukan jika terdapat SOP internal yang lebih baru.</w:t>
      </w:r>
    </w:p>
    <w:p>
      <w:pPr>
        <w:pStyle w:val="Heading1"/>
      </w:pPr>
      <w:r>
        <w:t>10. Kebutuhan File dan Dokumen</w:t>
      </w:r>
    </w:p>
    <w:p>
      <w:pPr>
        <w:spacing w:after="80" w:line="300" w:lineRule="auto"/>
        <w:ind w:left="360" w:hanging="259"/>
      </w:pPr>
      <w:r>
        <w:t xml:space="preserve">•  </w:t>
      </w:r>
      <w:r>
        <w:t>File privat disimpan di penyimpanan yang disetujui LPMQ/Kemenag; database hanya menyimpan metadata dan referensi file.</w:t>
      </w:r>
    </w:p>
    <w:p>
      <w:pPr>
        <w:spacing w:after="80" w:line="300" w:lineRule="auto"/>
        <w:ind w:left="360" w:hanging="259"/>
      </w:pPr>
      <w:r>
        <w:t xml:space="preserve">•  </w:t>
      </w:r>
      <w:r>
        <w:t>Unggahan divalidasi berdasarkan MIME, ekstensi, ukuran, checksum, serta hasil pemeriksaan keamanan.</w:t>
      </w:r>
    </w:p>
    <w:p>
      <w:pPr>
        <w:spacing w:after="80" w:line="300" w:lineRule="auto"/>
        <w:ind w:left="360" w:hanging="259"/>
      </w:pPr>
      <w:r>
        <w:t xml:space="preserve">•  </w:t>
      </w:r>
      <w:r>
        <w:t>Jenis file awal minimum: COVER dan SAMPLE_PAGE_1 sampai SAMPLE_PAGE_5.</w:t>
      </w:r>
    </w:p>
    <w:p>
      <w:pPr>
        <w:spacing w:after="80" w:line="300" w:lineRule="auto"/>
        <w:ind w:left="360" w:hanging="259"/>
      </w:pPr>
      <w:r>
        <w:t xml:space="preserve">•  </w:t>
      </w:r>
      <w:r>
        <w:t>Master mushaf lengkap diterima secara fisik; sistem mencatat tanggal, petugas, dan surat/tanda terima.</w:t>
      </w:r>
    </w:p>
    <w:p>
      <w:pPr>
        <w:spacing w:after="80" w:line="300" w:lineRule="auto"/>
        <w:ind w:left="360" w:hanging="259"/>
      </w:pPr>
      <w:r>
        <w:t xml:space="preserve">•  </w:t>
      </w:r>
      <w:r>
        <w:t>Dokumen proses mencakup ASSIGNMENT_LETTER, TASHIH_REPORT, REVISION_RECAP, TASHIH_MINUTES, OFFICIAL_STT, dan PRINTED_MUSHAF_RECEIPT.</w:t>
      </w:r>
    </w:p>
    <w:p>
      <w:pPr>
        <w:spacing w:after="80" w:line="300" w:lineRule="auto"/>
        <w:ind w:left="360" w:hanging="259"/>
      </w:pPr>
      <w:r>
        <w:t xml:space="preserve">•  </w:t>
      </w:r>
      <w:r>
        <w:t>Penggantian file membuat versi baru; versi lama tidak ditimpa.</w:t>
      </w:r>
    </w:p>
    <w:p>
      <w:pPr>
        <w:spacing w:after="80" w:line="300" w:lineRule="auto"/>
        <w:ind w:left="360" w:hanging="259"/>
      </w:pPr>
      <w:r>
        <w:t xml:space="preserve">•  </w:t>
      </w:r>
      <w:r>
        <w:t>Unduhan menggunakan otorisasi dan URL sementara; file sensitif tidak dipublikasikan langsung.</w:t>
      </w:r>
    </w:p>
    <w:p>
      <w:pPr>
        <w:pStyle w:val="Heading1"/>
      </w:pPr>
      <w:r>
        <w:t>11. Kebutuhan Non-Fungsional</w:t>
      </w:r>
    </w:p>
    <w:tbl>
      <w:tblPr>
        <w:tblStyle w:val="TableGrid"/>
        <w:tblW w:type="dxa" w:w="9360"/>
        <w:jc w:val="center"/>
        <w:tblLayout w:type="fixed"/>
        <w:tblLook w:firstColumn="1" w:firstRow="1" w:lastColumn="0" w:lastRow="0" w:noHBand="0" w:noVBand="1" w:val="04A0"/>
        <w:tblInd w:type="dxa" w:w="120"/>
      </w:tblPr>
      <w:tblGrid>
        <w:gridCol w:w="1512"/>
        <w:gridCol w:w="1656"/>
        <w:gridCol w:w="6192"/>
      </w:tblGrid>
      <w:tr>
        <w:trPr>
          <w:tblHeader w:val="true"/>
          <w:cantSplit w:val="true"/>
        </w:trPr>
        <w:tc>
          <w:tcPr>
            <w:tcW w:type="dxa" w:w="1512"/>
            <w:shd w:fill="0B5E3B"/>
            <w:vAlign w:val="center"/>
            <w:tcMar>
              <w:top w:w="80" w:type="dxa"/>
              <w:start w:w="120" w:type="dxa"/>
              <w:bottom w:w="80" w:type="dxa"/>
              <w:end w:w="120" w:type="dxa"/>
            </w:tcMar>
          </w:tcPr>
          <w:p>
            <w:r>
              <w:rPr>
                <w:b/>
                <w:color w:val="FFFFFF"/>
                <w:sz w:val="16"/>
              </w:rPr>
              <w:t>ID</w:t>
            </w:r>
          </w:p>
        </w:tc>
        <w:tc>
          <w:tcPr>
            <w:tcW w:type="dxa" w:w="1656"/>
            <w:shd w:fill="0B5E3B"/>
            <w:vAlign w:val="center"/>
            <w:tcMar>
              <w:top w:w="80" w:type="dxa"/>
              <w:start w:w="120" w:type="dxa"/>
              <w:bottom w:w="80" w:type="dxa"/>
              <w:end w:w="120" w:type="dxa"/>
            </w:tcMar>
          </w:tcPr>
          <w:p>
            <w:r>
              <w:rPr>
                <w:b/>
                <w:color w:val="FFFFFF"/>
                <w:sz w:val="16"/>
              </w:rPr>
              <w:t>Kategori</w:t>
            </w:r>
          </w:p>
        </w:tc>
        <w:tc>
          <w:tcPr>
            <w:tcW w:type="dxa" w:w="6192"/>
            <w:shd w:fill="0B5E3B"/>
            <w:vAlign w:val="center"/>
            <w:tcMar>
              <w:top w:w="80" w:type="dxa"/>
              <w:start w:w="120" w:type="dxa"/>
              <w:bottom w:w="80" w:type="dxa"/>
              <w:end w:w="120" w:type="dxa"/>
            </w:tcMar>
          </w:tcPr>
          <w:p>
            <w:r>
              <w:rPr>
                <w:b/>
                <w:color w:val="FFFFFF"/>
                <w:sz w:val="16"/>
              </w:rPr>
              <w:t>Kebutuhan</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RNF-SEC-01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Keamanan</w:t>
            </w:r>
          </w:p>
        </w:tc>
        <w:tc>
          <w:tcPr>
            <w:tcW w:type="dxa" w:w="6192"/>
            <w:vAlign w:val="center"/>
            <w:tcMar>
              <w:top w:w="80" w:type="dxa"/>
              <w:start w:w="120" w:type="dxa"/>
              <w:bottom w:w="80" w:type="dxa"/>
              <w:end w:w="120" w:type="dxa"/>
            </w:tcMar>
          </w:tcPr>
          <w:p>
            <w:pPr>
              <w:spacing w:after="20"/>
            </w:pPr>
            <w:r>
              <w:rPr>
                <w:rFonts w:ascii="Calibri" w:hAnsi="Calibri"/>
                <w:color w:val="2A2E2B"/>
                <w:sz w:val="16"/>
              </w:rPr>
              <w:t>Seluruh akses data melalui backend dengan RBAC dan pengujian akses negatif/IDOR.</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RNF-SEC-02</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Keamanan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Password di-hash, rate limiting diterapkan, sesi dapat dicabut, dan rahasia tidak berada di repository.</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RNF-SEC-03</w:t>
            </w:r>
          </w:p>
        </w:tc>
        <w:tc>
          <w:tcPr>
            <w:tcW w:type="dxa" w:w="1656"/>
            <w:vAlign w:val="center"/>
            <w:tcMar>
              <w:top w:w="80" w:type="dxa"/>
              <w:start w:w="120" w:type="dxa"/>
              <w:bottom w:w="80" w:type="dxa"/>
              <w:end w:w="120" w:type="dxa"/>
            </w:tcMar>
          </w:tcPr>
          <w:p>
            <w:pPr>
              <w:spacing w:after="20"/>
            </w:pPr>
            <w:r>
              <w:rPr>
                <w:rFonts w:ascii="Calibri" w:hAnsi="Calibri"/>
                <w:color w:val="2A2E2B"/>
                <w:sz w:val="16"/>
              </w:rPr>
              <w:t>Keamanan QR</w:t>
            </w:r>
          </w:p>
        </w:tc>
        <w:tc>
          <w:tcPr>
            <w:tcW w:type="dxa" w:w="6192"/>
            <w:vAlign w:val="center"/>
            <w:tcMar>
              <w:top w:w="80" w:type="dxa"/>
              <w:start w:w="120" w:type="dxa"/>
              <w:bottom w:w="80" w:type="dxa"/>
              <w:end w:w="120" w:type="dxa"/>
            </w:tcMar>
          </w:tcPr>
          <w:p>
            <w:pPr>
              <w:spacing w:after="20"/>
            </w:pPr>
            <w:r>
              <w:rPr>
                <w:rFonts w:ascii="Calibri" w:hAnsi="Calibri"/>
                <w:color w:val="2A2E2B"/>
                <w:sz w:val="16"/>
              </w:rPr>
              <w:t>Token publik berentropi tinggi, tidak berurutan, dibatasi rate limit, tidak membocorkan file privat, dan kegagalan abnormal dicatat.</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RNF-PRV-01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Privasi</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Data penerbit, NIP, tanda tangan, dan file naskah hanya dapat diakses sesuai kebutuhan role.</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RNF-AUD-01</w:t>
            </w:r>
          </w:p>
        </w:tc>
        <w:tc>
          <w:tcPr>
            <w:tcW w:type="dxa" w:w="1656"/>
            <w:vAlign w:val="center"/>
            <w:tcMar>
              <w:top w:w="80" w:type="dxa"/>
              <w:start w:w="120" w:type="dxa"/>
              <w:bottom w:w="80" w:type="dxa"/>
              <w:end w:w="120" w:type="dxa"/>
            </w:tcMar>
          </w:tcPr>
          <w:p>
            <w:pPr>
              <w:spacing w:after="20"/>
            </w:pPr>
            <w:r>
              <w:rPr>
                <w:rFonts w:ascii="Calibri" w:hAnsi="Calibri"/>
                <w:color w:val="2A2E2B"/>
                <w:sz w:val="16"/>
              </w:rPr>
              <w:t>Audit</w:t>
            </w:r>
          </w:p>
        </w:tc>
        <w:tc>
          <w:tcPr>
            <w:tcW w:type="dxa" w:w="6192"/>
            <w:vAlign w:val="center"/>
            <w:tcMar>
              <w:top w:w="80" w:type="dxa"/>
              <w:start w:w="120" w:type="dxa"/>
              <w:bottom w:w="80" w:type="dxa"/>
              <w:end w:w="120" w:type="dxa"/>
            </w:tcMar>
          </w:tcPr>
          <w:p>
            <w:pPr>
              <w:spacing w:after="20"/>
            </w:pPr>
            <w:r>
              <w:rPr>
                <w:rFonts w:ascii="Calibri" w:hAnsi="Calibri"/>
                <w:color w:val="2A2E2B"/>
                <w:sz w:val="16"/>
              </w:rPr>
              <w:t>Audit log append-only menyimpan aktor, waktu, aksi, subjek, dan before/after.</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RNF-REL-01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Keandalan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Transaksi kritis bersifat atomik; backup dan pemulihan diuji berkala.</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RNF-PERF-01</w:t>
            </w:r>
          </w:p>
        </w:tc>
        <w:tc>
          <w:tcPr>
            <w:tcW w:type="dxa" w:w="1656"/>
            <w:vAlign w:val="center"/>
            <w:tcMar>
              <w:top w:w="80" w:type="dxa"/>
              <w:start w:w="120" w:type="dxa"/>
              <w:bottom w:w="80" w:type="dxa"/>
              <w:end w:w="120" w:type="dxa"/>
            </w:tcMar>
          </w:tcPr>
          <w:p>
            <w:pPr>
              <w:spacing w:after="20"/>
            </w:pPr>
            <w:r>
              <w:rPr>
                <w:rFonts w:ascii="Calibri" w:hAnsi="Calibri"/>
                <w:color w:val="2A2E2B"/>
                <w:sz w:val="16"/>
              </w:rPr>
              <w:t>Kinerja</w:t>
            </w:r>
          </w:p>
        </w:tc>
        <w:tc>
          <w:tcPr>
            <w:tcW w:type="dxa" w:w="6192"/>
            <w:vAlign w:val="center"/>
            <w:tcMar>
              <w:top w:w="80" w:type="dxa"/>
              <w:start w:w="120" w:type="dxa"/>
              <w:bottom w:w="80" w:type="dxa"/>
              <w:end w:w="120" w:type="dxa"/>
            </w:tcMar>
          </w:tcPr>
          <w:p>
            <w:pPr>
              <w:spacing w:after="20"/>
            </w:pPr>
            <w:r>
              <w:rPr>
                <w:rFonts w:ascii="Calibri" w:hAnsi="Calibri"/>
                <w:color w:val="2A2E2B"/>
                <w:sz w:val="16"/>
              </w:rPr>
              <w:t>Daftar operasional menggunakan pagination dan respons interaktif normal ditargetkan ≤3 detik pada beban yang disepakati.</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RNF-USE-01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Kegunaan</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Antarmuka berbahasa Indonesia, responsif, konsisten, dan status tidak bergantung pada warna saja.</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RNF-MNT-01</w:t>
            </w:r>
          </w:p>
        </w:tc>
        <w:tc>
          <w:tcPr>
            <w:tcW w:type="dxa" w:w="1656"/>
            <w:vAlign w:val="center"/>
            <w:tcMar>
              <w:top w:w="80" w:type="dxa"/>
              <w:start w:w="120" w:type="dxa"/>
              <w:bottom w:w="80" w:type="dxa"/>
              <w:end w:w="120" w:type="dxa"/>
            </w:tcMar>
          </w:tcPr>
          <w:p>
            <w:pPr>
              <w:spacing w:after="20"/>
            </w:pPr>
            <w:r>
              <w:rPr>
                <w:rFonts w:ascii="Calibri" w:hAnsi="Calibri"/>
                <w:color w:val="2A2E2B"/>
                <w:sz w:val="16"/>
              </w:rPr>
              <w:t>Pemeliharaan</w:t>
            </w:r>
          </w:p>
        </w:tc>
        <w:tc>
          <w:tcPr>
            <w:tcW w:type="dxa" w:w="6192"/>
            <w:vAlign w:val="center"/>
            <w:tcMar>
              <w:top w:w="80" w:type="dxa"/>
              <w:start w:w="120" w:type="dxa"/>
              <w:bottom w:w="80" w:type="dxa"/>
              <w:end w:w="120" w:type="dxa"/>
            </w:tcMar>
          </w:tcPr>
          <w:p>
            <w:pPr>
              <w:spacing w:after="20"/>
            </w:pPr>
            <w:r>
              <w:rPr>
                <w:rFonts w:ascii="Calibri" w:hAnsi="Calibri"/>
                <w:color w:val="2A2E2B"/>
                <w:sz w:val="16"/>
              </w:rPr>
              <w:t>Aplikasi modular, migration terkontrol, dokumentasi API, automated test, dan konfigurasi environment.</w:t>
            </w:r>
          </w:p>
        </w:tc>
      </w:tr>
      <w:tr>
        <w:trPr>
          <w:cantSplit w:val="true"/>
        </w:trPr>
        <w:tc>
          <w:tcPr>
            <w:tcW w:type="dxa" w:w="1512"/>
            <w:shd w:fill="F7FAF8"/>
            <w:vAlign w:val="center"/>
            <w:tcMar>
              <w:top w:w="80" w:type="dxa"/>
              <w:start w:w="120" w:type="dxa"/>
              <w:bottom w:w="80" w:type="dxa"/>
              <w:end w:w="120" w:type="dxa"/>
            </w:tcMar>
          </w:tcPr>
          <w:p>
            <w:pPr>
              <w:spacing w:after="20"/>
            </w:pPr>
            <w:r>
              <w:rPr>
                <w:rFonts w:ascii="Calibri" w:hAnsi="Calibri"/>
                <w:color w:val="2A2E2B"/>
                <w:sz w:val="16"/>
              </w:rPr>
              <w:t>RNF-INT-01</w:t>
            </w:r>
          </w:p>
        </w:tc>
        <w:tc>
          <w:tcPr>
            <w:tcW w:type="dxa" w:w="1656"/>
            <w:shd w:fill="F7FAF8"/>
            <w:vAlign w:val="center"/>
            <w:tcMar>
              <w:top w:w="80" w:type="dxa"/>
              <w:start w:w="120" w:type="dxa"/>
              <w:bottom w:w="80" w:type="dxa"/>
              <w:end w:w="120" w:type="dxa"/>
            </w:tcMar>
          </w:tcPr>
          <w:p>
            <w:pPr>
              <w:spacing w:after="20"/>
            </w:pPr>
            <w:r>
              <w:rPr>
                <w:rFonts w:ascii="Calibri" w:hAnsi="Calibri"/>
                <w:color w:val="2A2E2B"/>
                <w:sz w:val="16"/>
              </w:rPr>
              <w:t>Interoperabilitas</w:t>
            </w:r>
          </w:p>
        </w:tc>
        <w:tc>
          <w:tcPr>
            <w:tcW w:type="dxa" w:w="6192"/>
            <w:shd w:fill="F7FAF8"/>
            <w:vAlign w:val="center"/>
            <w:tcMar>
              <w:top w:w="80" w:type="dxa"/>
              <w:start w:w="120" w:type="dxa"/>
              <w:bottom w:w="80" w:type="dxa"/>
              <w:end w:w="120" w:type="dxa"/>
            </w:tcMar>
          </w:tcPr>
          <w:p>
            <w:pPr>
              <w:spacing w:after="20"/>
            </w:pPr>
            <w:r>
              <w:rPr>
                <w:rFonts w:ascii="Calibri" w:hAnsi="Calibri"/>
                <w:color w:val="2A2E2B"/>
                <w:sz w:val="16"/>
              </w:rPr>
              <w:t>Integrasi eksternal memakai adapter sehingga mode manual tetap dapat dipakai ketika layanan eksternal tidak tersedia.</w:t>
            </w:r>
          </w:p>
        </w:tc>
      </w:tr>
      <w:tr>
        <w:trPr>
          <w:cantSplit w:val="true"/>
        </w:trPr>
        <w:tc>
          <w:tcPr>
            <w:tcW w:type="dxa" w:w="1512"/>
            <w:vAlign w:val="center"/>
            <w:tcMar>
              <w:top w:w="80" w:type="dxa"/>
              <w:start w:w="120" w:type="dxa"/>
              <w:bottom w:w="80" w:type="dxa"/>
              <w:end w:w="120" w:type="dxa"/>
            </w:tcMar>
          </w:tcPr>
          <w:p>
            <w:pPr>
              <w:spacing w:after="20"/>
            </w:pPr>
            <w:r>
              <w:rPr>
                <w:rFonts w:ascii="Calibri" w:hAnsi="Calibri"/>
                <w:color w:val="2A2E2B"/>
                <w:sz w:val="16"/>
              </w:rPr>
              <w:t>RNF-INF-01</w:t>
            </w:r>
          </w:p>
        </w:tc>
        <w:tc>
          <w:tcPr>
            <w:tcW w:type="dxa" w:w="1656"/>
            <w:vAlign w:val="center"/>
            <w:tcMar>
              <w:top w:w="80" w:type="dxa"/>
              <w:start w:w="120" w:type="dxa"/>
              <w:bottom w:w="80" w:type="dxa"/>
              <w:end w:w="120" w:type="dxa"/>
            </w:tcMar>
          </w:tcPr>
          <w:p>
            <w:pPr>
              <w:spacing w:after="20"/>
            </w:pPr>
            <w:r>
              <w:rPr>
                <w:rFonts w:ascii="Calibri" w:hAnsi="Calibri"/>
                <w:color w:val="2A2E2B"/>
                <w:sz w:val="16"/>
              </w:rPr>
              <w:t>Infrastruktur</w:t>
            </w:r>
          </w:p>
        </w:tc>
        <w:tc>
          <w:tcPr>
            <w:tcW w:type="dxa" w:w="6192"/>
            <w:vAlign w:val="center"/>
            <w:tcMar>
              <w:top w:w="80" w:type="dxa"/>
              <w:start w:w="120" w:type="dxa"/>
              <w:bottom w:w="80" w:type="dxa"/>
              <w:end w:w="120" w:type="dxa"/>
            </w:tcMar>
          </w:tcPr>
          <w:p>
            <w:pPr>
              <w:spacing w:after="20"/>
            </w:pPr>
            <w:r>
              <w:rPr>
                <w:rFonts w:ascii="Calibri" w:hAnsi="Calibri"/>
                <w:color w:val="2A2E2B"/>
                <w:sz w:val="16"/>
              </w:rPr>
              <w:t>Production menggunakan infrastruktur yang disetujui unit TI/keamanan Kemenag.</w:t>
            </w:r>
          </w:p>
        </w:tc>
      </w:tr>
    </w:tbl>
    <w:p>
      <w:pPr>
        <w:spacing w:after="0"/>
      </w:pPr>
    </w:p>
    <w:p>
      <w:pPr>
        <w:pStyle w:val="Heading1"/>
      </w:pPr>
      <w:r>
        <w:t>12. Integrasi Masa Depan</w:t>
      </w:r>
    </w:p>
    <w:tbl>
      <w:tblPr>
        <w:tblStyle w:val="TableGrid"/>
        <w:tblW w:type="dxa" w:w="9360"/>
        <w:jc w:val="center"/>
        <w:tblLayout w:type="fixed"/>
        <w:tblLook w:firstColumn="1" w:firstRow="1" w:lastColumn="0" w:lastRow="0" w:noHBand="0" w:noVBand="1" w:val="04A0"/>
        <w:tblInd w:type="dxa" w:w="120"/>
      </w:tblPr>
      <w:tblGrid>
        <w:gridCol w:w="1728"/>
        <w:gridCol w:w="4104"/>
        <w:gridCol w:w="3528"/>
      </w:tblGrid>
      <w:tr>
        <w:trPr>
          <w:tblHeader w:val="true"/>
          <w:cantSplit w:val="true"/>
        </w:trPr>
        <w:tc>
          <w:tcPr>
            <w:tcW w:type="dxa" w:w="1728"/>
            <w:shd w:fill="0B5E3B"/>
            <w:vAlign w:val="center"/>
            <w:tcMar>
              <w:top w:w="80" w:type="dxa"/>
              <w:start w:w="120" w:type="dxa"/>
              <w:bottom w:w="80" w:type="dxa"/>
              <w:end w:w="120" w:type="dxa"/>
            </w:tcMar>
          </w:tcPr>
          <w:p>
            <w:r>
              <w:rPr>
                <w:b/>
                <w:color w:val="FFFFFF"/>
                <w:sz w:val="16"/>
              </w:rPr>
              <w:t>Integrasi</w:t>
            </w:r>
          </w:p>
        </w:tc>
        <w:tc>
          <w:tcPr>
            <w:tcW w:type="dxa" w:w="4104"/>
            <w:shd w:fill="0B5E3B"/>
            <w:vAlign w:val="center"/>
            <w:tcMar>
              <w:top w:w="80" w:type="dxa"/>
              <w:start w:w="120" w:type="dxa"/>
              <w:bottom w:w="80" w:type="dxa"/>
              <w:end w:w="120" w:type="dxa"/>
            </w:tcMar>
          </w:tcPr>
          <w:p>
            <w:r>
              <w:rPr>
                <w:b/>
                <w:color w:val="FFFFFF"/>
                <w:sz w:val="16"/>
              </w:rPr>
              <w:t>Kesiapan MVP</w:t>
            </w:r>
          </w:p>
        </w:tc>
        <w:tc>
          <w:tcPr>
            <w:tcW w:type="dxa" w:w="3528"/>
            <w:shd w:fill="0B5E3B"/>
            <w:vAlign w:val="center"/>
            <w:tcMar>
              <w:top w:w="80" w:type="dxa"/>
              <w:start w:w="120" w:type="dxa"/>
              <w:bottom w:w="80" w:type="dxa"/>
              <w:end w:w="120" w:type="dxa"/>
            </w:tcMar>
          </w:tcPr>
          <w:p>
            <w:r>
              <w:rPr>
                <w:b/>
                <w:color w:val="FFFFFF"/>
                <w:sz w:val="16"/>
              </w:rPr>
              <w:t>Batas implementasi</w:t>
            </w:r>
          </w:p>
        </w:tc>
      </w:tr>
      <w:tr>
        <w:trPr>
          <w:cantSplit w:val="true"/>
        </w:trPr>
        <w:tc>
          <w:tcPr>
            <w:tcW w:type="dxa" w:w="1728"/>
            <w:vAlign w:val="center"/>
            <w:tcMar>
              <w:top w:w="80" w:type="dxa"/>
              <w:start w:w="120" w:type="dxa"/>
              <w:bottom w:w="80" w:type="dxa"/>
              <w:end w:w="120" w:type="dxa"/>
            </w:tcMar>
          </w:tcPr>
          <w:p>
            <w:pPr>
              <w:spacing w:after="20"/>
            </w:pPr>
            <w:r>
              <w:rPr>
                <w:rFonts w:ascii="Calibri" w:hAnsi="Calibri"/>
                <w:color w:val="2A2E2B"/>
                <w:sz w:val="16"/>
              </w:rPr>
              <w:t>SIMPONI</w:t>
            </w:r>
          </w:p>
        </w:tc>
        <w:tc>
          <w:tcPr>
            <w:tcW w:type="dxa" w:w="4104"/>
            <w:vAlign w:val="center"/>
            <w:tcMar>
              <w:top w:w="80" w:type="dxa"/>
              <w:start w:w="120" w:type="dxa"/>
              <w:bottom w:w="80" w:type="dxa"/>
              <w:end w:w="120" w:type="dxa"/>
            </w:tcMar>
          </w:tcPr>
          <w:p>
            <w:pPr>
              <w:spacing w:after="20"/>
            </w:pPr>
            <w:r>
              <w:rPr>
                <w:rFonts w:ascii="Calibri" w:hAnsi="Calibri"/>
                <w:color w:val="2A2E2B"/>
                <w:sz w:val="16"/>
              </w:rPr>
              <w:t>Field provider, external reference, sync status, dan adapter interface.</w:t>
            </w:r>
          </w:p>
        </w:tc>
        <w:tc>
          <w:tcPr>
            <w:tcW w:type="dxa" w:w="3528"/>
            <w:vAlign w:val="center"/>
            <w:tcMar>
              <w:top w:w="80" w:type="dxa"/>
              <w:start w:w="120" w:type="dxa"/>
              <w:bottom w:w="80" w:type="dxa"/>
              <w:end w:w="120" w:type="dxa"/>
            </w:tcMar>
          </w:tcPr>
          <w:p>
            <w:pPr>
              <w:spacing w:after="20"/>
            </w:pPr>
            <w:r>
              <w:rPr>
                <w:rFonts w:ascii="Calibri" w:hAnsi="Calibri"/>
                <w:color w:val="2A2E2B"/>
                <w:sz w:val="16"/>
              </w:rPr>
              <w:t>Pembayaran masih dicatat dan dikonfirmasi manual.</w:t>
            </w:r>
          </w:p>
        </w:tc>
      </w:tr>
      <w:tr>
        <w:trPr>
          <w:cantSplit w:val="true"/>
        </w:trPr>
        <w:tc>
          <w:tcPr>
            <w:tcW w:type="dxa" w:w="1728"/>
            <w:shd w:fill="F7FAF8"/>
            <w:vAlign w:val="center"/>
            <w:tcMar>
              <w:top w:w="80" w:type="dxa"/>
              <w:start w:w="120" w:type="dxa"/>
              <w:bottom w:w="80" w:type="dxa"/>
              <w:end w:w="120" w:type="dxa"/>
            </w:tcMar>
          </w:tcPr>
          <w:p>
            <w:pPr>
              <w:spacing w:after="20"/>
            </w:pPr>
            <w:r>
              <w:rPr>
                <w:rFonts w:ascii="Calibri" w:hAnsi="Calibri"/>
                <w:color w:val="2A2E2B"/>
                <w:sz w:val="16"/>
              </w:rPr>
              <w:t>BSrE</w:t>
            </w:r>
          </w:p>
        </w:tc>
        <w:tc>
          <w:tcPr>
            <w:tcW w:type="dxa" w:w="4104"/>
            <w:shd w:fill="F7FAF8"/>
            <w:vAlign w:val="center"/>
            <w:tcMar>
              <w:top w:w="80" w:type="dxa"/>
              <w:start w:w="120" w:type="dxa"/>
              <w:bottom w:w="80" w:type="dxa"/>
              <w:end w:w="120" w:type="dxa"/>
            </w:tcMar>
          </w:tcPr>
          <w:p>
            <w:pPr>
              <w:spacing w:after="20"/>
            </w:pPr>
            <w:r>
              <w:rPr>
                <w:rFonts w:ascii="Calibri" w:hAnsi="Calibri"/>
                <w:color w:val="2A2E2B"/>
                <w:sz w:val="16"/>
              </w:rPr>
              <w:t>Metode tanda tangan, signing status, external signature ID, dan pemisahan service penandatanganan.</w:t>
            </w:r>
          </w:p>
        </w:tc>
        <w:tc>
          <w:tcPr>
            <w:tcW w:type="dxa" w:w="3528"/>
            <w:shd w:fill="F7FAF8"/>
            <w:vAlign w:val="center"/>
            <w:tcMar>
              <w:top w:w="80" w:type="dxa"/>
              <w:start w:w="120" w:type="dxa"/>
              <w:bottom w:w="80" w:type="dxa"/>
              <w:end w:w="120" w:type="dxa"/>
            </w:tcMar>
          </w:tcPr>
          <w:p>
            <w:pPr>
              <w:spacing w:after="20"/>
            </w:pPr>
            <w:r>
              <w:rPr>
                <w:rFonts w:ascii="Calibri" w:hAnsi="Calibri"/>
                <w:color w:val="2A2E2B"/>
                <w:sz w:val="16"/>
              </w:rPr>
              <w:t>Belum aktif sampai akses resmi tersedia; penetapan STT dilakukan Kepala LPMQ.</w:t>
            </w:r>
          </w:p>
        </w:tc>
      </w:tr>
      <w:tr>
        <w:trPr>
          <w:cantSplit w:val="true"/>
        </w:trPr>
        <w:tc>
          <w:tcPr>
            <w:tcW w:type="dxa" w:w="1728"/>
            <w:vAlign w:val="center"/>
            <w:tcMar>
              <w:top w:w="80" w:type="dxa"/>
              <w:start w:w="120" w:type="dxa"/>
              <w:bottom w:w="80" w:type="dxa"/>
              <w:end w:w="120" w:type="dxa"/>
            </w:tcMar>
          </w:tcPr>
          <w:p>
            <w:pPr>
              <w:spacing w:after="20"/>
            </w:pPr>
            <w:r>
              <w:rPr>
                <w:rFonts w:ascii="Calibri" w:hAnsi="Calibri"/>
                <w:color w:val="2A2E2B"/>
                <w:sz w:val="16"/>
              </w:rPr>
              <w:t>SSO/SIMPEG</w:t>
            </w:r>
          </w:p>
        </w:tc>
        <w:tc>
          <w:tcPr>
            <w:tcW w:type="dxa" w:w="4104"/>
            <w:vAlign w:val="center"/>
            <w:tcMar>
              <w:top w:w="80" w:type="dxa"/>
              <w:start w:w="120" w:type="dxa"/>
              <w:bottom w:w="80" w:type="dxa"/>
              <w:end w:w="120" w:type="dxa"/>
            </w:tcMar>
          </w:tcPr>
          <w:p>
            <w:pPr>
              <w:spacing w:after="20"/>
            </w:pPr>
            <w:r>
              <w:rPr>
                <w:rFonts w:ascii="Calibri" w:hAnsi="Calibri"/>
                <w:color w:val="2A2E2B"/>
                <w:sz w:val="16"/>
              </w:rPr>
              <w:t>User/role tidak bergantung pada provider autentikasi tertentu.</w:t>
            </w:r>
          </w:p>
        </w:tc>
        <w:tc>
          <w:tcPr>
            <w:tcW w:type="dxa" w:w="3528"/>
            <w:vAlign w:val="center"/>
            <w:tcMar>
              <w:top w:w="80" w:type="dxa"/>
              <w:start w:w="120" w:type="dxa"/>
              <w:bottom w:w="80" w:type="dxa"/>
              <w:end w:w="120" w:type="dxa"/>
            </w:tcMar>
          </w:tcPr>
          <w:p>
            <w:pPr>
              <w:spacing w:after="20"/>
            </w:pPr>
            <w:r>
              <w:rPr>
                <w:rFonts w:ascii="Calibri" w:hAnsi="Calibri"/>
                <w:color w:val="2A2E2B"/>
                <w:sz w:val="16"/>
              </w:rPr>
              <w:t>Login lokal aman digunakan pada MVP.</w:t>
            </w:r>
          </w:p>
        </w:tc>
      </w:tr>
    </w:tbl>
    <w:p>
      <w:pPr>
        <w:spacing w:after="0"/>
      </w:pPr>
    </w:p>
    <w:p>
      <w:pPr>
        <w:pStyle w:val="Heading1"/>
      </w:pPr>
      <w:r>
        <w:t>13. Pengujian dan Penerimaan</w:t>
      </w:r>
    </w:p>
    <w:p>
      <w:pPr>
        <w:spacing w:after="80" w:line="300" w:lineRule="auto"/>
        <w:ind w:left="360" w:hanging="259"/>
      </w:pPr>
      <w:r>
        <w:t xml:space="preserve">•  </w:t>
      </w:r>
      <w:r>
        <w:t>Unit test untuk state transition, snapshot tarif/SLA, billing aktif tunggal, dan iterasi tahap.</w:t>
      </w:r>
    </w:p>
    <w:p>
      <w:pPr>
        <w:spacing w:after="80" w:line="300" w:lineRule="auto"/>
        <w:ind w:left="360" w:hanging="259"/>
      </w:pPr>
      <w:r>
        <w:t xml:space="preserve">•  </w:t>
      </w:r>
      <w:r>
        <w:t>Integration test untuk autentikasi, permission, database, file, audit, dan versioning dokumen.</w:t>
      </w:r>
    </w:p>
    <w:p>
      <w:pPr>
        <w:spacing w:after="80" w:line="300" w:lineRule="auto"/>
        <w:ind w:left="360" w:hanging="259"/>
      </w:pPr>
      <w:r>
        <w:t xml:space="preserve">•  </w:t>
      </w:r>
      <w:r>
        <w:t>End-to-end minimal untuk jalur input admin, jalur portal penerbit, jalur revisi, dan jalur selesai.</w:t>
      </w:r>
    </w:p>
    <w:p>
      <w:pPr>
        <w:spacing w:after="80" w:line="300" w:lineRule="auto"/>
        <w:ind w:left="360" w:hanging="259"/>
      </w:pPr>
      <w:r>
        <w:t xml:space="preserve">•  </w:t>
      </w:r>
      <w:r>
        <w:t>Security test untuk IDOR lintas penerbit, upload berbahaya, akses file, permission negatif, serta enumeration/rate limit endpoint QR publik.</w:t>
      </w:r>
    </w:p>
    <w:p>
      <w:pPr>
        <w:spacing w:after="80" w:line="300" w:lineRule="auto"/>
        <w:ind w:left="360" w:hanging="259"/>
      </w:pPr>
      <w:r>
        <w:t xml:space="preserve">•  </w:t>
      </w:r>
      <w:r>
        <w:t>UAT dilakukan bersama perwakilan admin, verifikator, distributor, pentashih, dokumentator, serta penerbit.</w:t>
      </w:r>
    </w:p>
    <w:p>
      <w:pPr>
        <w:pStyle w:val="Heading2"/>
      </w:pPr>
      <w:r>
        <w:t>13.1 Definition of Ready</w:t>
      </w:r>
    </w:p>
    <w:p>
      <w:pPr>
        <w:spacing w:after="80" w:line="300" w:lineRule="auto"/>
        <w:ind w:left="360" w:hanging="259"/>
      </w:pPr>
      <w:r>
        <w:t xml:space="preserve">•  </w:t>
      </w:r>
      <w:r>
        <w:t>Aktor, tujuan, acceptance criteria, field, permission, status, dependensi, dan desain layar telah jelas.</w:t>
      </w:r>
    </w:p>
    <w:p>
      <w:pPr>
        <w:spacing w:after="80" w:line="300" w:lineRule="auto"/>
        <w:ind w:left="360" w:hanging="259"/>
      </w:pPr>
      <w:r>
        <w:t xml:space="preserve">•  </w:t>
      </w:r>
      <w:r>
        <w:t>Pertanyaan stakeholder yang memblokir telah dijawab atau dinyatakan sebagai asumsi eksplisit.</w:t>
      </w:r>
    </w:p>
    <w:p>
      <w:pPr>
        <w:spacing w:after="80" w:line="300" w:lineRule="auto"/>
        <w:ind w:left="360" w:hanging="259"/>
      </w:pPr>
      <w:r>
        <w:t xml:space="preserve">•  </w:t>
      </w:r>
      <w:r>
        <w:t>Data uji tersedia.</w:t>
      </w:r>
    </w:p>
    <w:p>
      <w:pPr>
        <w:pStyle w:val="Heading2"/>
      </w:pPr>
      <w:r>
        <w:t>13.2 Definition of Done</w:t>
      </w:r>
    </w:p>
    <w:p>
      <w:pPr>
        <w:spacing w:after="80" w:line="300" w:lineRule="auto"/>
        <w:ind w:left="360" w:hanging="259"/>
      </w:pPr>
      <w:r>
        <w:t xml:space="preserve">•  </w:t>
      </w:r>
      <w:r>
        <w:t>Code review dan automated test lulus.</w:t>
      </w:r>
    </w:p>
    <w:p>
      <w:pPr>
        <w:spacing w:after="80" w:line="300" w:lineRule="auto"/>
        <w:ind w:left="360" w:hanging="259"/>
      </w:pPr>
      <w:r>
        <w:t xml:space="preserve">•  </w:t>
      </w:r>
      <w:r>
        <w:t>Acceptance criteria dan permission negatif tervalidasi di staging.</w:t>
      </w:r>
    </w:p>
    <w:p>
      <w:pPr>
        <w:spacing w:after="80" w:line="300" w:lineRule="auto"/>
        <w:ind w:left="360" w:hanging="259"/>
      </w:pPr>
      <w:r>
        <w:t xml:space="preserve">•  </w:t>
      </w:r>
      <w:r>
        <w:t>Audit, dokumentasi API/migration, dan bukti UAT diperbarui.</w:t>
      </w:r>
    </w:p>
    <w:p>
      <w:pPr>
        <w:spacing w:after="80" w:line="300" w:lineRule="auto"/>
        <w:ind w:left="360" w:hanging="259"/>
      </w:pPr>
      <w:r>
        <w:t xml:space="preserve">•  </w:t>
      </w:r>
      <w:r>
        <w:t>Tidak ada defect kritis/tinggi yang terbuka.</w:t>
      </w:r>
    </w:p>
    <w:p>
      <w:pPr>
        <w:pStyle w:val="Heading1"/>
      </w:pPr>
      <w:r>
        <w:t>14. Prioritas Implementasi MVP</w:t>
      </w:r>
    </w:p>
    <w:tbl>
      <w:tblPr>
        <w:tblStyle w:val="TableGrid"/>
        <w:tblW w:type="dxa" w:w="9360"/>
        <w:jc w:val="center"/>
        <w:tblLayout w:type="fixed"/>
        <w:tblLook w:firstColumn="1" w:firstRow="1" w:lastColumn="0" w:lastRow="0" w:noHBand="0" w:noVBand="1" w:val="04A0"/>
        <w:tblInd w:type="dxa" w:w="120"/>
      </w:tblPr>
      <w:tblGrid>
        <w:gridCol w:w="1440"/>
        <w:gridCol w:w="2592"/>
        <w:gridCol w:w="5328"/>
      </w:tblGrid>
      <w:tr>
        <w:trPr>
          <w:tblHeader w:val="true"/>
          <w:cantSplit w:val="true"/>
        </w:trPr>
        <w:tc>
          <w:tcPr>
            <w:tcW w:type="dxa" w:w="1440"/>
            <w:shd w:fill="0B5E3B"/>
            <w:vAlign w:val="center"/>
            <w:tcMar>
              <w:top w:w="80" w:type="dxa"/>
              <w:start w:w="120" w:type="dxa"/>
              <w:bottom w:w="80" w:type="dxa"/>
              <w:end w:w="120" w:type="dxa"/>
            </w:tcMar>
          </w:tcPr>
          <w:p>
            <w:r>
              <w:rPr>
                <w:b/>
                <w:color w:val="FFFFFF"/>
                <w:sz w:val="16"/>
              </w:rPr>
              <w:t>Sprint</w:t>
            </w:r>
          </w:p>
        </w:tc>
        <w:tc>
          <w:tcPr>
            <w:tcW w:type="dxa" w:w="2592"/>
            <w:shd w:fill="0B5E3B"/>
            <w:vAlign w:val="center"/>
            <w:tcMar>
              <w:top w:w="80" w:type="dxa"/>
              <w:start w:w="120" w:type="dxa"/>
              <w:bottom w:w="80" w:type="dxa"/>
              <w:end w:w="120" w:type="dxa"/>
            </w:tcMar>
          </w:tcPr>
          <w:p>
            <w:r>
              <w:rPr>
                <w:b/>
                <w:color w:val="FFFFFF"/>
                <w:sz w:val="16"/>
              </w:rPr>
              <w:t>Fokus</w:t>
            </w:r>
          </w:p>
        </w:tc>
        <w:tc>
          <w:tcPr>
            <w:tcW w:type="dxa" w:w="5328"/>
            <w:shd w:fill="0B5E3B"/>
            <w:vAlign w:val="center"/>
            <w:tcMar>
              <w:top w:w="80" w:type="dxa"/>
              <w:start w:w="120" w:type="dxa"/>
              <w:bottom w:w="80" w:type="dxa"/>
              <w:end w:w="120" w:type="dxa"/>
            </w:tcMar>
          </w:tcPr>
          <w:p>
            <w:r>
              <w:rPr>
                <w:b/>
                <w:color w:val="FFFFFF"/>
                <w:sz w:val="16"/>
              </w:rPr>
              <w:t>Output utama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0</w:t>
            </w:r>
          </w:p>
        </w:tc>
        <w:tc>
          <w:tcPr>
            <w:tcW w:type="dxa" w:w="2592"/>
            <w:vAlign w:val="center"/>
            <w:tcMar>
              <w:top w:w="80" w:type="dxa"/>
              <w:start w:w="120" w:type="dxa"/>
              <w:bottom w:w="80" w:type="dxa"/>
              <w:end w:w="120" w:type="dxa"/>
            </w:tcMar>
          </w:tcPr>
          <w:p>
            <w:pPr>
              <w:spacing w:after="20"/>
            </w:pPr>
            <w:r>
              <w:rPr>
                <w:rFonts w:ascii="Calibri" w:hAnsi="Calibri"/>
                <w:color w:val="2A2E2B"/>
                <w:sz w:val="16"/>
              </w:rPr>
              <w:t>Fondasi</w:t>
            </w:r>
          </w:p>
        </w:tc>
        <w:tc>
          <w:tcPr>
            <w:tcW w:type="dxa" w:w="5328"/>
            <w:vAlign w:val="center"/>
            <w:tcMar>
              <w:top w:w="80" w:type="dxa"/>
              <w:start w:w="120" w:type="dxa"/>
              <w:bottom w:w="80" w:type="dxa"/>
              <w:end w:w="120" w:type="dxa"/>
            </w:tcMar>
          </w:tcPr>
          <w:p>
            <w:pPr>
              <w:spacing w:after="20"/>
            </w:pPr>
            <w:r>
              <w:rPr>
                <w:rFonts w:ascii="Calibri" w:hAnsi="Calibri"/>
                <w:color w:val="2A2E2B"/>
                <w:sz w:val="16"/>
              </w:rPr>
              <w:t>Validasi requirement, ERD, repo, CI, environment, design token, OpenAPI skeleton.</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1</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Identitas &amp; master</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Login, RBAC, pengguna, penerbit, Tim Distribusi, kategori, 17 jenis layanan, addon, dan kalender kerja.</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2</w:t>
            </w:r>
          </w:p>
        </w:tc>
        <w:tc>
          <w:tcPr>
            <w:tcW w:type="dxa" w:w="2592"/>
            <w:vAlign w:val="center"/>
            <w:tcMar>
              <w:top w:w="80" w:type="dxa"/>
              <w:start w:w="120" w:type="dxa"/>
              <w:bottom w:w="80" w:type="dxa"/>
              <w:end w:w="120" w:type="dxa"/>
            </w:tcMar>
          </w:tcPr>
          <w:p>
            <w:pPr>
              <w:spacing w:after="20"/>
            </w:pPr>
            <w:r>
              <w:rPr>
                <w:rFonts w:ascii="Calibri" w:hAnsi="Calibri"/>
                <w:color w:val="2A2E2B"/>
                <w:sz w:val="16"/>
              </w:rPr>
              <w:t>Pengajuan &amp; verifikasi</w:t>
            </w:r>
          </w:p>
        </w:tc>
        <w:tc>
          <w:tcPr>
            <w:tcW w:type="dxa" w:w="5328"/>
            <w:vAlign w:val="center"/>
            <w:tcMar>
              <w:top w:w="80" w:type="dxa"/>
              <w:start w:w="120" w:type="dxa"/>
              <w:bottom w:w="80" w:type="dxa"/>
              <w:end w:w="120" w:type="dxa"/>
            </w:tcMar>
          </w:tcPr>
          <w:p>
            <w:pPr>
              <w:spacing w:after="20"/>
            </w:pPr>
            <w:r>
              <w:rPr>
                <w:rFonts w:ascii="Calibri" w:hAnsi="Calibri"/>
                <w:color w:val="2A2E2B"/>
                <w:sz w:val="16"/>
              </w:rPr>
              <w:t>Portal/admin input, cover + halaman 1–5, master fisik, antrean, tugas saya, dan persetujuan Kepala LPMQ.</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3</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Tarif &amp; pembayaran</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Snapshot tarif/SLA nonblocking, billing, verifikasi pembayaran, dan payment gate.</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4</w:t>
            </w:r>
          </w:p>
        </w:tc>
        <w:tc>
          <w:tcPr>
            <w:tcW w:type="dxa" w:w="2592"/>
            <w:vAlign w:val="center"/>
            <w:tcMar>
              <w:top w:w="80" w:type="dxa"/>
              <w:start w:w="120" w:type="dxa"/>
              <w:bottom w:w="80" w:type="dxa"/>
              <w:end w:w="120" w:type="dxa"/>
            </w:tcMar>
          </w:tcPr>
          <w:p>
            <w:pPr>
              <w:spacing w:after="20"/>
            </w:pPr>
            <w:r>
              <w:rPr>
                <w:rFonts w:ascii="Calibri" w:hAnsi="Calibri"/>
                <w:color w:val="2A2E2B"/>
                <w:sz w:val="16"/>
              </w:rPr>
              <w:t>Distribusi &amp; tashih</w:t>
            </w:r>
          </w:p>
        </w:tc>
        <w:tc>
          <w:tcPr>
            <w:tcW w:type="dxa" w:w="5328"/>
            <w:vAlign w:val="center"/>
            <w:tcMar>
              <w:top w:w="80" w:type="dxa"/>
              <w:start w:w="120" w:type="dxa"/>
              <w:bottom w:w="80" w:type="dxa"/>
              <w:end w:w="120" w:type="dxa"/>
            </w:tcMar>
          </w:tcPr>
          <w:p>
            <w:pPr>
              <w:spacing w:after="20"/>
            </w:pPr>
            <w:r>
              <w:rPr>
                <w:rFonts w:ascii="Calibri" w:hAnsi="Calibri"/>
                <w:color w:val="2A2E2B"/>
                <w:sz w:val="16"/>
              </w:rPr>
              <w:t>Tim berbasis SK, penugasan anggota, progres individual, reviu distributor, perbaikan/dumi.</w:t>
            </w:r>
          </w:p>
        </w:tc>
      </w:tr>
      <w:tr>
        <w:trPr>
          <w:cantSplit w:val="true"/>
        </w:trPr>
        <w:tc>
          <w:tcPr>
            <w:tcW w:type="dxa" w:w="1440"/>
            <w:shd w:fill="F7FAF8"/>
            <w:vAlign w:val="center"/>
            <w:tcMar>
              <w:top w:w="80" w:type="dxa"/>
              <w:start w:w="120" w:type="dxa"/>
              <w:bottom w:w="80" w:type="dxa"/>
              <w:end w:w="120" w:type="dxa"/>
            </w:tcMar>
          </w:tcPr>
          <w:p>
            <w:pPr>
              <w:spacing w:after="20"/>
            </w:pPr>
            <w:r>
              <w:rPr>
                <w:rFonts w:ascii="Calibri" w:hAnsi="Calibri"/>
                <w:color w:val="2A2E2B"/>
                <w:sz w:val="16"/>
              </w:rPr>
              <w:t>Sprint 5</w:t>
            </w:r>
          </w:p>
        </w:tc>
        <w:tc>
          <w:tcPr>
            <w:tcW w:type="dxa" w:w="2592"/>
            <w:shd w:fill="F7FAF8"/>
            <w:vAlign w:val="center"/>
            <w:tcMar>
              <w:top w:w="80" w:type="dxa"/>
              <w:start w:w="120" w:type="dxa"/>
              <w:bottom w:w="80" w:type="dxa"/>
              <w:end w:w="120" w:type="dxa"/>
            </w:tcMar>
          </w:tcPr>
          <w:p>
            <w:pPr>
              <w:spacing w:after="20"/>
            </w:pPr>
            <w:r>
              <w:rPr>
                <w:rFonts w:ascii="Calibri" w:hAnsi="Calibri"/>
                <w:color w:val="2A2E2B"/>
                <w:sz w:val="16"/>
              </w:rPr>
              <w:t>STT &amp; dokumentasi</w:t>
            </w:r>
          </w:p>
        </w:tc>
        <w:tc>
          <w:tcPr>
            <w:tcW w:type="dxa" w:w="5328"/>
            <w:shd w:fill="F7FAF8"/>
            <w:vAlign w:val="center"/>
            <w:tcMar>
              <w:top w:w="80" w:type="dxa"/>
              <w:start w:w="120" w:type="dxa"/>
              <w:bottom w:w="80" w:type="dxa"/>
              <w:end w:w="120" w:type="dxa"/>
            </w:tcMar>
          </w:tcPr>
          <w:p>
            <w:pPr>
              <w:spacing w:after="20"/>
            </w:pPr>
            <w:r>
              <w:rPr>
                <w:rFonts w:ascii="Calibri" w:hAnsi="Calibri"/>
                <w:color w:val="2A2E2B"/>
                <w:sz w:val="16"/>
              </w:rPr>
              <w:t>Penetapan STT, checklist, jumlah eksemplar/noncetak, tanda terima, penilaian, QR, masa berlaku, dan perpanjangan.</w:t>
            </w:r>
          </w:p>
        </w:tc>
      </w:tr>
      <w:tr>
        <w:trPr>
          <w:cantSplit w:val="true"/>
        </w:trPr>
        <w:tc>
          <w:tcPr>
            <w:tcW w:type="dxa" w:w="1440"/>
            <w:vAlign w:val="center"/>
            <w:tcMar>
              <w:top w:w="80" w:type="dxa"/>
              <w:start w:w="120" w:type="dxa"/>
              <w:bottom w:w="80" w:type="dxa"/>
              <w:end w:w="120" w:type="dxa"/>
            </w:tcMar>
          </w:tcPr>
          <w:p>
            <w:pPr>
              <w:spacing w:after="20"/>
            </w:pPr>
            <w:r>
              <w:rPr>
                <w:rFonts w:ascii="Calibri" w:hAnsi="Calibri"/>
                <w:color w:val="2A2E2B"/>
                <w:sz w:val="16"/>
              </w:rPr>
              <w:t>Sprint 6</w:t>
            </w:r>
          </w:p>
        </w:tc>
        <w:tc>
          <w:tcPr>
            <w:tcW w:type="dxa" w:w="2592"/>
            <w:vAlign w:val="center"/>
            <w:tcMar>
              <w:top w:w="80" w:type="dxa"/>
              <w:start w:w="120" w:type="dxa"/>
              <w:bottom w:w="80" w:type="dxa"/>
              <w:end w:w="120" w:type="dxa"/>
            </w:tcMar>
          </w:tcPr>
          <w:p>
            <w:pPr>
              <w:spacing w:after="20"/>
            </w:pPr>
            <w:r>
              <w:rPr>
                <w:rFonts w:ascii="Calibri" w:hAnsi="Calibri"/>
                <w:color w:val="2A2E2B"/>
                <w:sz w:val="16"/>
              </w:rPr>
              <w:t>Laporan &amp; hardening</w:t>
            </w:r>
          </w:p>
        </w:tc>
        <w:tc>
          <w:tcPr>
            <w:tcW w:type="dxa" w:w="5328"/>
            <w:vAlign w:val="center"/>
            <w:tcMar>
              <w:top w:w="80" w:type="dxa"/>
              <w:start w:w="120" w:type="dxa"/>
              <w:bottom w:w="80" w:type="dxa"/>
              <w:end w:w="120" w:type="dxa"/>
            </w:tcMar>
          </w:tcPr>
          <w:p>
            <w:pPr>
              <w:spacing w:after="20"/>
            </w:pPr>
            <w:r>
              <w:rPr>
                <w:rFonts w:ascii="Calibri" w:hAnsi="Calibri"/>
                <w:color w:val="2A2E2B"/>
                <w:sz w:val="16"/>
              </w:rPr>
              <w:t>Dashboard, ekspor, audit, security review, UAT, dokumentasi.</w:t>
            </w:r>
          </w:p>
        </w:tc>
      </w:tr>
    </w:tbl>
    <w:p>
      <w:pPr>
        <w:spacing w:after="0"/>
      </w:pPr>
    </w:p>
    <w:p>
      <w:pPr>
        <w:pStyle w:val="Heading1"/>
      </w:pPr>
      <w:r>
        <w:t>15. Risiko dan Mitigasi</w:t>
      </w:r>
    </w:p>
    <w:tbl>
      <w:tblPr>
        <w:tblStyle w:val="TableGrid"/>
        <w:tblW w:type="dxa" w:w="9360"/>
        <w:jc w:val="center"/>
        <w:tblLayout w:type="fixed"/>
        <w:tblLook w:firstColumn="1" w:firstRow="1" w:lastColumn="0" w:lastRow="0" w:noHBand="0" w:noVBand="1" w:val="04A0"/>
        <w:tblInd w:type="dxa" w:w="120"/>
      </w:tblPr>
      <w:tblGrid>
        <w:gridCol w:w="2880"/>
        <w:gridCol w:w="2448"/>
        <w:gridCol w:w="4032"/>
      </w:tblGrid>
      <w:tr>
        <w:trPr>
          <w:tblHeader w:val="true"/>
          <w:cantSplit w:val="true"/>
        </w:trPr>
        <w:tc>
          <w:tcPr>
            <w:tcW w:type="dxa" w:w="2880"/>
            <w:shd w:fill="0B5E3B"/>
            <w:vAlign w:val="center"/>
            <w:tcMar>
              <w:top w:w="80" w:type="dxa"/>
              <w:start w:w="120" w:type="dxa"/>
              <w:bottom w:w="80" w:type="dxa"/>
              <w:end w:w="120" w:type="dxa"/>
            </w:tcMar>
          </w:tcPr>
          <w:p>
            <w:r>
              <w:rPr>
                <w:b/>
                <w:color w:val="FFFFFF"/>
                <w:sz w:val="16"/>
              </w:rPr>
              <w:t>Risiko</w:t>
            </w:r>
          </w:p>
        </w:tc>
        <w:tc>
          <w:tcPr>
            <w:tcW w:type="dxa" w:w="2448"/>
            <w:shd w:fill="0B5E3B"/>
            <w:vAlign w:val="center"/>
            <w:tcMar>
              <w:top w:w="80" w:type="dxa"/>
              <w:start w:w="120" w:type="dxa"/>
              <w:bottom w:w="80" w:type="dxa"/>
              <w:end w:w="120" w:type="dxa"/>
            </w:tcMar>
          </w:tcPr>
          <w:p>
            <w:r>
              <w:rPr>
                <w:b/>
                <w:color w:val="FFFFFF"/>
                <w:sz w:val="16"/>
              </w:rPr>
              <w:t>Dampak</w:t>
            </w:r>
          </w:p>
        </w:tc>
        <w:tc>
          <w:tcPr>
            <w:tcW w:type="dxa" w:w="4032"/>
            <w:shd w:fill="0B5E3B"/>
            <w:vAlign w:val="center"/>
            <w:tcMar>
              <w:top w:w="80" w:type="dxa"/>
              <w:start w:w="120" w:type="dxa"/>
              <w:bottom w:w="80" w:type="dxa"/>
              <w:end w:w="120" w:type="dxa"/>
            </w:tcMar>
          </w:tcPr>
          <w:p>
            <w:r>
              <w:rPr>
                <w:b/>
                <w:color w:val="FFFFFF"/>
                <w:sz w:val="16"/>
              </w:rPr>
              <w:t>Mitigasi</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Detail SOP belum disahkan</w:t>
            </w:r>
          </w:p>
        </w:tc>
        <w:tc>
          <w:tcPr>
            <w:tcW w:type="dxa" w:w="2448"/>
            <w:vAlign w:val="center"/>
            <w:tcMar>
              <w:top w:w="80" w:type="dxa"/>
              <w:start w:w="120" w:type="dxa"/>
              <w:bottom w:w="80" w:type="dxa"/>
              <w:end w:w="120" w:type="dxa"/>
            </w:tcMar>
          </w:tcPr>
          <w:p>
            <w:pPr>
              <w:spacing w:after="20"/>
            </w:pPr>
            <w:r>
              <w:rPr>
                <w:rFonts w:ascii="Calibri" w:hAnsi="Calibri"/>
                <w:color w:val="2A2E2B"/>
                <w:sz w:val="16"/>
              </w:rPr>
              <w:t>Perubahan field atau dokumen.</w:t>
            </w:r>
          </w:p>
        </w:tc>
        <w:tc>
          <w:tcPr>
            <w:tcW w:type="dxa" w:w="4032"/>
            <w:vAlign w:val="center"/>
            <w:tcMar>
              <w:top w:w="80" w:type="dxa"/>
              <w:start w:w="120" w:type="dxa"/>
              <w:bottom w:w="80" w:type="dxa"/>
              <w:end w:w="120" w:type="dxa"/>
            </w:tcMar>
          </w:tcPr>
          <w:p>
            <w:pPr>
              <w:spacing w:after="20"/>
            </w:pPr>
            <w:r>
              <w:rPr>
                <w:rFonts w:ascii="Calibri" w:hAnsi="Calibri"/>
                <w:color w:val="2A2E2B"/>
                <w:sz w:val="16"/>
              </w:rPr>
              <w:t>Gunakan state machine konfigurabel; baseline alur v2.2 berlaku sampai hasil rapat dituangkan dalam keputusan.</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Tarif/SLA sementara</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Perhitungan tidak sesuai ketentuan.</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Effective date, snapshot, referensi regulasi, dan approval perubahan.</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Portal dan input admin tumpang tindih</w:t>
            </w:r>
          </w:p>
        </w:tc>
        <w:tc>
          <w:tcPr>
            <w:tcW w:type="dxa" w:w="2448"/>
            <w:vAlign w:val="center"/>
            <w:tcMar>
              <w:top w:w="80" w:type="dxa"/>
              <w:start w:w="120" w:type="dxa"/>
              <w:bottom w:w="80" w:type="dxa"/>
              <w:end w:w="120" w:type="dxa"/>
            </w:tcMar>
          </w:tcPr>
          <w:p>
            <w:pPr>
              <w:spacing w:after="20"/>
            </w:pPr>
            <w:r>
              <w:rPr>
                <w:rFonts w:ascii="Calibri" w:hAnsi="Calibri"/>
                <w:color w:val="2A2E2B"/>
                <w:sz w:val="16"/>
              </w:rPr>
              <w:t>Duplikasi data.</w:t>
            </w:r>
          </w:p>
        </w:tc>
        <w:tc>
          <w:tcPr>
            <w:tcW w:type="dxa" w:w="4032"/>
            <w:vAlign w:val="center"/>
            <w:tcMar>
              <w:top w:w="80" w:type="dxa"/>
              <w:start w:w="120" w:type="dxa"/>
              <w:bottom w:w="80" w:type="dxa"/>
              <w:end w:w="120" w:type="dxa"/>
            </w:tcMar>
          </w:tcPr>
          <w:p>
            <w:pPr>
              <w:spacing w:after="20"/>
            </w:pPr>
            <w:r>
              <w:rPr>
                <w:rFonts w:ascii="Calibri" w:hAnsi="Calibri"/>
                <w:color w:val="2A2E2B"/>
                <w:sz w:val="16"/>
              </w:rPr>
              <w:t>Satu backend/database serta submission_source.</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Kepala LPMQ berhalangan</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Persetujuan atau STT tertunda.</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Model signatory/delegation generik; tetapkan pejabat pengganti dan dasar kewenangan sebelum Sprint 5.</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Lima eksemplar tidak lengkap</w:t>
            </w:r>
          </w:p>
        </w:tc>
        <w:tc>
          <w:tcPr>
            <w:tcW w:type="dxa" w:w="2448"/>
            <w:vAlign w:val="center"/>
            <w:tcMar>
              <w:top w:w="80" w:type="dxa"/>
              <w:start w:w="120" w:type="dxa"/>
              <w:bottom w:w="80" w:type="dxa"/>
              <w:end w:w="120" w:type="dxa"/>
            </w:tcMar>
          </w:tcPr>
          <w:p>
            <w:pPr>
              <w:spacing w:after="20"/>
            </w:pPr>
            <w:r>
              <w:rPr>
                <w:rFonts w:ascii="Calibri" w:hAnsi="Calibri"/>
                <w:color w:val="2A2E2B"/>
                <w:sz w:val="16"/>
              </w:rPr>
              <w:t>Indikator kepatuhan turun.</w:t>
            </w:r>
          </w:p>
        </w:tc>
        <w:tc>
          <w:tcPr>
            <w:tcW w:type="dxa" w:w="4032"/>
            <w:vAlign w:val="center"/>
            <w:tcMar>
              <w:top w:w="80" w:type="dxa"/>
              <w:start w:w="120" w:type="dxa"/>
              <w:bottom w:w="80" w:type="dxa"/>
              <w:end w:w="120" w:type="dxa"/>
            </w:tcMar>
          </w:tcPr>
          <w:p>
            <w:pPr>
              <w:spacing w:after="20"/>
            </w:pPr>
            <w:r>
              <w:rPr>
                <w:rFonts w:ascii="Calibri" w:hAnsi="Calibri"/>
                <w:color w:val="2A2E2B"/>
                <w:sz w:val="16"/>
              </w:rPr>
              <w:t>Catat jumlah aktual, alasan, dan penilaian; jangan memblokir penyelesaian.</w:t>
            </w:r>
          </w:p>
        </w:tc>
      </w:tr>
      <w:tr>
        <w:trPr>
          <w:cantSplit w:val="true"/>
        </w:trPr>
        <w:tc>
          <w:tcPr>
            <w:tcW w:type="dxa" w:w="2880"/>
            <w:shd w:fill="F7FAF8"/>
            <w:vAlign w:val="center"/>
            <w:tcMar>
              <w:top w:w="80" w:type="dxa"/>
              <w:start w:w="120" w:type="dxa"/>
              <w:bottom w:w="80" w:type="dxa"/>
              <w:end w:w="120" w:type="dxa"/>
            </w:tcMar>
          </w:tcPr>
          <w:p>
            <w:pPr>
              <w:spacing w:after="20"/>
            </w:pPr>
            <w:r>
              <w:rPr>
                <w:rFonts w:ascii="Calibri" w:hAnsi="Calibri"/>
                <w:color w:val="2A2E2B"/>
                <w:sz w:val="16"/>
              </w:rPr>
              <w:t>Integrasi eksternal tertunda</w:t>
            </w:r>
          </w:p>
        </w:tc>
        <w:tc>
          <w:tcPr>
            <w:tcW w:type="dxa" w:w="2448"/>
            <w:shd w:fill="F7FAF8"/>
            <w:vAlign w:val="center"/>
            <w:tcMar>
              <w:top w:w="80" w:type="dxa"/>
              <w:start w:w="120" w:type="dxa"/>
              <w:bottom w:w="80" w:type="dxa"/>
              <w:end w:w="120" w:type="dxa"/>
            </w:tcMar>
          </w:tcPr>
          <w:p>
            <w:pPr>
              <w:spacing w:after="20"/>
            </w:pPr>
            <w:r>
              <w:rPr>
                <w:rFonts w:ascii="Calibri" w:hAnsi="Calibri"/>
                <w:color w:val="2A2E2B"/>
                <w:sz w:val="16"/>
              </w:rPr>
              <w:t>Fitur pembayaran/tanda tangan terhambat.</w:t>
            </w:r>
          </w:p>
        </w:tc>
        <w:tc>
          <w:tcPr>
            <w:tcW w:type="dxa" w:w="4032"/>
            <w:shd w:fill="F7FAF8"/>
            <w:vAlign w:val="center"/>
            <w:tcMar>
              <w:top w:w="80" w:type="dxa"/>
              <w:start w:w="120" w:type="dxa"/>
              <w:bottom w:w="80" w:type="dxa"/>
              <w:end w:w="120" w:type="dxa"/>
            </w:tcMar>
          </w:tcPr>
          <w:p>
            <w:pPr>
              <w:spacing w:after="20"/>
            </w:pPr>
            <w:r>
              <w:rPr>
                <w:rFonts w:ascii="Calibri" w:hAnsi="Calibri"/>
                <w:color w:val="2A2E2B"/>
                <w:sz w:val="16"/>
              </w:rPr>
              <w:t>Mode manual dan adapter interface.</w:t>
            </w:r>
          </w:p>
        </w:tc>
      </w:tr>
      <w:tr>
        <w:trPr>
          <w:cantSplit w:val="true"/>
        </w:trPr>
        <w:tc>
          <w:tcPr>
            <w:tcW w:type="dxa" w:w="2880"/>
            <w:vAlign w:val="center"/>
            <w:tcMar>
              <w:top w:w="80" w:type="dxa"/>
              <w:start w:w="120" w:type="dxa"/>
              <w:bottom w:w="80" w:type="dxa"/>
              <w:end w:w="120" w:type="dxa"/>
            </w:tcMar>
          </w:tcPr>
          <w:p>
            <w:pPr>
              <w:spacing w:after="20"/>
            </w:pPr>
            <w:r>
              <w:rPr>
                <w:rFonts w:ascii="Calibri" w:hAnsi="Calibri"/>
                <w:color w:val="2A2E2B"/>
                <w:sz w:val="16"/>
              </w:rPr>
              <w:t>File sensitif bocor</w:t>
            </w:r>
          </w:p>
        </w:tc>
        <w:tc>
          <w:tcPr>
            <w:tcW w:type="dxa" w:w="2448"/>
            <w:vAlign w:val="center"/>
            <w:tcMar>
              <w:top w:w="80" w:type="dxa"/>
              <w:start w:w="120" w:type="dxa"/>
              <w:bottom w:w="80" w:type="dxa"/>
              <w:end w:w="120" w:type="dxa"/>
            </w:tcMar>
          </w:tcPr>
          <w:p>
            <w:pPr>
              <w:spacing w:after="20"/>
            </w:pPr>
            <w:r>
              <w:rPr>
                <w:rFonts w:ascii="Calibri" w:hAnsi="Calibri"/>
                <w:color w:val="2A2E2B"/>
                <w:sz w:val="16"/>
              </w:rPr>
              <w:t>Risiko keamanan dan kepatuhan.</w:t>
            </w:r>
          </w:p>
        </w:tc>
        <w:tc>
          <w:tcPr>
            <w:tcW w:type="dxa" w:w="4032"/>
            <w:vAlign w:val="center"/>
            <w:tcMar>
              <w:top w:w="80" w:type="dxa"/>
              <w:start w:w="120" w:type="dxa"/>
              <w:bottom w:w="80" w:type="dxa"/>
              <w:end w:w="120" w:type="dxa"/>
            </w:tcMar>
          </w:tcPr>
          <w:p>
            <w:pPr>
              <w:spacing w:after="20"/>
            </w:pPr>
            <w:r>
              <w:rPr>
                <w:rFonts w:ascii="Calibri" w:hAnsi="Calibri"/>
                <w:color w:val="2A2E2B"/>
                <w:sz w:val="16"/>
              </w:rPr>
              <w:t>Private storage, authorization, URL sementara, audit, dan scan upload.</w:t>
            </w:r>
          </w:p>
        </w:tc>
      </w:tr>
    </w:tbl>
    <w:p>
      <w:pPr>
        <w:spacing w:after="0"/>
      </w:pPr>
    </w:p>
    <w:p>
      <w:pPr>
        <w:pStyle w:val="Heading1"/>
      </w:pPr>
      <w:r>
        <w:t>16. Keputusan Terbuka</w:t>
      </w:r>
    </w:p>
    <w:p>
      <w:pPr>
        <w:spacing w:after="80" w:line="300" w:lineRule="auto"/>
        <w:ind w:left="360" w:hanging="259"/>
      </w:pPr>
      <w:r>
        <w:t xml:space="preserve">•  </w:t>
      </w:r>
      <w:r>
        <w:t>Mekanisme delegasi apabila Kepala LPMQ berhalangan menandatangani dokumen.</w:t>
      </w:r>
    </w:p>
    <w:p>
      <w:pPr>
        <w:spacing w:after="80" w:line="300" w:lineRule="auto"/>
        <w:ind w:left="360" w:hanging="259"/>
      </w:pPr>
      <w:r>
        <w:t xml:space="preserve">•  </w:t>
      </w:r>
      <w:r>
        <w:t>Format nomor dan template resmi Berita Acara Tashih, Surat Tanda Tashih, tanda terima master, dan tanda terima eksemplar.</w:t>
      </w:r>
    </w:p>
    <w:p>
      <w:pPr>
        <w:spacing w:after="80" w:line="300" w:lineRule="auto"/>
        <w:ind w:left="360" w:hanging="259"/>
      </w:pPr>
      <w:r>
        <w:t xml:space="preserve">•  </w:t>
      </w:r>
      <w:r>
        <w:t>Apakah PusdokQ dan arsiparis membutuhkan akun/antrean tersendiri atau cukup dicatat sebagai tujuan serah terima.</w:t>
      </w:r>
    </w:p>
    <w:p>
      <w:pPr>
        <w:spacing w:after="80" w:line="300" w:lineRule="auto"/>
        <w:ind w:left="360" w:hanging="259"/>
      </w:pPr>
      <w:r>
        <w:t xml:space="preserve">•  </w:t>
      </w:r>
      <w:r>
        <w:t>Daftar dokumen badan hukum wajib per tipe penerbit.</w:t>
      </w:r>
    </w:p>
    <w:p>
      <w:pPr>
        <w:spacing w:after="80" w:line="300" w:lineRule="auto"/>
        <w:ind w:left="360" w:hanging="259"/>
      </w:pPr>
      <w:r>
        <w:t xml:space="preserve">•  </w:t>
      </w:r>
      <w:r>
        <w:t>Batas ukuran/format file, retensi, dan infrastruktur penyimpanan.</w:t>
      </w:r>
    </w:p>
    <w:p>
      <w:pPr>
        <w:spacing w:after="80" w:line="300" w:lineRule="auto"/>
        <w:ind w:left="360" w:hanging="259"/>
      </w:pPr>
      <w:r>
        <w:t xml:space="preserve">•  </w:t>
      </w:r>
      <w:r>
        <w:t>Mekanisme pembatalan setelah pembayaran dan kemungkinan pengembalian PNBP.</w:t>
      </w:r>
    </w:p>
    <w:p>
      <w:pPr>
        <w:spacing w:after="80" w:line="300" w:lineRule="auto"/>
        <w:ind w:left="360" w:hanging="259"/>
      </w:pPr>
      <w:r>
        <w:t xml:space="preserve">•  </w:t>
      </w:r>
      <w:r>
        <w:t>Kebijakan apakah cover pada verifikasi QR ditampilkan penuh atau dalam resolusi terbatas.</w:t>
      </w:r>
    </w:p>
    <w:p>
      <w:pPr>
        <w:pStyle w:val="Heading1"/>
      </w:pPr>
      <w:r>
        <w:t>17. Sumber Resmi</w:t>
      </w:r>
    </w:p>
    <w:tbl>
      <w:tblPr>
        <w:tblStyle w:val="TableGrid"/>
        <w:tblW w:type="dxa" w:w="9360"/>
        <w:jc w:val="center"/>
        <w:tblLayout w:type="fixed"/>
        <w:tblLook w:firstColumn="1" w:firstRow="1" w:lastColumn="0" w:lastRow="0" w:noHBand="0" w:noVBand="1" w:val="04A0"/>
        <w:tblInd w:type="dxa" w:w="120"/>
      </w:tblPr>
      <w:tblGrid>
        <w:gridCol w:w="5472"/>
        <w:gridCol w:w="3888"/>
      </w:tblGrid>
      <w:tr>
        <w:trPr>
          <w:tblHeader w:val="true"/>
          <w:cantSplit w:val="true"/>
        </w:trPr>
        <w:tc>
          <w:tcPr>
            <w:tcW w:type="dxa" w:w="5472"/>
            <w:shd w:fill="0B5E3B"/>
            <w:vAlign w:val="center"/>
            <w:tcMar>
              <w:top w:w="80" w:type="dxa"/>
              <w:start w:w="120" w:type="dxa"/>
              <w:bottom w:w="80" w:type="dxa"/>
              <w:end w:w="120" w:type="dxa"/>
            </w:tcMar>
          </w:tcPr>
          <w:p>
            <w:r>
              <w:rPr>
                <w:b/>
                <w:color w:val="FFFFFF"/>
                <w:sz w:val="15"/>
              </w:rPr>
              <w:t>Sumber</w:t>
            </w:r>
          </w:p>
        </w:tc>
        <w:tc>
          <w:tcPr>
            <w:tcW w:type="dxa" w:w="3888"/>
            <w:shd w:fill="0B5E3B"/>
            <w:vAlign w:val="center"/>
            <w:tcMar>
              <w:top w:w="80" w:type="dxa"/>
              <w:start w:w="120" w:type="dxa"/>
              <w:bottom w:w="80" w:type="dxa"/>
              <w:end w:w="120" w:type="dxa"/>
            </w:tcMar>
          </w:tcPr>
          <w:p>
            <w:r>
              <w:rPr>
                <w:b/>
                <w:color w:val="FFFFFF"/>
                <w:sz w:val="15"/>
              </w:rPr>
              <w:t>Penggunaan</w:t>
            </w:r>
          </w:p>
        </w:tc>
      </w:tr>
      <w:tr>
        <w:trPr>
          <w:cantSplit w:val="true"/>
        </w:trPr>
        <w:tc>
          <w:tcPr>
            <w:tcW w:type="dxa" w:w="5472"/>
            <w:vAlign w:val="center"/>
            <w:tcMar>
              <w:top w:w="80" w:type="dxa"/>
              <w:start w:w="120" w:type="dxa"/>
              <w:bottom w:w="80" w:type="dxa"/>
              <w:end w:w="120" w:type="dxa"/>
            </w:tcMar>
          </w:tcPr>
          <w:p>
            <w:pPr>
              <w:spacing w:after="20"/>
            </w:pPr>
            <w:r>
              <w:rPr>
                <w:rFonts w:ascii="Calibri" w:hAnsi="Calibri"/>
                <w:color w:val="2A2E2B"/>
                <w:sz w:val="15"/>
              </w:rPr>
              <w:t>3. SOP Pendaftaran Mushaf Al-Qur’an_rev(1).xlsx (judul: SOP Verifikasi Mushaf Al-Qur’an)</w:t>
            </w:r>
          </w:p>
        </w:tc>
        <w:tc>
          <w:tcPr>
            <w:tcW w:type="dxa" w:w="3888"/>
            <w:vAlign w:val="center"/>
            <w:tcMar>
              <w:top w:w="80" w:type="dxa"/>
              <w:start w:w="120" w:type="dxa"/>
              <w:bottom w:w="80" w:type="dxa"/>
              <w:end w:w="120" w:type="dxa"/>
            </w:tcMar>
          </w:tcPr>
          <w:p>
            <w:pPr>
              <w:spacing w:after="20"/>
            </w:pPr>
            <w:r>
              <w:rPr>
                <w:rFonts w:ascii="Calibri" w:hAnsi="Calibri"/>
                <w:color w:val="2A2E2B"/>
                <w:sz w:val="15"/>
              </w:rPr>
              <w:t>Alur verifikasi, persetujuan Kepala LPMQ, notifikasi, billing, dan payment gate.</w:t>
            </w:r>
          </w:p>
        </w:tc>
      </w:tr>
      <w:tr>
        <w:trPr>
          <w:cantSplit w:val="true"/>
        </w:trPr>
        <w:tc>
          <w:tcPr>
            <w:tcW w:type="dxa" w:w="5472"/>
            <w:shd w:fill="F7FAF8"/>
            <w:vAlign w:val="center"/>
            <w:tcMar>
              <w:top w:w="80" w:type="dxa"/>
              <w:start w:w="120" w:type="dxa"/>
              <w:bottom w:w="80" w:type="dxa"/>
              <w:end w:w="120" w:type="dxa"/>
            </w:tcMar>
          </w:tcPr>
          <w:p>
            <w:pPr>
              <w:spacing w:after="20"/>
            </w:pPr>
            <w:r>
              <w:rPr>
                <w:rFonts w:ascii="Calibri" w:hAnsi="Calibri"/>
                <w:color w:val="2A2E2B"/>
                <w:sz w:val="15"/>
              </w:rPr>
              <w:t>4. SOP Pentashihan Master Mushaf Al-Qur’an_rev.xlsx</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5"/>
              </w:rPr>
              <w:t>Distribusi berbasis SK, penugasan pentashih, rekomendasi hasil, reviu distributor, perbaikan/dumi, dan proses STT.</w:t>
            </w:r>
          </w:p>
        </w:tc>
      </w:tr>
      <w:tr>
        <w:trPr>
          <w:cantSplit w:val="true"/>
        </w:trPr>
        <w:tc>
          <w:tcPr>
            <w:tcW w:type="dxa" w:w="5472"/>
            <w:vAlign w:val="center"/>
            <w:tcMar>
              <w:top w:w="80" w:type="dxa"/>
              <w:start w:w="120" w:type="dxa"/>
              <w:bottom w:w="80" w:type="dxa"/>
              <w:end w:w="120" w:type="dxa"/>
            </w:tcMar>
          </w:tcPr>
          <w:p>
            <w:pPr>
              <w:spacing w:after="20"/>
            </w:pPr>
            <w:r>
              <w:rPr>
                <w:rFonts w:ascii="Calibri" w:hAnsi="Calibri"/>
                <w:color w:val="2A2E2B"/>
                <w:sz w:val="15"/>
              </w:rPr>
              <w:t>SOP Dokumentasikan Mushaf Al-Qur’an_rev.xlsx</w:t>
            </w:r>
          </w:p>
        </w:tc>
        <w:tc>
          <w:tcPr>
            <w:tcW w:type="dxa" w:w="3888"/>
            <w:vAlign w:val="center"/>
            <w:tcMar>
              <w:top w:w="80" w:type="dxa"/>
              <w:start w:w="120" w:type="dxa"/>
              <w:bottom w:w="80" w:type="dxa"/>
              <w:end w:w="120" w:type="dxa"/>
            </w:tcMar>
          </w:tcPr>
          <w:p>
            <w:pPr>
              <w:spacing w:after="20"/>
            </w:pPr>
            <w:r>
              <w:rPr>
                <w:rFonts w:ascii="Calibri" w:hAnsi="Calibri"/>
                <w:color w:val="2A2E2B"/>
                <w:sz w:val="15"/>
              </w:rPr>
              <w:t>Cross-check dokumentasi, target lima eksemplar, tanda terima, pelaporan, dan penyerahan arsip.</w:t>
            </w:r>
          </w:p>
        </w:tc>
      </w:tr>
      <w:tr>
        <w:trPr>
          <w:cantSplit w:val="true"/>
        </w:trPr>
        <w:tc>
          <w:tcPr>
            <w:tcW w:type="dxa" w:w="5472"/>
            <w:shd w:fill="F7FAF8"/>
            <w:vAlign w:val="center"/>
            <w:tcMar>
              <w:top w:w="80" w:type="dxa"/>
              <w:start w:w="120" w:type="dxa"/>
              <w:bottom w:w="80" w:type="dxa"/>
              <w:end w:w="120" w:type="dxa"/>
            </w:tcMar>
          </w:tcPr>
          <w:p>
            <w:pPr>
              <w:spacing w:after="20"/>
            </w:pPr>
            <w:r>
              <w:rPr>
                <w:rFonts w:ascii="Calibri" w:hAnsi="Calibri"/>
                <w:color w:val="2A2E2B"/>
                <w:sz w:val="15"/>
              </w:rPr>
              <w:t>https://tashih.kemenag.go.id/info-layanan-pentashihan/read/standar-pelayanan-permohonan-surat-tanda-tashih</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5"/>
              </w:rPr>
              <w:t>Persyaratan, alur layanan, 17 jenis/SLA, tarif PNBP, billing tujuh hari, dan penerbitan dokumen.</w:t>
            </w:r>
          </w:p>
        </w:tc>
      </w:tr>
      <w:tr>
        <w:trPr>
          <w:cantSplit w:val="true"/>
        </w:trPr>
        <w:tc>
          <w:tcPr>
            <w:tcW w:type="dxa" w:w="5472"/>
            <w:vAlign w:val="center"/>
            <w:tcMar>
              <w:top w:w="80" w:type="dxa"/>
              <w:start w:w="120" w:type="dxa"/>
              <w:bottom w:w="80" w:type="dxa"/>
              <w:end w:w="120" w:type="dxa"/>
            </w:tcMar>
          </w:tcPr>
          <w:p>
            <w:pPr>
              <w:spacing w:after="20"/>
            </w:pPr>
            <w:r>
              <w:rPr>
                <w:rFonts w:ascii="Calibri" w:hAnsi="Calibri"/>
                <w:color w:val="2A2E2B"/>
                <w:sz w:val="15"/>
              </w:rPr>
              <w:t>https://tashih.kemenag.go.id/faq</w:t>
            </w:r>
          </w:p>
        </w:tc>
        <w:tc>
          <w:tcPr>
            <w:tcW w:type="dxa" w:w="3888"/>
            <w:vAlign w:val="center"/>
            <w:tcMar>
              <w:top w:w="80" w:type="dxa"/>
              <w:start w:w="120" w:type="dxa"/>
              <w:bottom w:w="80" w:type="dxa"/>
              <w:end w:w="120" w:type="dxa"/>
            </w:tcMar>
          </w:tcPr>
          <w:p>
            <w:pPr>
              <w:spacing w:after="20"/>
            </w:pPr>
            <w:r>
              <w:rPr>
                <w:rFonts w:ascii="Calibri" w:hAnsi="Calibri"/>
                <w:color w:val="2A2E2B"/>
                <w:sz w:val="15"/>
              </w:rPr>
              <w:t>Masa berlaku dua tahun, perpanjangan, penetapan oleh Kepala LPMQ, dan kebijakan umum Surat Tanda Tashih.</w:t>
            </w:r>
          </w:p>
        </w:tc>
      </w:tr>
      <w:tr>
        <w:trPr>
          <w:cantSplit w:val="true"/>
        </w:trPr>
        <w:tc>
          <w:tcPr>
            <w:tcW w:type="dxa" w:w="5472"/>
            <w:shd w:fill="F7FAF8"/>
            <w:vAlign w:val="center"/>
            <w:tcMar>
              <w:top w:w="80" w:type="dxa"/>
              <w:start w:w="120" w:type="dxa"/>
              <w:bottom w:w="80" w:type="dxa"/>
              <w:end w:w="120" w:type="dxa"/>
            </w:tcMar>
          </w:tcPr>
          <w:p>
            <w:pPr>
              <w:spacing w:after="20"/>
            </w:pPr>
            <w:r>
              <w:rPr>
                <w:rFonts w:ascii="Calibri" w:hAnsi="Calibri"/>
                <w:color w:val="2A2E2B"/>
                <w:sz w:val="15"/>
              </w:rPr>
              <w:t>https://tashih.kemenag.go.id/faq?page=3</w:t>
            </w:r>
          </w:p>
        </w:tc>
        <w:tc>
          <w:tcPr>
            <w:tcW w:type="dxa" w:w="3888"/>
            <w:shd w:fill="F7FAF8"/>
            <w:vAlign w:val="center"/>
            <w:tcMar>
              <w:top w:w="80" w:type="dxa"/>
              <w:start w:w="120" w:type="dxa"/>
              <w:bottom w:w="80" w:type="dxa"/>
              <w:end w:w="120" w:type="dxa"/>
            </w:tcMar>
          </w:tcPr>
          <w:p>
            <w:pPr>
              <w:spacing w:after="20"/>
            </w:pPr>
            <w:r>
              <w:rPr>
                <w:rFonts w:ascii="Calibri" w:hAnsi="Calibri"/>
                <w:color w:val="2A2E2B"/>
                <w:sz w:val="15"/>
              </w:rPr>
              <w:t>Elemen informasi yang ditampilkan dalam QR Surat Tanda Tashih.</w:t>
            </w:r>
          </w:p>
        </w:tc>
      </w:tr>
    </w:tbl>
    <w:p>
      <w:pPr>
        <w:spacing w:after="0"/>
      </w:pPr>
    </w:p>
    <w:p>
      <w:pPr>
        <w:pStyle w:val="Heading1"/>
      </w:pPr>
      <w:r>
        <w:t>18. Exit Criteria Sebelum Coding Fitur</w:t>
      </w:r>
    </w:p>
    <w:p>
      <w:pPr>
        <w:spacing w:after="80" w:line="300" w:lineRule="auto"/>
        <w:ind w:left="360" w:hanging="259"/>
      </w:pPr>
      <w:r>
        <w:t xml:space="preserve">•  </w:t>
      </w:r>
      <w:r>
        <w:t>SRS v2, ERD, dan backlog disetujui sebagai baseline.</w:t>
      </w:r>
    </w:p>
    <w:p>
      <w:pPr>
        <w:spacing w:after="80" w:line="300" w:lineRule="auto"/>
        <w:ind w:left="360" w:hanging="259"/>
      </w:pPr>
      <w:r>
        <w:t xml:space="preserve">•  </w:t>
      </w:r>
      <w:r>
        <w:t>Role/permission serta status/transisi minimum disepakati.</w:t>
      </w:r>
    </w:p>
    <w:p>
      <w:pPr>
        <w:spacing w:after="80" w:line="300" w:lineRule="auto"/>
        <w:ind w:left="360" w:hanging="259"/>
      </w:pPr>
      <w:r>
        <w:t xml:space="preserve">•  </w:t>
      </w:r>
      <w:r>
        <w:t>Seed master data diberi label sementara atau telah mempunyai sumber resmi.</w:t>
      </w:r>
    </w:p>
    <w:p>
      <w:pPr>
        <w:spacing w:after="80" w:line="300" w:lineRule="auto"/>
        <w:ind w:left="360" w:hanging="259"/>
      </w:pPr>
      <w:r>
        <w:t xml:space="preserve">•  </w:t>
      </w:r>
      <w:r>
        <w:t>Wireframe layar P0 dan OpenAPI skeleton tersedia.</w:t>
      </w:r>
    </w:p>
    <w:p>
      <w:pPr>
        <w:spacing w:after="80" w:line="300" w:lineRule="auto"/>
        <w:ind w:left="360" w:hanging="259"/>
      </w:pPr>
      <w:r>
        <w:t xml:space="preserve">•  </w:t>
      </w:r>
      <w:r>
        <w:t>Repository, branching, CI, environment, database migration, dan secret management siap.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15C"/>
        <w:sz w:val="16"/>
      </w:rPr>
      <w:t xml:space="preserve">SRS v2.2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15C"/>
        <w:sz w:val="16"/>
      </w:rPr>
      <w:t>LPMQ — Sistem Manajemen Layanan Pentashihan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A2E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5E3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B7A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B886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5E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5B615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Sistem Manajemen Layanan Pentashihan LPMQ v2.2</dc:title>
  <dc:subject>Software Requirements Specification dan baseline MVP</dc:subject>
  <dc:creator>Tim Magang / Pengembang Internal LPMQ</dc:creator>
  <cp:keywords>LPMQ, SRS, pentashihan, mushaf, MVP</cp:keywords>
  <dc:description>generated by python-docx</dc:description>
  <cp:lastModifiedBy/>
  <cp:revision>1</cp:revision>
  <dcterms:created xsi:type="dcterms:W3CDTF">2013-12-23T23:15:00Z</dcterms:created>
  <dcterms:modified xsi:type="dcterms:W3CDTF">2013-12-23T23:15:00Z</dcterms:modified>
  <cp:category/>
</cp:coreProperties>
</file>