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b/>
          <w:i w:val="0"/>
          <w:color w:val="000000"/>
          <w:sz w:val="38"/>
        </w:rPr>
        <w:t>Development Environment and Workflow</w:t>
      </w:r>
    </w:p>
    <w:p>
      <w:pPr>
        <w:spacing w:after="40"/>
        <w:jc w:val="center"/>
      </w:pPr>
      <w:r>
        <w:rPr>
          <w:rFonts w:ascii="Calibri" w:hAnsi="Calibri" w:eastAsia="Calibri"/>
          <w:b w:val="0"/>
          <w:i/>
          <w:color w:val="000000"/>
          <w:sz w:val="23"/>
        </w:rPr>
        <w:t>Predicting Diabetes Risk from Behavioural and Demographic Health Indicators</w:t>
      </w:r>
    </w:p>
    <w:p>
      <w:pPr>
        <w:spacing w:after="40"/>
        <w:jc w:val="center"/>
      </w:pPr>
      <w:r>
        <w:rPr>
          <w:rFonts w:ascii="Calibri" w:hAnsi="Calibri" w:eastAsia="Calibri"/>
          <w:b w:val="0"/>
          <w:i w:val="0"/>
          <w:color w:val="000000"/>
          <w:sz w:val="21"/>
        </w:rPr>
        <w:t>EE-439 — Introduction to Machine Learning</w:t>
      </w:r>
    </w:p>
    <w:p>
      <w:pPr>
        <w:spacing w:after="280"/>
        <w:jc w:val="center"/>
      </w:pPr>
      <w:r>
        <w:rPr>
          <w:rFonts w:ascii="Calibri" w:hAnsi="Calibri" w:eastAsia="Calibri"/>
          <w:b w:val="0"/>
          <w:i w:val="0"/>
          <w:color w:val="000000"/>
          <w:sz w:val="21"/>
        </w:rPr>
        <w:t>Faris Mujtaba Qureshi (2022-EE-80) · Mustajib Sami (2022-EE-71)</w:t>
      </w:r>
    </w:p>
    <w:p>
      <w:pPr>
        <w:pStyle w:val="Heading1"/>
      </w:pPr>
      <w:r>
        <w:rPr>
          <w:rFonts w:ascii="Calibri" w:hAnsi="Calibri"/>
          <w:color w:val="000000"/>
        </w:rPr>
        <w:t>1. Summary</w:t>
      </w:r>
    </w:p>
    <w:p>
      <w:pPr>
        <w:jc w:val="both"/>
      </w:pPr>
      <w:r>
        <w:rPr>
          <w:rFonts w:ascii="Calibri" w:hAnsi="Calibri" w:eastAsia="Calibri"/>
          <w:b w:val="0"/>
          <w:i w:val="0"/>
          <w:color w:val="000000"/>
        </w:rPr>
        <w:t>The entire project was developed locally in Visual Studio Code on Windows 11, using Jupyter notebooks running against a dedicated Conda environment. No cloud notebook service was used, and no part of the analysis depends on one.</w:t>
      </w:r>
    </w:p>
    <w:p>
      <w:pPr>
        <w:pStyle w:val="Heading1"/>
      </w:pPr>
      <w:r>
        <w:rPr>
          <w:rFonts w:ascii="Calibri" w:hAnsi="Calibri"/>
          <w:color w:val="000000"/>
        </w:rPr>
        <w:t>2. Tooling</w:t>
      </w:r>
    </w:p>
    <w:tbl>
      <w:tblPr>
        <w:tblStyle w:val="TableGrid"/>
        <w:tblW w:type="auto" w:w="0"/>
        <w:jc w:val="center"/>
        <w:tblLook w:firstColumn="1" w:firstRow="1" w:lastColumn="0" w:lastRow="0" w:noHBand="0" w:noVBand="1" w:val="04A0"/>
      </w:tblPr>
      <w:tblGrid>
        <w:gridCol w:w="4824"/>
        <w:gridCol w:w="4824"/>
      </w:tblGrid>
      <w:tr>
        <w:tc>
          <w:tcPr>
            <w:tcW w:type="dxa" w:w="2736"/>
          </w:tcPr>
          <w:p>
            <w:pPr>
              <w:spacing w:after="40" w:before="40"/>
            </w:pPr>
            <w:r>
              <w:rPr>
                <w:rFonts w:ascii="Calibri" w:hAnsi="Calibri"/>
                <w:b/>
                <w:color w:val="000000"/>
                <w:sz w:val="20"/>
              </w:rPr>
              <w:t>Component</w:t>
            </w:r>
          </w:p>
        </w:tc>
        <w:tc>
          <w:tcPr>
            <w:tcW w:type="dxa" w:w="6912"/>
          </w:tcPr>
          <w:p>
            <w:pPr>
              <w:spacing w:after="40" w:before="40"/>
            </w:pPr>
            <w:r>
              <w:rPr>
                <w:rFonts w:ascii="Calibri" w:hAnsi="Calibri"/>
                <w:b/>
                <w:color w:val="000000"/>
                <w:sz w:val="20"/>
              </w:rPr>
              <w:t>Detail</w:t>
            </w:r>
          </w:p>
        </w:tc>
      </w:tr>
      <w:tr>
        <w:tc>
          <w:tcPr>
            <w:tcW w:type="dxa" w:w="2736"/>
          </w:tcPr>
          <w:p>
            <w:pPr>
              <w:spacing w:after="40" w:before="40"/>
            </w:pPr>
            <w:r>
              <w:rPr>
                <w:rFonts w:ascii="Calibri" w:hAnsi="Calibri"/>
                <w:color w:val="000000"/>
                <w:sz w:val="20"/>
              </w:rPr>
              <w:t>Editor / IDE</w:t>
            </w:r>
          </w:p>
        </w:tc>
        <w:tc>
          <w:tcPr>
            <w:tcW w:type="dxa" w:w="6912"/>
          </w:tcPr>
          <w:p>
            <w:pPr>
              <w:spacing w:after="40" w:before="40"/>
            </w:pPr>
            <w:r>
              <w:rPr>
                <w:rFonts w:ascii="Calibri" w:hAnsi="Calibri"/>
                <w:color w:val="000000"/>
                <w:sz w:val="20"/>
              </w:rPr>
              <w:t>Visual Studio Code 1.130.0</w:t>
            </w:r>
          </w:p>
        </w:tc>
      </w:tr>
      <w:tr>
        <w:tc>
          <w:tcPr>
            <w:tcW w:type="dxa" w:w="2736"/>
          </w:tcPr>
          <w:p>
            <w:pPr>
              <w:spacing w:after="40" w:before="40"/>
            </w:pPr>
            <w:r>
              <w:rPr>
                <w:rFonts w:ascii="Calibri" w:hAnsi="Calibri"/>
                <w:color w:val="000000"/>
                <w:sz w:val="20"/>
              </w:rPr>
              <w:t>Extensions</w:t>
            </w:r>
          </w:p>
        </w:tc>
        <w:tc>
          <w:tcPr>
            <w:tcW w:type="dxa" w:w="6912"/>
          </w:tcPr>
          <w:p>
            <w:pPr>
              <w:spacing w:after="40" w:before="40"/>
            </w:pPr>
            <w:r>
              <w:rPr>
                <w:rFonts w:ascii="Calibri" w:hAnsi="Calibri"/>
                <w:color w:val="000000"/>
                <w:sz w:val="20"/>
              </w:rPr>
              <w:t>Python and Jupyter (Microsoft)</w:t>
            </w:r>
          </w:p>
        </w:tc>
      </w:tr>
      <w:tr>
        <w:tc>
          <w:tcPr>
            <w:tcW w:type="dxa" w:w="2736"/>
          </w:tcPr>
          <w:p>
            <w:pPr>
              <w:spacing w:after="40" w:before="40"/>
            </w:pPr>
            <w:r>
              <w:rPr>
                <w:rFonts w:ascii="Calibri" w:hAnsi="Calibri"/>
                <w:color w:val="000000"/>
                <w:sz w:val="20"/>
              </w:rPr>
              <w:t>Notebook format</w:t>
            </w:r>
          </w:p>
        </w:tc>
        <w:tc>
          <w:tcPr>
            <w:tcW w:type="dxa" w:w="6912"/>
          </w:tcPr>
          <w:p>
            <w:pPr>
              <w:spacing w:after="40" w:before="40"/>
            </w:pPr>
            <w:r>
              <w:rPr>
                <w:rFonts w:ascii="Calibri" w:hAnsi="Calibri"/>
                <w:color w:val="000000"/>
                <w:sz w:val="20"/>
              </w:rPr>
              <w:t>Jupyter (.ipynb), executed by the VS Code notebook editor</w:t>
            </w:r>
          </w:p>
        </w:tc>
      </w:tr>
      <w:tr>
        <w:tc>
          <w:tcPr>
            <w:tcW w:type="dxa" w:w="2736"/>
          </w:tcPr>
          <w:p>
            <w:pPr>
              <w:spacing w:after="40" w:before="40"/>
            </w:pPr>
            <w:r>
              <w:rPr>
                <w:rFonts w:ascii="Calibri" w:hAnsi="Calibri"/>
                <w:color w:val="000000"/>
                <w:sz w:val="20"/>
              </w:rPr>
              <w:t>Kernel</w:t>
            </w:r>
          </w:p>
        </w:tc>
        <w:tc>
          <w:tcPr>
            <w:tcW w:type="dxa" w:w="6912"/>
          </w:tcPr>
          <w:p>
            <w:pPr>
              <w:spacing w:after="40" w:before="40"/>
            </w:pPr>
            <w:r>
              <w:rPr>
                <w:rFonts w:ascii="Calibri" w:hAnsi="Calibri"/>
                <w:color w:val="000000"/>
                <w:sz w:val="20"/>
              </w:rPr>
              <w:t>ipykernel 7.3.0</w:t>
            </w:r>
          </w:p>
        </w:tc>
      </w:tr>
      <w:tr>
        <w:tc>
          <w:tcPr>
            <w:tcW w:type="dxa" w:w="2736"/>
          </w:tcPr>
          <w:p>
            <w:pPr>
              <w:spacing w:after="40" w:before="40"/>
            </w:pPr>
            <w:r>
              <w:rPr>
                <w:rFonts w:ascii="Calibri" w:hAnsi="Calibri"/>
                <w:color w:val="000000"/>
                <w:sz w:val="20"/>
              </w:rPr>
              <w:t>Environment manager</w:t>
            </w:r>
          </w:p>
        </w:tc>
        <w:tc>
          <w:tcPr>
            <w:tcW w:type="dxa" w:w="6912"/>
          </w:tcPr>
          <w:p>
            <w:pPr>
              <w:spacing w:after="40" w:before="40"/>
            </w:pPr>
            <w:r>
              <w:rPr>
                <w:rFonts w:ascii="Calibri" w:hAnsi="Calibri"/>
                <w:color w:val="000000"/>
                <w:sz w:val="20"/>
              </w:rPr>
              <w:t>Conda (environment stored inside the project folder)</w:t>
            </w:r>
          </w:p>
        </w:tc>
      </w:tr>
      <w:tr>
        <w:tc>
          <w:tcPr>
            <w:tcW w:type="dxa" w:w="2736"/>
          </w:tcPr>
          <w:p>
            <w:pPr>
              <w:spacing w:after="40" w:before="40"/>
            </w:pPr>
            <w:r>
              <w:rPr>
                <w:rFonts w:ascii="Calibri" w:hAnsi="Calibri"/>
                <w:color w:val="000000"/>
                <w:sz w:val="20"/>
              </w:rPr>
              <w:t>Language</w:t>
            </w:r>
          </w:p>
        </w:tc>
        <w:tc>
          <w:tcPr>
            <w:tcW w:type="dxa" w:w="6912"/>
          </w:tcPr>
          <w:p>
            <w:pPr>
              <w:spacing w:after="40" w:before="40"/>
            </w:pPr>
            <w:r>
              <w:rPr>
                <w:rFonts w:ascii="Calibri" w:hAnsi="Calibri"/>
                <w:color w:val="000000"/>
                <w:sz w:val="20"/>
              </w:rPr>
              <w:t>Python 3.14.6 (CPython)</w:t>
            </w:r>
          </w:p>
        </w:tc>
      </w:tr>
      <w:tr>
        <w:tc>
          <w:tcPr>
            <w:tcW w:type="dxa" w:w="2736"/>
          </w:tcPr>
          <w:p>
            <w:pPr>
              <w:spacing w:after="40" w:before="40"/>
            </w:pPr>
            <w:r>
              <w:rPr>
                <w:rFonts w:ascii="Calibri" w:hAnsi="Calibri"/>
                <w:color w:val="000000"/>
                <w:sz w:val="20"/>
              </w:rPr>
              <w:t>Version of record</w:t>
            </w:r>
          </w:p>
        </w:tc>
        <w:tc>
          <w:tcPr>
            <w:tcW w:type="dxa" w:w="6912"/>
          </w:tcPr>
          <w:p>
            <w:pPr>
              <w:spacing w:after="40" w:before="40"/>
            </w:pPr>
            <w:r>
              <w:rPr>
                <w:rFonts w:ascii="Calibri" w:hAnsi="Calibri"/>
                <w:color w:val="000000"/>
                <w:sz w:val="20"/>
              </w:rPr>
              <w:t>Notebooks are saved with all cell outputs intact</w:t>
            </w:r>
          </w:p>
        </w:tc>
      </w:tr>
    </w:tbl>
    <w:p>
      <w:pPr>
        <w:spacing w:after="80"/>
      </w:pPr>
    </w:p>
    <w:p>
      <w:pPr>
        <w:pStyle w:val="Heading1"/>
      </w:pPr>
      <w:r>
        <w:rPr>
          <w:rFonts w:ascii="Calibri" w:hAnsi="Calibri"/>
          <w:color w:val="000000"/>
        </w:rPr>
        <w:t>3. Machine used</w:t>
      </w:r>
    </w:p>
    <w:tbl>
      <w:tblPr>
        <w:tblStyle w:val="TableGrid"/>
        <w:tblW w:type="auto" w:w="0"/>
        <w:jc w:val="center"/>
        <w:tblLook w:firstColumn="1" w:firstRow="1" w:lastColumn="0" w:lastRow="0" w:noHBand="0" w:noVBand="1" w:val="04A0"/>
      </w:tblPr>
      <w:tblGrid>
        <w:gridCol w:w="4824"/>
        <w:gridCol w:w="4824"/>
      </w:tblGrid>
      <w:tr>
        <w:tc>
          <w:tcPr>
            <w:tcW w:type="dxa" w:w="2736"/>
          </w:tcPr>
          <w:p>
            <w:pPr>
              <w:spacing w:after="40" w:before="40"/>
            </w:pPr>
            <w:r>
              <w:rPr>
                <w:rFonts w:ascii="Calibri" w:hAnsi="Calibri"/>
                <w:b/>
                <w:color w:val="000000"/>
                <w:sz w:val="20"/>
              </w:rPr>
              <w:t>Component</w:t>
            </w:r>
          </w:p>
        </w:tc>
        <w:tc>
          <w:tcPr>
            <w:tcW w:type="dxa" w:w="6912"/>
          </w:tcPr>
          <w:p>
            <w:pPr>
              <w:spacing w:after="40" w:before="40"/>
            </w:pPr>
            <w:r>
              <w:rPr>
                <w:rFonts w:ascii="Calibri" w:hAnsi="Calibri"/>
                <w:b/>
                <w:color w:val="000000"/>
                <w:sz w:val="20"/>
              </w:rPr>
              <w:t>Detail</w:t>
            </w:r>
          </w:p>
        </w:tc>
      </w:tr>
      <w:tr>
        <w:tc>
          <w:tcPr>
            <w:tcW w:type="dxa" w:w="2736"/>
          </w:tcPr>
          <w:p>
            <w:pPr>
              <w:spacing w:after="40" w:before="40"/>
            </w:pPr>
            <w:r>
              <w:rPr>
                <w:rFonts w:ascii="Calibri" w:hAnsi="Calibri"/>
                <w:color w:val="000000"/>
                <w:sz w:val="20"/>
              </w:rPr>
              <w:t>Operating system</w:t>
            </w:r>
          </w:p>
        </w:tc>
        <w:tc>
          <w:tcPr>
            <w:tcW w:type="dxa" w:w="6912"/>
          </w:tcPr>
          <w:p>
            <w:pPr>
              <w:spacing w:after="40" w:before="40"/>
            </w:pPr>
            <w:r>
              <w:rPr>
                <w:rFonts w:ascii="Calibri" w:hAnsi="Calibri"/>
                <w:color w:val="000000"/>
                <w:sz w:val="20"/>
              </w:rPr>
              <w:t>Windows 11 Pro (build 10.0.26200)</w:t>
            </w:r>
          </w:p>
        </w:tc>
      </w:tr>
      <w:tr>
        <w:tc>
          <w:tcPr>
            <w:tcW w:type="dxa" w:w="2736"/>
          </w:tcPr>
          <w:p>
            <w:pPr>
              <w:spacing w:after="40" w:before="40"/>
            </w:pPr>
            <w:r>
              <w:rPr>
                <w:rFonts w:ascii="Calibri" w:hAnsi="Calibri"/>
                <w:color w:val="000000"/>
                <w:sz w:val="20"/>
              </w:rPr>
              <w:t>Architecture</w:t>
            </w:r>
          </w:p>
        </w:tc>
        <w:tc>
          <w:tcPr>
            <w:tcW w:type="dxa" w:w="6912"/>
          </w:tcPr>
          <w:p>
            <w:pPr>
              <w:spacing w:after="40" w:before="40"/>
            </w:pPr>
            <w:r>
              <w:rPr>
                <w:rFonts w:ascii="Calibri" w:hAnsi="Calibri"/>
                <w:color w:val="000000"/>
                <w:sz w:val="20"/>
              </w:rPr>
              <w:t>AMD64 (x86-64)</w:t>
            </w:r>
          </w:p>
        </w:tc>
      </w:tr>
      <w:tr>
        <w:tc>
          <w:tcPr>
            <w:tcW w:type="dxa" w:w="2736"/>
          </w:tcPr>
          <w:p>
            <w:pPr>
              <w:spacing w:after="40" w:before="40"/>
            </w:pPr>
            <w:r>
              <w:rPr>
                <w:rFonts w:ascii="Calibri" w:hAnsi="Calibri"/>
                <w:color w:val="000000"/>
                <w:sz w:val="20"/>
              </w:rPr>
              <w:t>Processor</w:t>
            </w:r>
          </w:p>
        </w:tc>
        <w:tc>
          <w:tcPr>
            <w:tcW w:type="dxa" w:w="6912"/>
          </w:tcPr>
          <w:p>
            <w:pPr>
              <w:spacing w:after="40" w:before="40"/>
            </w:pPr>
            <w:r>
              <w:rPr>
                <w:rFonts w:ascii="Calibri" w:hAnsi="Calibri"/>
                <w:color w:val="000000"/>
                <w:sz w:val="20"/>
              </w:rPr>
              <w:t>Intel 64 Family 6 Model 183</w:t>
            </w:r>
          </w:p>
        </w:tc>
      </w:tr>
      <w:tr>
        <w:tc>
          <w:tcPr>
            <w:tcW w:type="dxa" w:w="2736"/>
          </w:tcPr>
          <w:p>
            <w:pPr>
              <w:spacing w:after="40" w:before="40"/>
            </w:pPr>
            <w:r>
              <w:rPr>
                <w:rFonts w:ascii="Calibri" w:hAnsi="Calibri"/>
                <w:color w:val="000000"/>
                <w:sz w:val="20"/>
              </w:rPr>
              <w:t>Logical cores</w:t>
            </w:r>
          </w:p>
        </w:tc>
        <w:tc>
          <w:tcPr>
            <w:tcW w:type="dxa" w:w="6912"/>
          </w:tcPr>
          <w:p>
            <w:pPr>
              <w:spacing w:after="40" w:before="40"/>
            </w:pPr>
            <w:r>
              <w:rPr>
                <w:rFonts w:ascii="Calibri" w:hAnsi="Calibri"/>
                <w:color w:val="000000"/>
                <w:sz w:val="20"/>
              </w:rPr>
              <w:t>28</w:t>
            </w:r>
          </w:p>
        </w:tc>
      </w:tr>
    </w:tbl>
    <w:p>
      <w:pPr>
        <w:spacing w:after="80"/>
      </w:pPr>
    </w:p>
    <w:p>
      <w:pPr>
        <w:jc w:val="both"/>
      </w:pPr>
      <w:r>
        <w:rPr>
          <w:rFonts w:ascii="Calibri" w:hAnsi="Calibri" w:eastAsia="Calibri"/>
          <w:b w:val="0"/>
          <w:i w:val="0"/>
          <w:color w:val="000000"/>
        </w:rPr>
        <w:t>Core count affects speed only. Cross-validation and permutation importance are parallelised, so the same code runs correctly but more slowly on a smaller machine. Nothing depends on having 28 cores.</w:t>
      </w:r>
    </w:p>
    <w:p>
      <w:pPr>
        <w:pStyle w:val="Heading1"/>
      </w:pPr>
      <w:r>
        <w:rPr>
          <w:rFonts w:ascii="Calibri" w:hAnsi="Calibri"/>
          <w:color w:val="000000"/>
        </w:rPr>
        <w:t>4. Why this setup</w:t>
      </w:r>
    </w:p>
    <w:p>
      <w:pPr>
        <w:pStyle w:val="ListBullet"/>
        <w:spacing w:after="60"/>
      </w:pPr>
      <w:r>
        <w:rPr>
          <w:rFonts w:ascii="Calibri" w:hAnsi="Calibri" w:eastAsia="Calibri"/>
          <w:b/>
          <w:i w:val="0"/>
          <w:color w:val="000000"/>
        </w:rPr>
        <w:t xml:space="preserve">Local rather than cloud. </w:t>
      </w:r>
      <w:r>
        <w:rPr>
          <w:rFonts w:ascii="Calibri" w:hAnsi="Calibri" w:eastAsia="Calibri"/>
          <w:b w:val="0"/>
          <w:i w:val="0"/>
          <w:color w:val="000000"/>
        </w:rPr>
        <w:t>The dataset is 21.7 MB and the heaviest model trains in under two seconds, so cloud compute was unnecessary. Working locally also kept package versions fixed for the life of the project.</w:t>
      </w:r>
    </w:p>
    <w:p>
      <w:pPr>
        <w:pStyle w:val="ListBullet"/>
        <w:spacing w:after="60"/>
      </w:pPr>
      <w:r>
        <w:rPr>
          <w:rFonts w:ascii="Calibri" w:hAnsi="Calibri" w:eastAsia="Calibri"/>
          <w:b/>
          <w:i w:val="0"/>
          <w:color w:val="000000"/>
        </w:rPr>
        <w:t xml:space="preserve">VS Code rather than a bare Jupyter server. </w:t>
      </w:r>
      <w:r>
        <w:rPr>
          <w:rFonts w:ascii="Calibri" w:hAnsi="Calibri" w:eastAsia="Calibri"/>
          <w:b w:val="0"/>
          <w:i w:val="0"/>
          <w:color w:val="000000"/>
        </w:rPr>
        <w:t>The integrated editor provides version-control awareness, linting and variable inspection beside the notebook, which made debugging the preprocessing much easier.</w:t>
      </w:r>
    </w:p>
    <w:p>
      <w:pPr>
        <w:pStyle w:val="ListBullet"/>
        <w:spacing w:after="60"/>
      </w:pPr>
      <w:r>
        <w:rPr>
          <w:rFonts w:ascii="Calibri" w:hAnsi="Calibri" w:eastAsia="Calibri"/>
          <w:b/>
          <w:i w:val="0"/>
          <w:color w:val="000000"/>
        </w:rPr>
        <w:t xml:space="preserve">A project-local Conda environment. </w:t>
      </w:r>
      <w:r>
        <w:rPr>
          <w:rFonts w:ascii="Calibri" w:hAnsi="Calibri" w:eastAsia="Calibri"/>
          <w:b w:val="0"/>
          <w:i w:val="0"/>
          <w:color w:val="000000"/>
        </w:rPr>
        <w:t>Keeping the environment in the project folder rather than installing system-wide means the versions listed in the dependencies document are exactly those the results were produced with.</w:t>
      </w:r>
    </w:p>
    <w:p>
      <w:pPr>
        <w:pStyle w:val="Heading1"/>
      </w:pPr>
      <w:r>
        <w:rPr>
          <w:rFonts w:ascii="Calibri" w:hAnsi="Calibri"/>
          <w:color w:val="000000"/>
        </w:rPr>
        <w:t>5. Workflow</w:t>
      </w:r>
    </w:p>
    <w:p>
      <w:pPr>
        <w:jc w:val="both"/>
      </w:pPr>
      <w:r>
        <w:rPr>
          <w:rFonts w:ascii="Calibri" w:hAnsi="Calibri" w:eastAsia="Calibri"/>
          <w:b w:val="0"/>
          <w:i w:val="0"/>
          <w:color w:val="000000"/>
        </w:rPr>
        <w:t>Three notebooks run in sequence, each writing files the next reads. Splitting the work this way prevents expensive or irreversible steps from being repeated by accident — in particular the train/test split is made once, in notebook 01, and every later notebook loads that same split rather than making a new one.</w:t>
      </w:r>
    </w:p>
    <w:tbl>
      <w:tblPr>
        <w:tblStyle w:val="TableGrid"/>
        <w:tblW w:type="auto" w:w="0"/>
        <w:jc w:val="center"/>
        <w:tblLook w:firstColumn="1" w:firstRow="1" w:lastColumn="0" w:lastRow="0" w:noHBand="0" w:noVBand="1" w:val="04A0"/>
      </w:tblPr>
      <w:tblGrid>
        <w:gridCol w:w="3216"/>
        <w:gridCol w:w="3216"/>
        <w:gridCol w:w="3216"/>
      </w:tblGrid>
      <w:tr>
        <w:tc>
          <w:tcPr>
            <w:tcW w:type="dxa" w:w="2160"/>
          </w:tcPr>
          <w:p>
            <w:pPr>
              <w:spacing w:after="40" w:before="40"/>
            </w:pPr>
            <w:r>
              <w:rPr>
                <w:rFonts w:ascii="Calibri" w:hAnsi="Calibri"/>
                <w:b/>
                <w:color w:val="000000"/>
                <w:sz w:val="18"/>
              </w:rPr>
              <w:t>Stage</w:t>
            </w:r>
          </w:p>
        </w:tc>
        <w:tc>
          <w:tcPr>
            <w:tcW w:type="dxa" w:w="4104"/>
          </w:tcPr>
          <w:p>
            <w:pPr>
              <w:spacing w:after="40" w:before="40"/>
            </w:pPr>
            <w:r>
              <w:rPr>
                <w:rFonts w:ascii="Calibri" w:hAnsi="Calibri"/>
                <w:b/>
                <w:color w:val="000000"/>
                <w:sz w:val="18"/>
              </w:rPr>
              <w:t>Notebook</w:t>
            </w:r>
          </w:p>
        </w:tc>
        <w:tc>
          <w:tcPr>
            <w:tcW w:type="dxa" w:w="3384"/>
          </w:tcPr>
          <w:p>
            <w:pPr>
              <w:spacing w:after="40" w:before="40"/>
            </w:pPr>
            <w:r>
              <w:rPr>
                <w:rFonts w:ascii="Calibri" w:hAnsi="Calibri"/>
                <w:b/>
                <w:color w:val="000000"/>
                <w:sz w:val="18"/>
              </w:rPr>
              <w:t>Writes</w:t>
            </w:r>
          </w:p>
        </w:tc>
      </w:tr>
      <w:tr>
        <w:tc>
          <w:tcPr>
            <w:tcW w:type="dxa" w:w="2160"/>
          </w:tcPr>
          <w:p>
            <w:pPr>
              <w:spacing w:after="40" w:before="40"/>
            </w:pPr>
            <w:r>
              <w:rPr>
                <w:rFonts w:ascii="Consolas" w:hAnsi="Consolas"/>
                <w:color w:val="000000"/>
                <w:sz w:val="18"/>
              </w:rPr>
              <w:t>1. Explore and prepare</w:t>
            </w:r>
          </w:p>
        </w:tc>
        <w:tc>
          <w:tcPr>
            <w:tcW w:type="dxa" w:w="4104"/>
          </w:tcPr>
          <w:p>
            <w:pPr>
              <w:spacing w:after="40" w:before="40"/>
            </w:pPr>
            <w:r>
              <w:rPr>
                <w:rFonts w:ascii="Calibri" w:hAnsi="Calibri"/>
                <w:color w:val="000000"/>
                <w:sz w:val="18"/>
              </w:rPr>
              <w:t>01_data_exploration_and_preprocessing.ipynb</w:t>
            </w:r>
          </w:p>
        </w:tc>
        <w:tc>
          <w:tcPr>
            <w:tcW w:type="dxa" w:w="3384"/>
          </w:tcPr>
          <w:p>
            <w:pPr>
              <w:spacing w:after="40" w:before="40"/>
            </w:pPr>
            <w:r>
              <w:rPr>
                <w:rFonts w:ascii="Calibri" w:hAnsi="Calibri"/>
                <w:color w:val="000000"/>
                <w:sz w:val="18"/>
              </w:rPr>
              <w:t>brfss_train_test.npz, brfss_preprocessor.joblib</w:t>
            </w:r>
          </w:p>
        </w:tc>
      </w:tr>
      <w:tr>
        <w:tc>
          <w:tcPr>
            <w:tcW w:type="dxa" w:w="2160"/>
          </w:tcPr>
          <w:p>
            <w:pPr>
              <w:spacing w:after="40" w:before="40"/>
            </w:pPr>
            <w:r>
              <w:rPr>
                <w:rFonts w:ascii="Consolas" w:hAnsi="Consolas"/>
                <w:color w:val="000000"/>
                <w:sz w:val="18"/>
              </w:rPr>
              <w:t>2. Train and validate</w:t>
            </w:r>
          </w:p>
        </w:tc>
        <w:tc>
          <w:tcPr>
            <w:tcW w:type="dxa" w:w="4104"/>
          </w:tcPr>
          <w:p>
            <w:pPr>
              <w:spacing w:after="40" w:before="40"/>
            </w:pPr>
            <w:r>
              <w:rPr>
                <w:rFonts w:ascii="Calibri" w:hAnsi="Calibri"/>
                <w:color w:val="000000"/>
                <w:sz w:val="18"/>
              </w:rPr>
              <w:t>02_model_training_and_selection.ipynb</w:t>
            </w:r>
          </w:p>
        </w:tc>
        <w:tc>
          <w:tcPr>
            <w:tcW w:type="dxa" w:w="3384"/>
          </w:tcPr>
          <w:p>
            <w:pPr>
              <w:spacing w:after="40" w:before="40"/>
            </w:pPr>
            <w:r>
              <w:rPr>
                <w:rFonts w:ascii="Calibri" w:hAnsi="Calibri"/>
                <w:color w:val="000000"/>
                <w:sz w:val="18"/>
              </w:rPr>
              <w:t>four .joblib models, model_comparison_full.csv</w:t>
            </w:r>
          </w:p>
        </w:tc>
      </w:tr>
      <w:tr>
        <w:tc>
          <w:tcPr>
            <w:tcW w:type="dxa" w:w="2160"/>
          </w:tcPr>
          <w:p>
            <w:pPr>
              <w:spacing w:after="40" w:before="40"/>
            </w:pPr>
            <w:r>
              <w:rPr>
                <w:rFonts w:ascii="Consolas" w:hAnsi="Consolas"/>
                <w:color w:val="000000"/>
                <w:sz w:val="18"/>
              </w:rPr>
              <w:t>3. Final testing</w:t>
            </w:r>
          </w:p>
        </w:tc>
        <w:tc>
          <w:tcPr>
            <w:tcW w:type="dxa" w:w="4104"/>
          </w:tcPr>
          <w:p>
            <w:pPr>
              <w:spacing w:after="40" w:before="40"/>
            </w:pPr>
            <w:r>
              <w:rPr>
                <w:rFonts w:ascii="Calibri" w:hAnsi="Calibri"/>
                <w:color w:val="000000"/>
                <w:sz w:val="18"/>
              </w:rPr>
              <w:t>03_final_evaluation.ipynb</w:t>
            </w:r>
          </w:p>
        </w:tc>
        <w:tc>
          <w:tcPr>
            <w:tcW w:type="dxa" w:w="3384"/>
          </w:tcPr>
          <w:p>
            <w:pPr>
              <w:spacing w:after="40" w:before="40"/>
            </w:pPr>
            <w:r>
              <w:rPr>
                <w:rFonts w:ascii="Calibri" w:hAnsi="Calibri"/>
                <w:color w:val="000000"/>
                <w:sz w:val="18"/>
              </w:rPr>
              <w:t>final_model_lightgbm.joblib, final_test_results.json</w:t>
            </w:r>
          </w:p>
        </w:tc>
      </w:tr>
    </w:tbl>
    <w:p>
      <w:pPr>
        <w:spacing w:after="80"/>
      </w:pPr>
    </w:p>
    <w:p>
      <w:pPr>
        <w:pStyle w:val="Heading1"/>
      </w:pPr>
      <w:r>
        <w:rPr>
          <w:rFonts w:ascii="Calibri" w:hAnsi="Calibri"/>
          <w:color w:val="000000"/>
        </w:rPr>
        <w:t>6. Reproducibility</w:t>
      </w:r>
    </w:p>
    <w:p>
      <w:pPr>
        <w:jc w:val="both"/>
      </w:pPr>
      <w:r>
        <w:rPr>
          <w:rFonts w:ascii="Calibri" w:hAnsi="Calibri" w:eastAsia="Calibri"/>
          <w:b w:val="0"/>
          <w:i w:val="0"/>
          <w:color w:val="000000"/>
        </w:rPr>
        <w:t>Re-running the notebooks in order reproduces every number in the report exactly. Three things make that true.</w:t>
      </w:r>
    </w:p>
    <w:p>
      <w:pPr>
        <w:pStyle w:val="ListBullet"/>
        <w:spacing w:after="60"/>
      </w:pPr>
      <w:r>
        <w:rPr>
          <w:rFonts w:ascii="Calibri" w:hAnsi="Calibri" w:eastAsia="Calibri"/>
          <w:b/>
          <w:i w:val="0"/>
          <w:color w:val="000000"/>
        </w:rPr>
        <w:t xml:space="preserve">Fixed random seeds. </w:t>
      </w:r>
      <w:r>
        <w:rPr>
          <w:rFonts w:ascii="Calibri" w:hAnsi="Calibri" w:eastAsia="Calibri"/>
          <w:b w:val="0"/>
          <w:i w:val="0"/>
          <w:color w:val="000000"/>
        </w:rPr>
        <w:t>Every operation involving randomness — the train/test split, the cross-validation folds, and each model's internal randomness — is seeded with 42.</w:t>
      </w:r>
    </w:p>
    <w:p>
      <w:pPr>
        <w:pStyle w:val="ListBullet"/>
        <w:spacing w:after="60"/>
      </w:pPr>
      <w:r>
        <w:rPr>
          <w:rFonts w:ascii="Calibri" w:hAnsi="Calibri" w:eastAsia="Calibri"/>
          <w:b/>
          <w:i w:val="0"/>
          <w:color w:val="000000"/>
        </w:rPr>
        <w:t xml:space="preserve">The split is saved, not recomputed. </w:t>
      </w:r>
      <w:r>
        <w:rPr>
          <w:rFonts w:ascii="Calibri" w:hAnsi="Calibri" w:eastAsia="Calibri"/>
          <w:b w:val="0"/>
          <w:i w:val="0"/>
          <w:color w:val="000000"/>
        </w:rPr>
        <w:t>Notebook 01 writes it to disk and later notebooks load it, so the same records stay on the same side throughout.</w:t>
      </w:r>
    </w:p>
    <w:p>
      <w:pPr>
        <w:pStyle w:val="ListBullet"/>
        <w:spacing w:after="60"/>
      </w:pPr>
      <w:r>
        <w:rPr>
          <w:rFonts w:ascii="Calibri" w:hAnsi="Calibri" w:eastAsia="Calibri"/>
          <w:b/>
          <w:i w:val="0"/>
          <w:color w:val="000000"/>
        </w:rPr>
        <w:t xml:space="preserve">The fitted preprocessor is saved. </w:t>
      </w:r>
      <w:r>
        <w:rPr>
          <w:rFonts w:ascii="Calibri" w:hAnsi="Calibri" w:eastAsia="Calibri"/>
          <w:b w:val="0"/>
          <w:i w:val="0"/>
          <w:color w:val="000000"/>
        </w:rPr>
        <w:t>The scaler is fitted on the training set only and stored, so new data can be transformed exactly as the models were trained on.</w:t>
      </w:r>
    </w:p>
    <w:p>
      <w:pPr>
        <w:jc w:val="both"/>
      </w:pPr>
      <w:r>
        <w:rPr>
          <w:rFonts w:ascii="Calibri" w:hAnsi="Calibri" w:eastAsia="Calibri"/>
          <w:b w:val="0"/>
          <w:i w:val="0"/>
          <w:color w:val="000000"/>
        </w:rPr>
        <w:t>The test set was opened exactly once, in notebook 03, after the model had already been chosen. It was not used for training, for tuning, for choosing the decision threshold, or for selecting between the four candidates.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