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3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tabs>
          <w:tab w:pos="2264" w:val="left"/>
          <w:tab w:pos="2754" w:val="left"/>
        </w:tabs>
        <w:autoSpaceDE w:val="0"/>
        <w:widowControl/>
        <w:spacing w:line="317" w:lineRule="auto" w:before="236" w:after="0"/>
        <w:ind w:left="388" w:right="288" w:firstLine="0"/>
        <w:jc w:val="left"/>
      </w:pPr>
      <w:r>
        <w:rPr>
          <w:rFonts w:ascii="Arial" w:hAnsi="Arial" w:eastAsia="Arial"/>
          <w:b/>
          <w:i w:val="0"/>
          <w:color w:val="000000"/>
          <w:sz w:val="28"/>
        </w:rPr>
        <w:t>O'ZBEKISTON RESPUBLIKASI OLIY TA'LIM, FAN VA INNOVATSIYALAR VAZIRLIGI</w:t>
        <w:br/>
        <w:tab/>
        <w:tab/>
        <w:t>TERMIZ DAVLAT UNIVERSITETI</w:t>
      </w:r>
      <w:r/>
      <w:r>
        <w:rPr>
          <w:rFonts w:ascii="Arial" w:hAnsi="Arial" w:eastAsia="Arial"/>
          <w:b/>
          <w:i w:val="0"/>
          <w:color w:val="000000"/>
          <w:sz w:val="28"/>
        </w:rPr>
      </w:r>
      <w:r/>
      <w:r/>
      <w:r/>
      <w:r>
        <w:rPr>
          <w:rFonts w:ascii="Arial" w:hAnsi="Arial" w:eastAsia="Arial"/>
          <w:b/>
          <w:i w:val="0"/>
          <w:color w:val="000000"/>
          <w:sz w:val="28"/>
        </w:rPr>
      </w:r>
    </w:p>
    <w:p>
      <w:pPr>
        <w:autoSpaceDN w:val="0"/>
        <w:autoSpaceDE w:val="0"/>
        <w:widowControl/>
        <w:spacing w:line="240" w:lineRule="auto" w:before="1130" w:after="0"/>
        <w:ind w:left="0" w:right="0" w:firstLine="0"/>
        <w:jc w:val="center"/>
      </w:pPr>
      <w:r>
        <w:drawing>
          <wp:inline xmlns:a="http://schemas.openxmlformats.org/drawingml/2006/main" xmlns:pic="http://schemas.openxmlformats.org/drawingml/2006/picture">
            <wp:extent cx="2114550" cy="21158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114550" cy="2115820"/>
                    </a:xfrm>
                    <a:prstGeom prst="rect"/>
                  </pic:spPr>
                </pic:pic>
              </a:graphicData>
            </a:graphic>
          </wp:inline>
        </w:drawing>
      </w:r>
    </w:p>
    <w:p>
      <w:pPr>
        <w:autoSpaceDN w:val="0"/>
        <w:autoSpaceDE w:val="0"/>
        <w:widowControl/>
        <w:spacing w:line="295" w:lineRule="auto" w:before="1132" w:after="0"/>
        <w:ind w:left="2160" w:right="2160" w:firstLine="0"/>
        <w:jc w:val="center"/>
      </w:pPr>
      <w:r>
        <w:rPr>
          <w:rFonts w:ascii="Arial" w:hAnsi="Arial" w:eastAsia="Arial"/>
          <w:b/>
          <w:i w:val="0"/>
          <w:color w:val="000000"/>
          <w:sz w:val="28"/>
        </w:rPr>
        <w:t>KREDITLARNI TAN OLISH TO'G'RISIDA</w:t>
        <w:br/>
        <w:t>NIZOM</w:t>
      </w:r>
      <w:r/>
      <w:r>
        <w:rPr>
          <w:rFonts w:ascii="Arial" w:hAnsi="Arial" w:eastAsia="Arial"/>
          <w:b/>
          <w:i w:val="0"/>
          <w:color w:val="000000"/>
          <w:sz w:val="28"/>
        </w:rPr>
      </w:r>
    </w:p>
    <w:p>
      <w:pPr>
        <w:autoSpaceDN w:val="0"/>
        <w:autoSpaceDE w:val="0"/>
        <w:widowControl/>
        <w:spacing w:line="233" w:lineRule="auto" w:before="6450" w:after="0"/>
        <w:ind w:left="0" w:right="0" w:firstLine="0"/>
        <w:jc w:val="center"/>
      </w:pPr>
      <w:r>
        <w:rPr>
          <w:rFonts w:ascii="Arial" w:hAnsi="Arial" w:eastAsia="Arial"/>
          <w:b/>
          <w:i w:val="0"/>
          <w:color w:val="000000"/>
          <w:sz w:val="28"/>
        </w:rPr>
        <w:t>Termiz – 2026</w:t>
      </w:r>
    </w:p>
    <w:p>
      <w:pPr>
        <w:sectPr>
          <w:pgSz w:w="11906" w:h="16838"/>
          <w:pgMar w:top="354" w:right="1084" w:bottom="570"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tabs>
          <w:tab w:pos="594" w:val="left"/>
          <w:tab w:pos="2264" w:val="left"/>
        </w:tabs>
        <w:autoSpaceDE w:val="0"/>
        <w:widowControl/>
        <w:spacing w:line="346" w:lineRule="auto" w:before="236" w:after="0"/>
        <w:ind w:left="28" w:right="0" w:firstLine="0"/>
        <w:jc w:val="left"/>
      </w:pPr>
      <w:r>
        <w:rPr/>
        <w:tab/>
        <w:tab/>
        <w:t>1-BOB. UMUMIY QOIDALAR</w:t>
        <w:br/>
        <w:t>1.1. Nizomning maqsadi</w:t>
        <w:br/>
        <w:t>1. Ushbu Nizom (keyingi o'rinlarda — "Nizom") boshqa, shu jumladan xorijiy oliy ta'lim muassasasidan Termiz davlat universitetiga (keyingi o'rinlarda — "Universitet") ko'chirgan talabalarning avval o'tagan fanlar, kreditlar va o'quv natijalarini tan olish (qayta hisobga olish) tartibini, shuningdek xalqaro akademik mobillik (talabalar almashinuvi) dasturlari bo'yicha tahsil olayotgan yoki olgan talabalarning kreditlarini tan olish tartibini belgilaydi hamda mas'ul organlar va shaxslarning vakolatlarini aniqlaydi.</w:t>
      </w:r>
      <w:r/>
      <w:r>
        <w:rPr>
          <w:rFonts w:ascii="Arial" w:hAnsi="Arial" w:eastAsia="Arial"/>
          <w:b w:val="0"/>
          <w:i w:val="0"/>
          <w:color w:val="2E74B5"/>
          <w:sz w:val="28"/>
        </w:rPr>
      </w:r>
      <w:r/>
      <w:r>
        <w:rPr>
          <w:rFonts w:ascii="Arial" w:hAnsi="Arial" w:eastAsia="Arial"/>
          <w:b w:val="0"/>
          <w:i w:val="0"/>
          <w:color w:val="2E74B5"/>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41" w:lineRule="auto" w:before="168" w:after="0"/>
        <w:ind w:left="28" w:right="24" w:firstLine="566"/>
        <w:jc w:val="both"/>
      </w:pPr>
      <w:r>
        <w:rPr>
          <w:rFonts w:ascii="Arial" w:hAnsi="Arial" w:eastAsia="Arial"/>
          <w:b w:val="0"/>
          <w:i w:val="0"/>
          <w:color w:val="000000"/>
          <w:sz w:val="28"/>
        </w:rPr>
        <w:t>2. Nizomning maqsadi — talabalarning akademik mobilligini qo'llab-quvvatlash, avval erishilgan o'quv natijalarining takrorlanishining oldini olish (ya'ni, talabaning bir xil materialni ikki marta o'rganishi), hamda Yevropa oliy ta'lim makonida qabul qilingan xalqaro tan olingan tan olish tamoyillari va O'zbekiston Respublikasi qonunchiligiga muvofiq, kreditlarni tan olishning shaffof, adolatli va izchil tizimini ta'minlashdir.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348" w:lineRule="auto" w:before="172" w:after="0"/>
        <w:ind w:left="28" w:right="0" w:firstLine="0"/>
        <w:jc w:val="left"/>
      </w:pPr>
      <w:r>
        <w:rPr>
          <w:rFonts w:ascii="Arial" w:hAnsi="Arial" w:eastAsia="Arial"/>
          <w:b w:val="0"/>
          <w:i w:val="0"/>
          <w:color w:val="2E74B5"/>
          <w:sz w:val="28"/>
        </w:rPr>
        <w:t>1.2. Qo'llanilish doirasi</w:t>
        <w:br/>
        <w:t>3. Nizom talabalarning quyidagi toifalariga nisbatan qo'llaniladi:</w:t>
        <w:br/>
        <w:t>boshqa mahalliy yoki xorijiy oliy ta'lim muassasasidan Universitetga ko'chirgan talabalar;</w:t>
        <w:br/>
        <w:t>akademik mobillik yoki talabalar almashinuvi dasturi bo'yicha xorijiy universitetda bir yoki undan ortiq semestr tahsil olib, Universitetga qaytgan talabalar;</w:t>
        <w:br/>
        <w:t>qo'shma ta'lim dasturlari doirasida qisman xorijda tahsil olayotgan talabalar;</w:t>
        <w:br/>
        <w:t>xorijiy oliy ta'lim muassasasida qisman yoki to'liq tahsil olib, birinchi marta Universitetga murojaat qilayotgan nomzodlar — bu toifaga nisbatan Nizom Qabul komissiyasi bilan muvofiqlashtirgan holda qo'llaniladi.</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1034" w:bottom="1110"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17" w:lineRule="auto" w:before="236" w:after="0"/>
        <w:ind w:left="28" w:right="20" w:firstLine="566"/>
        <w:jc w:val="both"/>
      </w:pPr>
      <w:r>
        <w:rPr>
          <w:rFonts w:ascii="Arial" w:hAnsi="Arial" w:eastAsia="Arial"/>
          <w:b w:val="0"/>
          <w:i w:val="0"/>
          <w:color w:val="000000"/>
          <w:sz w:val="28"/>
        </w:rPr>
        <w:t>4. Nizom barcha fakultetlar va kafedralarda bir xilda qo'llaniladi; fanlarni taqqoslash va o'quv natijalarini baholash tegishli kafedra darajasida amalga oshiriladi.</w:t>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353" w:lineRule="auto" w:before="172" w:after="0"/>
        <w:ind w:left="28" w:right="0" w:firstLine="0"/>
        <w:jc w:val="left"/>
      </w:pPr>
      <w:r>
        <w:rPr>
          <w:rFonts w:ascii="Arial" w:hAnsi="Arial" w:eastAsia="Arial"/>
          <w:b w:val="0"/>
          <w:i w:val="0"/>
          <w:color w:val="2E74B5"/>
          <w:sz w:val="28"/>
        </w:rPr>
        <w:t>1.3. Me'yoriy-huquqiy va uslubiy asos</w:t>
        <w:br/>
        <w:t>5. Nizom quyidagi hujjatlar asosida ishlab chiqilgan:</w:t>
        <w:br/>
        <w:t>O'zbekiston Respublikasi Vazirlar Mahkamasining 2020-yil 31-dekabrdagi 824-son qaroriga muvofiq tasdiqlangan "Oliy ta'lim muassasalarining ta'lim jarayoniga kredit-modul tizimini joriy etish tartibi to'g'risida"gi nizom (keyingi o'rinlarda — "Kredit-modul nizomi");</w:t>
        <w:br/>
        <w:t>O'zbekiston Respublikasi Oliy va o'rta maxsus ta'lim vazirligining 2018-yil 9-avgustdagi 19-2018-son buyrug'iga muvofiq tasdiqlangan "Oliy ta'lim muassasalarida talabalar bilimini nazorat qilish va baholash tizimi to'g'risida"gi nizom (Adliya vazirligida 2018-yil 26-sentabrda 3069-son bilan ro'yxatga olingan);</w:t>
        <w:br/>
        <w:t>O'zbekiston Respublikasi Vazirlar Mahkamasining 2025-yil 13-sentabrdagi 578-son qarori bilan tasdiqlangan "Oliy ta'lim muassasalariga qabul jarayonini tartibga soluvchi me'yoriy-huquqiy hujjatlarni tasdiqlash to'g'risida"gi nizom;</w:t>
        <w:br/>
        <w:t>O'zbekiston Respublikasining 2020-yil 23-sentabrdagi O'RQ-637-son "Ta'lim to'g'risida"gi Qonuni;</w:t>
        <w:br/>
        <w:t>Yevropa Kengashi va YuNESKOning Lissabon tan olish konventsiyasi (1997), "Yevropa mintaqasida oliy ta'limga oid malakalarni tan olish to'g'risida" — xalqaro miqyosda tan olingan tan olish tamoyillari to'plami (isbotlash yuki muassasaga yuklanishi, o'quv natijalariga asoslangan baholash, shaffoflik, o'z vaqtidalik, kamsitmaslik va shikoyat qilish huquqi);</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1034" w:bottom="1110"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2"/>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tabs>
          <w:tab w:pos="594" w:val="left"/>
        </w:tabs>
        <w:autoSpaceDE w:val="0"/>
        <w:widowControl/>
        <w:spacing w:line="350" w:lineRule="auto" w:before="236" w:after="0"/>
        <w:ind w:left="28" w:right="0" w:firstLine="0"/>
        <w:jc w:val="left"/>
      </w:pPr>
      <w:r>
        <w:rPr>
          <w:rFonts w:ascii="Arial" w:hAnsi="Arial" w:eastAsia="Arial"/>
          <w:b w:val="0"/>
          <w:i w:val="0"/>
          <w:color w:val="000000"/>
          <w:sz w:val="28"/>
        </w:rPr>
        <w:t>Yevropa kredit transfer va jamlash tizimi (ECTS) foydalanuvchi qo'llanmasi — kredit hajmi, o'quv shartnomasi va transkriptga oid tamoyillar;</w:t>
        <w:br/>
        <w:t>Yevropa oliy ta'lim makonida sifatni ta'minlash standartlari va ko'rsatmalari (ESG, 2015), xususan 1.4-standart — talabaning hayot tsiklining barcha bosqichlarida (qabul, davom etish, tan olish va yakunlash) oldindan e'lon qilingan va izchil qo'llaniladigan qoidalar;</w:t>
        <w:br/>
        <w:t>QS/THE TOP-300 xorijiy universitetlarining kredit transfer (artikulyatsiya) siyosatlarida qo'llaniladigan amaliy mezonlar — minimal o'tish balli, transfer qilinadigan kreditlarning yuqori chegarasi, muddatlar, fan sillabuslarini ekspert taqqoslashi va shikoyat tartiblari;</w:t>
        <w:br/>
        <w:t>Oliy ta'lim, fan va innovatsiyalar vazirligining tegishli buyruqlari va tartiblari;</w:t>
        <w:br/>
        <w:t>Termiz davlat universitetining Ustavi va ta'lim jarayonini tashkil etishni tartibga soluvchi ichki hujjatlari.</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170" w:after="0"/>
        <w:ind w:left="28" w:right="0" w:firstLine="566"/>
        <w:jc w:val="left"/>
      </w:pPr>
      <w:r>
        <w:rPr>
          <w:rFonts w:ascii="Arial" w:hAnsi="Arial" w:eastAsia="Arial"/>
          <w:b w:val="0"/>
          <w:i w:val="0"/>
          <w:color w:val="000000"/>
          <w:sz w:val="28"/>
        </w:rPr>
        <w:t>6. O'zbekiston Respublikasi qonunchiligi, birinchi navbatda Kredit-modul nizomi ushbu Nizom doirasida ustunlikka ega; xalqaro standartlar (Lissabon konventsiyasi, ECTS) mahalliy qonunchilik bilan tartibga solinmagan masalalarga nisbatan qo'llaniladi va kreditlar hamda o'quv natijalarini baholashning uslubiy asosi bo'lib xizmat 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346" w:lineRule="auto" w:before="172" w:after="0"/>
        <w:ind w:left="28" w:right="0" w:firstLine="0"/>
        <w:jc w:val="left"/>
      </w:pPr>
      <w:r>
        <w:rPr>
          <w:rFonts w:ascii="Arial" w:hAnsi="Arial" w:eastAsia="Arial"/>
          <w:b w:val="0"/>
          <w:i w:val="0"/>
          <w:color w:val="2E74B5"/>
          <w:sz w:val="28"/>
        </w:rPr>
        <w:t>1.4. Asosiy tushunchalar</w:t>
        <w:br/>
        <w:t>kredit (akademik kredit) — talabaning muayyan fanni o'zlashtirishga sarflagan o'quv yuklamasi (aloqa soatlari va mustaqil ta'lim soatlari) hajmini ifodalovchi shartli birlik;</w:t>
        <w:br/>
        <w:t>ECTS krediti — Yevropa kredit tizimining birligi bo'lib, 1 ECTS krediti 30 soat o'quv yuklamasiga teng, to'liq o'quv yili 60 kreditdan iborat;</w:t>
        <w:br/>
        <w:t>kredit ekvivalentligi — xorijiy yoki boshqa OTM kredit tizimida ifodalangan hajmni Universitetning milliy kredit-modul tizimidagi hajmga aylantirish uchun ishlatiladigan konvertatsiya koeffitsienti;</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1036" w:bottom="626"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tabs>
          <w:tab w:pos="594" w:val="left"/>
        </w:tabs>
        <w:autoSpaceDE w:val="0"/>
        <w:widowControl/>
        <w:spacing w:line="353" w:lineRule="auto" w:before="236" w:after="0"/>
        <w:ind w:left="28" w:right="0" w:firstLine="0"/>
        <w:jc w:val="left"/>
      </w:pPr>
      <w:r>
        <w:rPr>
          <w:rFonts w:ascii="Arial" w:hAnsi="Arial" w:eastAsia="Arial"/>
          <w:b w:val="0"/>
          <w:i w:val="0"/>
          <w:color w:val="000000"/>
          <w:sz w:val="28"/>
        </w:rPr>
        <w:t>kreditlarni tan olish (qayta hisobga olish) — talaba boshqa ta'lim muassasasida o'tagan fan yoki modulning o'quv natijalari Universitetning o'quv rejasidagi tegishli fanga muvofiq kelishini rasman tasdiqlash jarayoni;</w:t>
        <w:br/>
        <w:t>akademik farq (fan nomuvofiqlik) — ko'chirgan talaba avval o'tagan o'quv rejasi bilan Universitetning o'quv rejasi o'rtasidagi, qo'shimcha o'zlashtirilishi lozim bo'lgan umumkasbiy va ixtisoslik fanlaridagi farq;</w:t>
        <w:br/>
        <w:t>baholar transkripti — talaba tomonidan o'zlashtirilgan barcha fanlarni, ularning kredit hajmi va baholarini aks ettiruvchi rasmiy hujjat;</w:t>
        <w:br/>
        <w:t>o'quv shartnomasi / ta'lim shartnomasi — akademik mobillik doirasida yuboruvchi va qabul qiluvchi muassasalar hamda talaba o'rtasida tuziladigan, o'zlashtirilishi lozim bo'lgan fanlar va ularning kreditlarini oldindan belgilovchi uch tomonlama shartnoma;</w:t>
        <w:br/>
        <w:t>fanlar katalogi — oliy ta'lim muassasasi tomonidan taklif qilinadigan barcha fanlar, ularning kredit hajmi, mazmuni va o'quv natijalari to'g'risidagi rasman nashr etilgan ma'lumotlar to'plami va akademik mobillik hamda kreditlarni tan olish uchun asosiy hujjatlardan biri;</w:t>
        <w:br/>
        <w:t>nostrifikatsiya — xorijiy ta'lim hujjatining (diplom, akademik transkript) O'zbekiston Respublikasi hududida huquqiy kuchini tan olishning davlat tartibi;</w:t>
        <w:br/>
        <w:t>platforma — Universitetning axborot platformasi, registrator.tersu.uz;</w:t>
        <w:br/>
        <w:t>Kreditlarni tan olish komissiyasi — kreditlarni tan olish maqsadida Rektor buyrug'i bilan tashkil etiladigan doimiy komissiya.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 w:pos="1380" w:val="left"/>
        </w:tabs>
        <w:autoSpaceDE w:val="0"/>
        <w:widowControl/>
        <w:spacing w:line="334" w:lineRule="auto" w:before="172" w:after="0"/>
        <w:ind w:left="28" w:right="0" w:firstLine="0"/>
        <w:jc w:val="left"/>
      </w:pPr>
      <w:r>
        <w:rPr/>
        <w:tab/>
        <w:tab/>
        <w:t>2-BOB. KREDITLARNI TAN OLISH KOMISSIYASI</w:t>
        <w:br/>
        <w:t>7. Komissiya har o'quv yili boshida Rektor buyrug'i bilan tashkil etiladi. Komissiya raisi — o'quv ishlari bo'yicha prorektor; Komissiya kotibi — Registratura bo'limi xodimi.</w:t>
      </w:r>
      <w:r/>
      <w:r>
        <w:rPr>
          <w:rFonts w:ascii="Arial" w:hAnsi="Arial" w:eastAsia="Arial"/>
          <w:b w:val="0"/>
          <w:i w:val="0"/>
          <w:color w:val="2E74B5"/>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1034" w:bottom="868"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2"/>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34" w:lineRule="auto" w:before="236" w:after="0"/>
        <w:ind w:left="28" w:right="20" w:firstLine="566"/>
        <w:jc w:val="both"/>
      </w:pPr>
      <w:r>
        <w:rPr>
          <w:rFonts w:ascii="Arial" w:hAnsi="Arial" w:eastAsia="Arial"/>
          <w:b w:val="0"/>
          <w:i w:val="0"/>
          <w:color w:val="000000"/>
          <w:sz w:val="28"/>
        </w:rPr>
        <w:t>8. Komissiya tarkibiga Registratura bo'limi va O'quv ishlari bo'limi mutaxassislari, tegishli fakultet dekani, kafedra mudirlari va Xalqaro hamkorlik bo'limi vakili kiradi. Zarurat bo'lganda tegishli fan bo'yicha professor-o'qituvchi ekspert sifatida jalb etiladi.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346" w:lineRule="auto" w:before="170" w:after="0"/>
        <w:ind w:left="28" w:right="0" w:firstLine="0"/>
        <w:jc w:val="left"/>
      </w:pPr>
      <w:r>
        <w:rPr>
          <w:rFonts w:ascii="Arial" w:hAnsi="Arial" w:eastAsia="Arial"/>
          <w:b w:val="0"/>
          <w:i w:val="0"/>
          <w:color w:val="000000"/>
          <w:sz w:val="28"/>
        </w:rPr>
        <w:t>9. Komissiya:</w:t>
        <w:br/>
        <w:t>talaba tomonidan taqdim etilgan hujjatlarni amaldagi o'quv rejasi va fan sillabuslari bilan qiyosiy tahlil qiladi;</w:t>
        <w:br/>
        <w:t>kreditlarni to'liq tan olish, qisman tan olish yoki tan olmaslik to'g'risida xulosa qabul qiladi;</w:t>
        <w:br/>
        <w:t>akademik farqlar ro'yxati va ularning kredit hajmini belgilaydi;</w:t>
        <w:br/>
        <w:t>farqlarni bartaraf etish shakli (bepul yoki pullik asosda) to'g'risida xulosa beradi;</w:t>
        <w:br/>
        <w:t>talabaning o'quv kursini va individual jadvalini belgilash bo'yicha taklif kiritadi.</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28" w:right="20" w:firstLine="566"/>
        <w:jc w:val="both"/>
      </w:pPr>
      <w:r>
        <w:rPr>
          <w:rFonts w:ascii="Arial" w:hAnsi="Arial" w:eastAsia="Arial"/>
          <w:b w:val="0"/>
          <w:i w:val="0"/>
          <w:color w:val="000000"/>
          <w:sz w:val="28"/>
        </w:rPr>
        <w:t>10. Komissiya yig'ilishi uning a'zolarining kamida uchdan ikki qismi ishtirok etgan taqdirda vakolatli hisoblanadi. Qarorlar ko'pchilik ovoz bilan qabul qilinadi va bayonnoma bilan rasmiylashtiriladi.</w:t>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295" w:lineRule="auto" w:before="170" w:after="0"/>
        <w:ind w:left="28" w:right="0" w:firstLine="0"/>
        <w:jc w:val="left"/>
      </w:pPr>
      <w:r>
        <w:rPr>
          <w:rFonts w:ascii="Arial" w:hAnsi="Arial" w:eastAsia="Arial"/>
          <w:b w:val="0"/>
          <w:i w:val="0"/>
          <w:color w:val="000000"/>
          <w:sz w:val="28"/>
        </w:rPr>
        <w:t>11. Komissiya xulosasi Rektor buyrug'ini tayyorlash uchun asos bo'lib xizmat qiladi.</w:t>
      </w:r>
      <w:r>
        <w:rPr>
          <w:rFonts w:ascii="Arial" w:hAnsi="Arial" w:eastAsia="Arial"/>
          <w:b w:val="0"/>
          <w:i w:val="0"/>
          <w:color w:val="000000"/>
          <w:sz w:val="28"/>
        </w:rPr>
      </w:r>
    </w:p>
    <w:p>
      <w:pPr>
        <w:autoSpaceDN w:val="0"/>
        <w:tabs>
          <w:tab w:pos="594" w:val="left"/>
        </w:tabs>
        <w:autoSpaceDE w:val="0"/>
        <w:widowControl/>
        <w:spacing w:line="341" w:lineRule="auto" w:before="172" w:after="0"/>
        <w:ind w:left="28" w:right="0" w:firstLine="0"/>
        <w:jc w:val="left"/>
      </w:pPr>
      <w:r>
        <w:rPr>
          <w:rFonts w:ascii="Arial" w:hAnsi="Arial" w:eastAsia="Arial"/>
          <w:b w:val="0"/>
          <w:i w:val="0"/>
          <w:color w:val="2E74B5"/>
          <w:sz w:val="28"/>
        </w:rPr>
        <w:t>3-BOB. TAN OLISHNING ASOSIY TAMOYILLARI</w:t>
        <w:br/>
        <w:t>12. Kreditlarni tan olish jarayoni, Lissabon konventsiyasi va ECTS tamoyillariga muvofiq, quyidagi asosiy qoidalarga asoslanadi:</w:t>
        <w:br/>
        <w:t>1. Isbotlash yuki — Universitet talaba tomonidan avval o'zlashtirilgan fan bilan o'quv rejasidagi fan o'rtasida "muhim farq" mavjudligini isbotlashi lozim; aks holda, tan olishni rad etish uchun asos yo'q deb hisoblanadi.</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8" w:lineRule="auto" w:before="170" w:after="0"/>
        <w:ind w:left="28" w:right="0" w:firstLine="566"/>
        <w:jc w:val="left"/>
      </w:pPr>
      <w:r>
        <w:rPr>
          <w:rFonts w:ascii="Arial" w:hAnsi="Arial" w:eastAsia="Arial"/>
          <w:b w:val="0"/>
          <w:i w:val="0"/>
          <w:color w:val="000000"/>
          <w:sz w:val="28"/>
        </w:rPr>
        <w:t>2. O'quv natijalariga asoslangan baholash — tan olish to'g'risidagi qaror fan mazmuni yoki aloqa soatlarining aniq muvofiqligiga emas,</w:t>
      </w:r>
      <w:r>
        <w:rPr>
          <w:rFonts w:ascii="Arial" w:hAnsi="Arial" w:eastAsia="Arial"/>
          <w:b w:val="0"/>
          <w:i w:val="0"/>
          <w:color w:val="000000"/>
          <w:sz w:val="28"/>
        </w:rPr>
      </w:r>
    </w:p>
    <w:p>
      <w:pPr>
        <w:sectPr>
          <w:pgSz w:w="11906" w:h="16838"/>
          <w:pgMar w:top="354" w:right="1036" w:bottom="868"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2"/>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295" w:lineRule="auto" w:before="236" w:after="0"/>
        <w:ind w:left="28" w:right="0" w:firstLine="0"/>
        <w:jc w:val="left"/>
      </w:pPr>
      <w:r>
        <w:rPr>
          <w:rFonts w:ascii="Arial" w:hAnsi="Arial" w:eastAsia="Arial"/>
          <w:b w:val="0"/>
          <w:i w:val="0"/>
          <w:color w:val="000000"/>
          <w:sz w:val="28"/>
        </w:rPr>
        <w:t>balki erishilgan o'quv natijalari (bilim, ko'nikma, kompetensiyalar) Universitetning o'quv rejasi talablariga javob berishiga asoslanadi.</w:t>
      </w:r>
      <w:r>
        <w:rPr>
          <w:rFonts w:ascii="Arial" w:hAnsi="Arial" w:eastAsia="Arial"/>
          <w:b w:val="0"/>
          <w:i w:val="0"/>
          <w:color w:val="000000"/>
          <w:sz w:val="28"/>
        </w:rPr>
      </w:r>
    </w:p>
    <w:p>
      <w:pPr>
        <w:autoSpaceDN w:val="0"/>
        <w:autoSpaceDE w:val="0"/>
        <w:widowControl/>
        <w:spacing w:line="326" w:lineRule="auto" w:before="170" w:after="0"/>
        <w:ind w:left="28" w:right="24" w:firstLine="566"/>
        <w:jc w:val="both"/>
      </w:pPr>
      <w:r>
        <w:rPr>
          <w:rFonts w:ascii="Arial" w:hAnsi="Arial" w:eastAsia="Arial"/>
          <w:b w:val="0"/>
          <w:i w:val="0"/>
          <w:color w:val="000000"/>
          <w:sz w:val="28"/>
        </w:rPr>
        <w:t>3. Shaffoflik — tan olish mezonlari, talab qilinadigan hujjatlar ro'yxati va jarayon bosqichlari oldindan e'lon qilinadi va Universitetning veb-saytida hamda talabalar qo'llanmasida ochiq ravishda joylashtiriladi.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298" w:lineRule="auto" w:before="170" w:after="0"/>
        <w:ind w:left="28" w:right="0" w:firstLine="0"/>
        <w:jc w:val="left"/>
      </w:pPr>
      <w:r>
        <w:rPr>
          <w:rFonts w:ascii="Arial" w:hAnsi="Arial" w:eastAsia="Arial"/>
          <w:b w:val="0"/>
          <w:i w:val="0"/>
          <w:color w:val="000000"/>
          <w:sz w:val="28"/>
        </w:rPr>
        <w:t>4. O'z vaqtidalik — tan olish to'g'risidagi qaror belgilangan muddatlarda qabul qilinadi va asossiz kechikishga yo'l qo'yilmaydi.</w:t>
      </w:r>
      <w:r>
        <w:rPr>
          <w:rFonts w:ascii="Arial" w:hAnsi="Arial" w:eastAsia="Arial"/>
          <w:b w:val="0"/>
          <w:i w:val="0"/>
          <w:color w:val="000000"/>
          <w:sz w:val="28"/>
        </w:rPr>
      </w:r>
    </w:p>
    <w:p>
      <w:pPr>
        <w:autoSpaceDN w:val="0"/>
        <w:autoSpaceDE w:val="0"/>
        <w:widowControl/>
        <w:spacing w:line="317" w:lineRule="auto" w:before="170" w:after="0"/>
        <w:ind w:left="28" w:right="22" w:firstLine="566"/>
        <w:jc w:val="both"/>
      </w:pPr>
      <w:r>
        <w:rPr>
          <w:rFonts w:ascii="Arial" w:hAnsi="Arial" w:eastAsia="Arial"/>
          <w:b w:val="0"/>
          <w:i w:val="0"/>
          <w:color w:val="000000"/>
          <w:sz w:val="28"/>
        </w:rPr>
        <w:t>5. Kamsitmaslik — tan olish to'g'risidagi qaror faqat akademik mezonlar asosida, talabaning fuqaroligi, jinsi, dini, millati yoki boshqa maqomidan qat'i nazar qabul qilinadi.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2" w:after="0"/>
        <w:ind w:left="28" w:right="24" w:firstLine="566"/>
        <w:jc w:val="both"/>
      </w:pPr>
      <w:r>
        <w:rPr>
          <w:rFonts w:ascii="Arial" w:hAnsi="Arial" w:eastAsia="Arial"/>
          <w:b w:val="0"/>
          <w:i w:val="0"/>
          <w:color w:val="000000"/>
          <w:sz w:val="28"/>
        </w:rPr>
        <w:t>6. Shikoyat qilish huquqi — tan olish rad etilishi yoki qisman tan olish to'g'risidagi qarorga rozi bo'lmagan talaba yozma, asoslangan qaror olingan kundan boshlab shikoyat berish huquqiga ega.</w:t>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 w:pos="1418" w:val="left"/>
        </w:tabs>
        <w:autoSpaceDE w:val="0"/>
        <w:widowControl/>
        <w:spacing w:line="334" w:lineRule="auto" w:before="170" w:after="0"/>
        <w:ind w:left="28" w:right="0" w:firstLine="0"/>
        <w:jc w:val="left"/>
      </w:pPr>
      <w:r>
        <w:rPr/>
        <w:tab/>
        <w:tab/>
        <w:t>4-BOB. HUJJATLARNI QABUL QILISH VA KO'RIB CHIQISH</w:t>
        <w:br/>
        <w:t>13. Qabul (ko'chirish, tiklanish) yoki akademik mobillikdan qaytgan kundan boshlab 10 ish kuni ichida talaba platforma yoki Registratura bo'limi orqali kreditlarni tan olish bo'yicha ariza topshiradi.</w:t>
      </w:r>
      <w:r/>
      <w:r>
        <w:rPr>
          <w:rFonts w:ascii="Arial" w:hAnsi="Arial" w:eastAsia="Arial"/>
          <w:b w:val="0"/>
          <w:i w:val="0"/>
          <w:color w:val="2E74B5"/>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346" w:lineRule="auto" w:before="170" w:after="0"/>
        <w:ind w:left="28" w:right="0" w:firstLine="0"/>
        <w:jc w:val="left"/>
      </w:pPr>
      <w:r>
        <w:rPr>
          <w:rFonts w:ascii="Arial" w:hAnsi="Arial" w:eastAsia="Arial"/>
          <w:b w:val="0"/>
          <w:i w:val="0"/>
          <w:color w:val="000000"/>
          <w:sz w:val="28"/>
        </w:rPr>
        <w:t>14. Arizaga quyidagi hujjatlar ilova qilinadi:</w:t>
        <w:br/>
        <w:t>akademik ma'lumotnoma yoki transkript (o'zlashtirilgan fanlar, kredit hajmi va baholar ko'rsatilgan holda);</w:t>
        <w:br/>
        <w:t>o'quv rejasidan ko'chirma, tegishli fanlarning sillabuslari bilan birga;</w:t>
        <w:br/>
        <w:t>akademik mobillikdan qaytgan talabalar uchun — o'quv shartnomasi va baholar transkripti;</w:t>
        <w:br/>
        <w:t>xorijiy oliy ta'lim muassasasi hujjatlari bo'lsa — belgilangan tartibda qilingan tarjimalar, asl hujjatlar bilan birga.</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1036" w:bottom="868"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17" w:lineRule="auto" w:before="236" w:after="0"/>
        <w:ind w:left="28" w:right="22" w:firstLine="566"/>
        <w:jc w:val="both"/>
      </w:pPr>
      <w:r>
        <w:rPr>
          <w:rFonts w:ascii="Arial" w:hAnsi="Arial" w:eastAsia="Arial"/>
          <w:b w:val="0"/>
          <w:i w:val="0"/>
          <w:color w:val="000000"/>
          <w:sz w:val="28"/>
        </w:rPr>
        <w:t>15. Registratura bo'limi 3 ish kuni ichida hujjatlarning to'liqligini tekshiradi. Kamchiliklar aniqlansa, talabaga ularni bartaraf etish uchun 3 ish kun beriladi.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2" w:after="0"/>
        <w:ind w:left="28" w:right="20" w:firstLine="566"/>
        <w:jc w:val="both"/>
      </w:pPr>
      <w:r>
        <w:rPr>
          <w:rFonts w:ascii="Arial" w:hAnsi="Arial" w:eastAsia="Arial"/>
          <w:b w:val="0"/>
          <w:i w:val="0"/>
          <w:color w:val="000000"/>
          <w:sz w:val="28"/>
        </w:rPr>
        <w:t>16. Hujjatlar to'liq qabul qilingan kundan boshlab 5 ish kuni ichida Komissiya ularni ko'rib chiqadi va xulosa qabul qiladi. Xulosa talabaga platforma orqali yetkaziladi.</w:t>
      </w:r>
      <w:r>
        <w:rPr>
          <w:rFonts w:ascii="Arial" w:hAnsi="Arial" w:eastAsia="Arial"/>
          <w:b w:val="0"/>
          <w:i w:val="0"/>
          <w:color w:val="000000"/>
          <w:sz w:val="28"/>
        </w:rPr>
      </w:r>
      <w:r>
        <w:rPr>
          <w:rFonts w:ascii="Arial" w:hAnsi="Arial" w:eastAsia="Arial"/>
          <w:b w:val="0"/>
          <w:i w:val="0"/>
          <w:color w:val="000000"/>
          <w:sz w:val="28"/>
        </w:rPr>
      </w:r>
    </w:p>
    <w:p>
      <w:pPr>
        <w:autoSpaceDN w:val="0"/>
        <w:tabs>
          <w:tab w:pos="430" w:val="left"/>
          <w:tab w:pos="594" w:val="left"/>
          <w:tab w:pos="996" w:val="left"/>
          <w:tab w:pos="1044" w:val="left"/>
          <w:tab w:pos="4238" w:val="left"/>
        </w:tabs>
        <w:autoSpaceDE w:val="0"/>
        <w:widowControl/>
        <w:spacing w:line="350" w:lineRule="auto" w:before="170" w:after="0"/>
        <w:ind w:left="28" w:right="0" w:firstLine="0"/>
        <w:jc w:val="left"/>
      </w:pPr>
      <w:r>
        <w:rPr/>
        <w:tab/>
        <w:tab/>
        <w:tab/>
        <w:tab/>
        <w:t>5-BOB. MUROJAAT TOIFALARI VA MAXSUS</w:t>
        <w:br/>
        <w:tab/>
        <w:tab/>
        <w:tab/>
        <w:tab/>
        <w:tab/>
        <w:tab/>
        <w:t>QOIDALAR</w:t>
        <w:br/>
        <w:tab/>
        <w:t>5.1. Xorijiy oliy ta'lim muassasalaridan ko'chirgan talabalar</w:t>
        <w:br/>
        <w:tab/>
        <w:t>17. O'zbekiston Respublikasi Vazirlar Mahkamasining 2025-yil 13-sentabrdagi 578-son qarori bilan tasdiqlangan "Oliy ta'lim muassasalariga qabul jarayonini tartibga soluvchi me'yoriy-huquqiy hujjatlarni tasdiqlash to'g'risida"gi Nizomga muvofiq, talabaning ma'lum kursda (semestrda) o'qishni davom ettirishi, shu jumladan ko'chirish yo'li bilan qabul qilinishi uchun quyidagi ikki shart bir vaqtning o'zida bajarilishi lozim:</w:t>
        <w:br/>
        <w:tab/>
        <w:tab/>
        <w:tab/>
        <w:t>(a) Universitetning namunaviy o'quv rejasidagi umumkasbiy va</w:t>
        <w:br/>
        <w:tab/>
        <w:t>ixtisoslik (profil) fanlari bo'yicha akademik farq to'rttadan oshmaydi;</w:t>
        <w:br/>
        <w:tab/>
        <w:tab/>
        <w:tab/>
        <w:t>(b) kredit-modul tizimi bo'yicha tashkil etilgan ta'lim yo'nalishlari</w:t>
        <w:br/>
        <w:tab/>
        <w:t>uchun talabaning GPA (o'rtacha bali) 2,4 yoki undan yuqori bo'ladi.</w:t>
        <w:br/>
        <w:tab/>
        <w:t>Ushbu shartlarning birortasi bajarilmagan taqdirda, ko'chirish yo'li</w:t>
        <w:br/>
        <w:tab/>
        <w:t>bilan qabul rad etiladi.</w:t>
      </w:r>
      <w:r/>
      <w:r/>
      <w:r/>
      <w:r>
        <w:rPr>
          <w:rFonts w:ascii="Arial" w:hAnsi="Arial" w:eastAsia="Arial"/>
          <w:b w:val="0"/>
          <w:i w:val="0"/>
          <w:color w:val="2E74B5"/>
          <w:sz w:val="28"/>
        </w:rPr>
      </w:r>
      <w:r/>
      <w:r/>
      <w:r/>
      <w:r/>
      <w:r/>
      <w:r>
        <w:rPr>
          <w:rFonts w:ascii="Arial" w:hAnsi="Arial" w:eastAsia="Arial"/>
          <w:b w:val="0"/>
          <w:i w:val="0"/>
          <w:color w:val="2E74B5"/>
          <w:sz w:val="28"/>
        </w:rPr>
      </w:r>
      <w:r/>
      <w:r/>
      <w:r>
        <w:rPr>
          <w:rFonts w:ascii="Arial" w:hAnsi="Arial" w:eastAsia="Arial"/>
          <w:b w:val="0"/>
          <w:i w:val="0"/>
          <w:color w:val="2E74B5"/>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338" w:lineRule="auto" w:before="172" w:after="0"/>
        <w:ind w:left="28" w:right="22" w:firstLine="566"/>
        <w:jc w:val="both"/>
      </w:pPr>
      <w:r>
        <w:rPr>
          <w:rFonts w:ascii="Arial" w:hAnsi="Arial" w:eastAsia="Arial"/>
          <w:b w:val="0"/>
          <w:i w:val="0"/>
          <w:color w:val="000000"/>
          <w:sz w:val="28"/>
        </w:rPr>
        <w:t>18. Akademik farq to'rt fan yoki kamroq bo'lganda, talaba "akademik qarzdor" maqomida o'qishga qabul qilinadi va farq fanlarini joriy o'quv yili davomida (odatda birinchi semestrda) o'zlashtirib olishi shart; aks holda, Vazirlar Mahkamasining 2025-yil 13-sentabrdagi 578-son qaroriga 3-ilova sifatida tasdiqlangan Nizomda belgilangan tartibda choralar ko'riladi.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28" w:right="20" w:firstLine="566"/>
        <w:jc w:val="both"/>
      </w:pPr>
      <w:r>
        <w:rPr>
          <w:rFonts w:ascii="Arial" w:hAnsi="Arial" w:eastAsia="Arial"/>
          <w:b w:val="0"/>
          <w:i w:val="0"/>
          <w:color w:val="000000"/>
          <w:sz w:val="28"/>
        </w:rPr>
        <w:t>19. Xorijiy oliy ta'lim muassasasidan ko'chirgan talaba, bundan tashqari, O'zbekiston Respublikasi hududida ta'lim hujjatini tan olish bo'yicha nostrifikatsiya tartibini</w:t>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1034" w:bottom="868"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295" w:lineRule="auto" w:before="236" w:after="0"/>
        <w:ind w:left="28" w:right="0" w:firstLine="0"/>
        <w:jc w:val="left"/>
      </w:pPr>
      <w:r>
        <w:rPr>
          <w:rFonts w:ascii="Arial" w:hAnsi="Arial" w:eastAsia="Arial"/>
          <w:b w:val="0"/>
          <w:i w:val="0"/>
          <w:color w:val="000000"/>
          <w:sz w:val="28"/>
        </w:rPr>
        <w:t>o'tagan bo'lishi yoki Universitetga qabul qilinganidan keyin belgilangan muddatda topshirishi shart.</w:t>
      </w:r>
      <w:r>
        <w:rPr>
          <w:rFonts w:ascii="Arial" w:hAnsi="Arial" w:eastAsia="Arial"/>
          <w:b w:val="0"/>
          <w:i w:val="0"/>
          <w:color w:val="000000"/>
          <w:sz w:val="28"/>
        </w:rPr>
      </w:r>
    </w:p>
    <w:p>
      <w:pPr>
        <w:autoSpaceDN w:val="0"/>
        <w:autoSpaceDE w:val="0"/>
        <w:widowControl/>
        <w:spacing w:line="334" w:lineRule="auto" w:before="170" w:after="0"/>
        <w:ind w:left="28" w:right="24" w:firstLine="566"/>
        <w:jc w:val="both"/>
      </w:pPr>
      <w:r>
        <w:rPr>
          <w:rFonts w:ascii="Arial" w:hAnsi="Arial" w:eastAsia="Arial"/>
          <w:b w:val="0"/>
          <w:i w:val="0"/>
          <w:color w:val="000000"/>
          <w:sz w:val="28"/>
        </w:rPr>
        <w:t>20. Ko'chirish Vazirlar Mahkamasining 2025-yil 13-sentabrdagi 578-son qaroriga 3-ilova sifatida tasdiqlangan Nizomda belgilangan yillik muddatlarda — 15-iyuldan 5-avgustgacha (asosiy davr) va 20-dekabrdan keyingi yilning 20-yanvarigacha (istisno holatlarda) amalga oshiriladi.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341" w:lineRule="auto" w:before="172" w:after="0"/>
        <w:ind w:left="28" w:right="0" w:firstLine="0"/>
        <w:jc w:val="left"/>
      </w:pPr>
      <w:r>
        <w:rPr>
          <w:rFonts w:ascii="Arial" w:hAnsi="Arial" w:eastAsia="Arial"/>
          <w:b w:val="0"/>
          <w:i w:val="0"/>
          <w:color w:val="2E74B5"/>
          <w:sz w:val="28"/>
        </w:rPr>
        <w:t>5.2. Akademik mobillik va talabalar almashinuvi</w:t>
        <w:br/>
        <w:t>21. Kredit-modul nizomining 19-moddasiga muvofiq, akademik mobillik va Universitet tomonidan talaba kreditlarini tan olishni ta'minlash uchun quyidagi hujjatlar ishlatiladi: fanlar katalogi; belgilangan shakldagi o'quv shartnomasi; va sertifikatlar/transkriptlar. Ushbu hujjatlar talabaning o'quv natijalarini aks ettiradi va kreditlarni tan olish hamda transfer qilish uchun asos bo'lib xizmat qiladi.</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170" w:after="0"/>
        <w:ind w:left="28" w:right="22" w:firstLine="566"/>
        <w:jc w:val="both"/>
      </w:pPr>
      <w:r>
        <w:rPr>
          <w:rFonts w:ascii="Arial" w:hAnsi="Arial" w:eastAsia="Arial"/>
          <w:b w:val="0"/>
          <w:i w:val="0"/>
          <w:color w:val="000000"/>
          <w:sz w:val="28"/>
        </w:rPr>
        <w:t>22. Kredit-modul nizomining 20-moddasiga muvofiq, talaba tomonidan Universitetning ta'lim dasturi bo'yicha to'plangan kreditlar soni boshqa oliy ta'lim muassasasida belgilangan o'quv natijalari asosida olingan kreditlar soniga teng deb hisoblanadi.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46" w:lineRule="auto" w:before="170" w:after="0"/>
        <w:ind w:left="28" w:right="20" w:firstLine="566"/>
        <w:jc w:val="both"/>
      </w:pPr>
      <w:r>
        <w:rPr>
          <w:rFonts w:ascii="Arial" w:hAnsi="Arial" w:eastAsia="Arial"/>
          <w:b w:val="0"/>
          <w:i w:val="0"/>
          <w:color w:val="000000"/>
          <w:sz w:val="28"/>
        </w:rPr>
        <w:t>23. Talabaning xorijiy universitetdagi ta'lim dasturi Universitet bilan oldindan imzolangan o'quv shartnomasi asosida rasmiylashtirilgan bo'lsa, va talaba shartnomada ko'rsatilgan fanlarni muvaffaqiyatli o'zlashtirib bo'lgan bo'lsa, tegishli kreditlar qo'shimcha fan taqqoslashsiz, 6-bobda belgilangan soddalashtirilgan (tezlashtirilgan) tartibda tan olinadi. Kredit-modul nizomining 22-moddasiga muvofiq, mobillik davrida talaba tomonidan o'zlashtirilishi shart bo'lgan ta'lim komponentlari yuboruvchi muassasaning roziligi va kelishuvisisiz o'zgartirilishi mumkin emas.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5" w:lineRule="auto" w:before="172" w:after="0"/>
        <w:ind w:left="28" w:right="0" w:firstLine="566"/>
        <w:jc w:val="left"/>
      </w:pPr>
      <w:r>
        <w:rPr>
          <w:rFonts w:ascii="Arial" w:hAnsi="Arial" w:eastAsia="Arial"/>
          <w:b w:val="0"/>
          <w:i w:val="0"/>
          <w:color w:val="000000"/>
          <w:sz w:val="28"/>
        </w:rPr>
        <w:t>24. Kredit-modul nizomining 23-moddasiga muvofiq, qabul qiluvchi muassasa tomonidan tan olingan kreditlar soni</w:t>
      </w:r>
      <w:r>
        <w:rPr>
          <w:rFonts w:ascii="Arial" w:hAnsi="Arial" w:eastAsia="Arial"/>
          <w:b w:val="0"/>
          <w:i w:val="0"/>
          <w:color w:val="000000"/>
          <w:sz w:val="28"/>
        </w:rPr>
      </w:r>
    </w:p>
    <w:p>
      <w:pPr>
        <w:sectPr>
          <w:pgSz w:w="11906" w:h="16838"/>
          <w:pgMar w:top="354" w:right="1034" w:bottom="626"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295" w:lineRule="auto" w:before="236" w:after="0"/>
        <w:ind w:left="28" w:right="0" w:firstLine="0"/>
        <w:jc w:val="left"/>
      </w:pPr>
      <w:r>
        <w:rPr>
          <w:rFonts w:ascii="Arial" w:hAnsi="Arial" w:eastAsia="Arial"/>
          <w:b w:val="0"/>
          <w:i w:val="0"/>
          <w:color w:val="000000"/>
          <w:sz w:val="28"/>
        </w:rPr>
        <w:t>talabaning xorijda tahsil olish davriga (3-6 oy yoki 1-3 yil) mutanosib bo'lishi lozim.</w:t>
      </w:r>
      <w:r>
        <w:rPr>
          <w:rFonts w:ascii="Arial" w:hAnsi="Arial" w:eastAsia="Arial"/>
          <w:b w:val="0"/>
          <w:i w:val="0"/>
          <w:color w:val="000000"/>
          <w:sz w:val="28"/>
        </w:rPr>
      </w:r>
    </w:p>
    <w:p>
      <w:pPr>
        <w:autoSpaceDN w:val="0"/>
        <w:autoSpaceDE w:val="0"/>
        <w:widowControl/>
        <w:spacing w:line="317" w:lineRule="auto" w:before="170" w:after="0"/>
        <w:ind w:left="28" w:right="24" w:firstLine="566"/>
        <w:jc w:val="both"/>
      </w:pPr>
      <w:r>
        <w:rPr>
          <w:rFonts w:ascii="Arial" w:hAnsi="Arial" w:eastAsia="Arial"/>
          <w:b w:val="0"/>
          <w:i w:val="0"/>
          <w:color w:val="000000"/>
          <w:sz w:val="28"/>
        </w:rPr>
        <w:t>25. O'quv shartnomasi oldindan imzolanmagan bo'lsa, yoki fanlar ro'yxati mobillik davrida kelishilmasdan o'zgartirilgan bo'lsa, tan olish umumiy tartibda (6-bob) amalga oshiriladi.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41" w:lineRule="auto" w:before="170" w:after="0"/>
        <w:ind w:left="28" w:right="22" w:firstLine="566"/>
        <w:jc w:val="both"/>
      </w:pPr>
      <w:r>
        <w:rPr>
          <w:rFonts w:ascii="Arial" w:hAnsi="Arial" w:eastAsia="Arial"/>
          <w:b w:val="0"/>
          <w:i w:val="0"/>
          <w:color w:val="000000"/>
          <w:sz w:val="28"/>
        </w:rPr>
        <w:t>26. Kredit-modul nizomining 26-moddasiga muvofiq, akademik mobillik davrida talabaning yutuq darajasini belgilovchi ko'rsatkichlar Universitetning baholash tizimini boshqa baholash tizimlariga aylantirish jadvali (6-bob) asosida qabul qilinadi. Bu talabaning umumiy o'rtacha baliga (GPA) ta'sir qiladimi yoki yo'qmi — Universitet Kengashi tomonidan oldindan belgilanadi va talabaga yetkaziladi.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326" w:lineRule="auto" w:before="170" w:after="0"/>
        <w:ind w:left="28" w:right="0" w:firstLine="0"/>
        <w:jc w:val="left"/>
      </w:pPr>
      <w:r>
        <w:rPr>
          <w:rFonts w:ascii="Arial" w:hAnsi="Arial" w:eastAsia="Arial"/>
          <w:b w:val="0"/>
          <w:i w:val="0"/>
          <w:color w:val="2E74B5"/>
          <w:sz w:val="28"/>
        </w:rPr>
        <w:t>5.3. Qo'shma ta'lim dasturlari</w:t>
        <w:br/>
        <w:t>27. Qo'shma ta'lim dasturi doirasida xorijiy hamkor universitetda o'zlashtirilgan fanlar ikki tomonlama dastur shartnomasi bo'yicha oldindan kelishilgan kredit ekvivalentligi jadvali asosida avtomatik ravishda tan olinadi.</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 w:pos="686" w:val="left"/>
          <w:tab w:pos="4092" w:val="left"/>
        </w:tabs>
        <w:autoSpaceDE w:val="0"/>
        <w:widowControl/>
        <w:spacing w:line="346" w:lineRule="auto" w:before="172" w:after="0"/>
        <w:ind w:left="28" w:right="0" w:firstLine="0"/>
        <w:jc w:val="left"/>
      </w:pPr>
      <w:r>
        <w:rPr/>
        <w:tab/>
        <w:tab/>
        <w:t>6-BOB. KREDITLARNI BAHOLASH VA TAN OLISH TARTIBI</w:t>
        <w:br/>
        <w:t>28. Fan (modul) uchun kreditlar quyidagi mezonlarning barchasi bir vaqtning o'zida bajarilganda to'liq tan olinadi:</w:t>
        <w:br/>
        <w:t>o'quv natijalarining muvofiq kelishi;</w:t>
        <w:br/>
        <w:t>fanning maqsadi va mazmuni;</w:t>
        <w:br/>
        <w:t>shakllantirilgan kompetensiyalar;</w:t>
        <w:br/>
        <w:t>kredit (ECTS) hajmi;</w:t>
        <w:br/>
        <w:t>o'quv yuklamasi va baholash natijalari.</w:t>
      </w:r>
      <w:r/>
      <w:r>
        <w:rPr>
          <w:rFonts w:ascii="Arial" w:hAnsi="Arial" w:eastAsia="Arial"/>
          <w:b w:val="0"/>
          <w:i w:val="0"/>
          <w:color w:val="2E74B5"/>
          <w:sz w:val="28"/>
        </w:rPr>
      </w:r>
      <w:r/>
      <w:r/>
      <w:r/>
      <w:r>
        <w:rPr>
          <w:rFonts w:ascii="Arial" w:hAnsi="Arial" w:eastAsia="Arial"/>
          <w:b w:val="0"/>
          <w:i w:val="0"/>
          <w:color w:val="2E74B5"/>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326" w:lineRule="auto" w:before="170" w:after="0"/>
        <w:ind w:left="28" w:right="20" w:firstLine="566"/>
        <w:jc w:val="both"/>
      </w:pPr>
      <w:r>
        <w:rPr>
          <w:rFonts w:ascii="Arial" w:hAnsi="Arial" w:eastAsia="Arial"/>
          <w:b w:val="0"/>
          <w:i w:val="0"/>
          <w:color w:val="000000"/>
          <w:sz w:val="28"/>
        </w:rPr>
        <w:t>29. Fan nomi farq qilgan hollarda ham, mazmuni muvofiq kelsa, tan olinishi mumkin. Kredit hajmi amaldagi o'quv rejasidagidan kam bo'lsa, fan qisman tan olinadi va kredit farqi akademik farq sifatida rasmiylashtiriladi.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1034" w:bottom="868"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34" w:lineRule="auto" w:before="236" w:after="0"/>
        <w:ind w:left="28" w:right="22" w:firstLine="566"/>
        <w:jc w:val="both"/>
      </w:pPr>
      <w:r>
        <w:rPr>
          <w:rFonts w:ascii="Arial" w:hAnsi="Arial" w:eastAsia="Arial"/>
          <w:b w:val="0"/>
          <w:i w:val="0"/>
          <w:color w:val="000000"/>
          <w:sz w:val="28"/>
        </w:rPr>
        <w:t>30. Kredit-modul tizimida 1 kredit o'rtacha 25-30 akademik soat o'quv yuklamasiga teng ekanligini hisobga olib, boshqa tizimda ifodalangan o'quv yuklamasini kreditlarga aylantirishda ushbu nisbat asos qilib olinadi. Akademik mobillik doirasida olingan kreditlar ECTS tizimida ifodalangan bo'lsa, 1 ECTS krediti 1 kreditga tenglashtiriladi.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9" w:lineRule="auto" w:before="170" w:after="164"/>
        <w:ind w:left="28" w:right="24" w:firstLine="566"/>
        <w:jc w:val="both"/>
      </w:pPr>
      <w:r>
        <w:rPr>
          <w:rFonts w:ascii="Arial" w:hAnsi="Arial" w:eastAsia="Arial"/>
          <w:b w:val="0"/>
          <w:i w:val="0"/>
          <w:color w:val="000000"/>
          <w:sz w:val="28"/>
        </w:rPr>
        <w:t>31. Boshqa baholash tizimida qo'yilgan baholar O'zbekiston Respublikasi Oliy va o'rta maxsus ta'lim vazirligining 2018-yil 9-avgustdagi 19-2018-son buyrug'i bilan tasdiqlangan Nizomning rasmiy taqqoslash jadvali (2-jadval) asosida aylantiriladi: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185"/>
        <w:gridCol w:w="1185"/>
        <w:gridCol w:w="1185"/>
        <w:gridCol w:w="1185"/>
        <w:gridCol w:w="1185"/>
        <w:gridCol w:w="1185"/>
        <w:gridCol w:w="1185"/>
        <w:gridCol w:w="1185"/>
      </w:tblGrid>
      <w:tr>
        <w:trPr>
          <w:trHeight w:hRule="exact" w:val="2080"/>
        </w:trPr>
        <w:tc>
          <w:tcPr>
            <w:tcW w:type="dxa" w:w="1290"/>
            <w:tcBorders>
              <w:start w:sz="4.0" w:val="single" w:color="#000000"/>
              <w:top w:sz="4.0" w:val="single" w:color="#000000"/>
              <w:end w:sz="3.199999999999818" w:val="single" w:color="#000000"/>
              <w:bottom w:sz="4.0" w:val="single" w:color="#000000"/>
            </w:tcBorders>
            <w:shd w:fill="d9e1f3"/>
            <w:tcMar>
              <w:start w:w="0" w:type="dxa"/>
              <w:end w:w="0" w:type="dxa"/>
            </w:tcMar>
          </w:tcPr>
          <w:p>
            <w:pPr>
              <w:autoSpaceDN w:val="0"/>
              <w:autoSpaceDE w:val="0"/>
              <w:widowControl/>
              <w:spacing w:line="317" w:lineRule="auto" w:before="420" w:after="0"/>
              <w:ind w:left="0" w:right="0" w:firstLine="0"/>
              <w:jc w:val="center"/>
            </w:pPr>
            <w:r>
              <w:rPr>
                <w:rFonts w:ascii="Arial" w:hAnsi="Arial" w:eastAsia="Arial"/>
                <w:b/>
                <w:i w:val="0"/>
                <w:color w:val="000000"/>
                <w:sz w:val="24"/>
              </w:rPr>
              <w:t>Taklif qilingan</w:t>
              <w:br/>
              <w:t>O'zbekiston tizimi</w:t>
            </w:r>
            <w:r/>
            <w:r>
              <w:rPr>
                <w:rFonts w:ascii="Arial" w:hAnsi="Arial" w:eastAsia="Arial"/>
                <w:b/>
                <w:i w:val="0"/>
                <w:color w:val="000000"/>
                <w:sz w:val="24"/>
              </w:rPr>
            </w:r>
            <w:r>
              <w:rPr>
                <w:rFonts w:ascii="Arial" w:hAnsi="Arial" w:eastAsia="Arial"/>
                <w:b/>
                <w:i w:val="0"/>
                <w:color w:val="000000"/>
                <w:sz w:val="24"/>
              </w:rPr>
            </w:r>
          </w:p>
        </w:tc>
        <w:tc>
          <w:tcPr>
            <w:tcW w:type="dxa" w:w="1058"/>
            <w:tcBorders>
              <w:start w:sz="3.199999999999818" w:val="single" w:color="#000000"/>
              <w:top w:sz="4.0" w:val="single" w:color="#000000"/>
              <w:end w:sz="4.0" w:val="single" w:color="#000000"/>
              <w:bottom w:sz="4.0" w:val="single" w:color="#000000"/>
            </w:tcBorders>
            <w:shd w:fill="d9e1f3"/>
            <w:tcMar>
              <w:start w:w="0" w:type="dxa"/>
              <w:end w:w="0" w:type="dxa"/>
            </w:tcMar>
          </w:tcPr>
          <w:p>
            <w:pPr>
              <w:autoSpaceDN w:val="0"/>
              <w:tabs>
                <w:tab w:pos="70" w:val="left"/>
                <w:tab w:pos="126" w:val="left"/>
                <w:tab w:pos="144" w:val="left"/>
              </w:tabs>
              <w:autoSpaceDE w:val="0"/>
              <w:widowControl/>
              <w:spacing w:line="317" w:lineRule="auto" w:before="420" w:after="0"/>
              <w:ind w:left="0" w:right="0" w:firstLine="0"/>
              <w:jc w:val="left"/>
            </w:pPr>
            <w:r>
              <w:rPr>
                <w:rFonts w:ascii="Arial" w:hAnsi="Arial" w:eastAsia="Arial"/>
                <w:b/>
                <w:i w:val="0"/>
                <w:color w:val="000000"/>
                <w:sz w:val="24"/>
              </w:rPr>
              <w:t>Rossiya tizimi</w:t>
              <w:br/>
              <w:t>(MDU)*</w:t>
            </w:r>
            <w:r>
              <w:rPr>
                <w:rFonts w:ascii="Arial" w:hAnsi="Arial" w:eastAsia="Arial"/>
                <w:b/>
                <w:i w:val="0"/>
                <w:color w:val="000000"/>
                <w:sz w:val="24"/>
              </w:rPr>
            </w:r>
            <w:r>
              <w:rPr>
                <w:rFonts w:ascii="Arial" w:hAnsi="Arial" w:eastAsia="Arial"/>
                <w:b/>
                <w:i w:val="0"/>
                <w:color w:val="000000"/>
                <w:sz w:val="24"/>
              </w:rPr>
            </w:r>
            <w:r/>
            <w:r/>
            <w:r>
              <w:rPr>
                <w:rFonts w:ascii="Arial" w:hAnsi="Arial" w:eastAsia="Arial"/>
                <w:b/>
                <w:i w:val="0"/>
                <w:color w:val="000000"/>
                <w:sz w:val="24"/>
              </w:rPr>
            </w:r>
          </w:p>
        </w:tc>
        <w:tc>
          <w:tcPr>
            <w:tcW w:type="dxa" w:w="1128"/>
            <w:tcBorders>
              <w:start w:sz="4.0" w:val="single" w:color="#000000"/>
              <w:top w:sz="4.0" w:val="single" w:color="#000000"/>
              <w:end w:sz="4.0" w:val="single" w:color="#000000"/>
              <w:bottom w:sz="4.0" w:val="single" w:color="#000000"/>
            </w:tcBorders>
            <w:shd w:fill="d9e1f3"/>
            <w:tcMar>
              <w:start w:w="0" w:type="dxa"/>
              <w:end w:w="0" w:type="dxa"/>
            </w:tcMar>
          </w:tcPr>
          <w:p>
            <w:pPr>
              <w:autoSpaceDN w:val="0"/>
              <w:autoSpaceDE w:val="0"/>
              <w:widowControl/>
              <w:spacing w:line="334" w:lineRule="auto" w:before="6" w:after="0"/>
              <w:ind w:left="0" w:right="0" w:firstLine="0"/>
              <w:jc w:val="center"/>
            </w:pPr>
            <w:r>
              <w:rPr>
                <w:rFonts w:ascii="Arial" w:hAnsi="Arial" w:eastAsia="Arial"/>
                <w:b/>
                <w:i w:val="0"/>
                <w:color w:val="000000"/>
                <w:sz w:val="24"/>
              </w:rPr>
              <w:t>Yevropa kredit</w:t>
              <w:br/>
              <w:t>transfer</w:t>
              <w:br/>
              <w:t>tizimi</w:t>
              <w:br/>
              <w:t>(ECTS)</w:t>
            </w:r>
            <w:r>
              <w:rPr>
                <w:rFonts w:ascii="Arial" w:hAnsi="Arial" w:eastAsia="Arial"/>
                <w:b/>
                <w:i w:val="0"/>
                <w:color w:val="000000"/>
                <w:sz w:val="24"/>
              </w:rPr>
            </w:r>
            <w:r/>
            <w:r>
              <w:rPr>
                <w:rFonts w:ascii="Arial" w:hAnsi="Arial" w:eastAsia="Arial"/>
                <w:b/>
                <w:i w:val="0"/>
                <w:color w:val="000000"/>
                <w:sz w:val="24"/>
              </w:rPr>
            </w:r>
            <w:r/>
            <w:r>
              <w:rPr>
                <w:rFonts w:ascii="Arial" w:hAnsi="Arial" w:eastAsia="Arial"/>
                <w:b/>
                <w:i w:val="0"/>
                <w:color w:val="000000"/>
                <w:sz w:val="24"/>
              </w:rPr>
            </w:r>
            <w:r/>
            <w:r>
              <w:rPr>
                <w:rFonts w:ascii="Arial" w:hAnsi="Arial" w:eastAsia="Arial"/>
                <w:b/>
                <w:i w:val="0"/>
                <w:color w:val="000000"/>
                <w:sz w:val="24"/>
              </w:rPr>
            </w:r>
          </w:p>
        </w:tc>
        <w:tc>
          <w:tcPr>
            <w:tcW w:type="dxa" w:w="1126"/>
            <w:tcBorders>
              <w:start w:sz="4.0" w:val="single" w:color="#000000"/>
              <w:top w:sz="4.0" w:val="single" w:color="#000000"/>
              <w:end w:sz="4.0" w:val="single" w:color="#000000"/>
              <w:bottom w:sz="4.0" w:val="single" w:color="#000000"/>
            </w:tcBorders>
            <w:shd w:fill="d9e1f3"/>
            <w:tcMar>
              <w:start w:w="0" w:type="dxa"/>
              <w:end w:w="0" w:type="dxa"/>
            </w:tcMar>
          </w:tcPr>
          <w:p>
            <w:pPr>
              <w:autoSpaceDN w:val="0"/>
              <w:tabs>
                <w:tab w:pos="26" w:val="left"/>
                <w:tab w:pos="160" w:val="left"/>
                <w:tab w:pos="266" w:val="left"/>
              </w:tabs>
              <w:autoSpaceDE w:val="0"/>
              <w:widowControl/>
              <w:spacing w:line="329" w:lineRule="auto" w:before="6" w:after="0"/>
              <w:ind w:left="0" w:right="0" w:firstLine="0"/>
              <w:jc w:val="left"/>
            </w:pPr>
            <w:r>
              <w:rPr>
                <w:rFonts w:ascii="Arial" w:hAnsi="Arial" w:eastAsia="Arial"/>
                <w:b/>
                <w:i w:val="0"/>
                <w:color w:val="000000"/>
                <w:sz w:val="24"/>
              </w:rPr>
              <w:t>Amerika</w:t>
              <w:br/>
              <w:t>tizimi</w:t>
              <w:br/>
              <w:t>(A–F)</w:t>
            </w:r>
            <w:r/>
            <w:r>
              <w:rPr>
                <w:rFonts w:ascii="Arial" w:hAnsi="Arial" w:eastAsia="Arial"/>
                <w:b/>
                <w:i w:val="0"/>
                <w:color w:val="000000"/>
                <w:sz w:val="24"/>
              </w:rPr>
            </w:r>
            <w:r/>
            <w:r/>
            <w:r>
              <w:rPr>
                <w:rFonts w:ascii="Arial" w:hAnsi="Arial" w:eastAsia="Arial"/>
                <w:b/>
                <w:i w:val="0"/>
                <w:color w:val="000000"/>
                <w:sz w:val="24"/>
              </w:rPr>
            </w:r>
            <w:r/>
            <w:r/>
            <w:r/>
            <w:r>
              <w:rPr>
                <w:rFonts w:ascii="Arial" w:hAnsi="Arial" w:eastAsia="Arial"/>
                <w:b/>
                <w:i w:val="0"/>
                <w:color w:val="000000"/>
                <w:sz w:val="24"/>
              </w:rPr>
            </w:r>
          </w:p>
        </w:tc>
        <w:tc>
          <w:tcPr>
            <w:tcW w:type="dxa" w:w="1014"/>
            <w:tcBorders>
              <w:start w:sz="4.0" w:val="single" w:color="#000000"/>
              <w:top w:sz="4.0" w:val="single" w:color="#000000"/>
              <w:end w:sz="3.199999999999818" w:val="single" w:color="#000000"/>
              <w:bottom w:sz="4.0" w:val="single" w:color="#000000"/>
            </w:tcBorders>
            <w:shd w:fill="d9e1f3"/>
            <w:tcMar>
              <w:start w:w="0" w:type="dxa"/>
              <w:end w:w="0" w:type="dxa"/>
            </w:tcMar>
          </w:tcPr>
          <w:p>
            <w:pPr>
              <w:autoSpaceDN w:val="0"/>
              <w:autoSpaceDE w:val="0"/>
              <w:widowControl/>
              <w:spacing w:line="233" w:lineRule="auto" w:before="420" w:after="0"/>
              <w:ind w:left="0" w:right="0" w:firstLine="0"/>
              <w:jc w:val="center"/>
            </w:pPr>
            <w:r>
              <w:rPr>
                <w:rFonts w:ascii="Arial" w:hAnsi="Arial" w:eastAsia="Arial"/>
                <w:b/>
                <w:i w:val="0"/>
                <w:color w:val="000000"/>
                <w:sz w:val="24"/>
              </w:rPr>
              <w:t>Britaniya</w:t>
              <w:br/>
              <w:t>tizimi</w:t>
              <w:br/>
              <w:t>(%)</w:t>
            </w:r>
            <w:r>
              <w:rPr>
                <w:rFonts w:ascii="Arial" w:hAnsi="Arial" w:eastAsia="Arial"/>
                <w:b/>
                <w:i w:val="0"/>
                <w:color w:val="000000"/>
                <w:sz w:val="24"/>
              </w:rPr>
            </w:r>
          </w:p>
          <w:p>
            <w:pPr>
              <w:autoSpaceDN w:val="0"/>
              <w:autoSpaceDE w:val="0"/>
              <w:widowControl/>
              <w:spacing w:line="233" w:lineRule="auto" w:before="144" w:after="0"/>
              <w:ind w:left="0" w:right="0" w:firstLine="0"/>
              <w:jc w:val="center"/>
            </w:pPr>
            <w:r>
              <w:rPr>
                <w:rFonts w:ascii="Arial" w:hAnsi="Arial" w:eastAsia="Arial"/>
                <w:b/>
                <w:i w:val="0"/>
                <w:color w:val="000000"/>
                <w:sz w:val="24"/>
              </w:rPr>
            </w:r>
          </w:p>
          <w:p>
            <w:pPr>
              <w:autoSpaceDN w:val="0"/>
              <w:autoSpaceDE w:val="0"/>
              <w:widowControl/>
              <w:spacing w:line="233" w:lineRule="auto" w:before="148" w:after="0"/>
              <w:ind w:left="0" w:right="0" w:firstLine="0"/>
              <w:jc w:val="center"/>
            </w:pPr>
            <w:r>
              <w:rPr>
                <w:rFonts w:ascii="Arial" w:hAnsi="Arial" w:eastAsia="Arial"/>
                <w:b/>
                <w:i w:val="0"/>
                <w:color w:val="000000"/>
                <w:sz w:val="24"/>
              </w:rPr>
            </w:r>
          </w:p>
        </w:tc>
        <w:tc>
          <w:tcPr>
            <w:tcW w:type="dxa" w:w="1122"/>
            <w:tcBorders>
              <w:start w:sz="3.199999999999818" w:val="single" w:color="#000000"/>
              <w:top w:sz="4.0" w:val="single" w:color="#000000"/>
              <w:end w:sz="4.0" w:val="single" w:color="#000000"/>
              <w:bottom w:sz="4.0" w:val="single" w:color="#000000"/>
            </w:tcBorders>
            <w:shd w:fill="d9e1f3"/>
            <w:tcMar>
              <w:start w:w="0" w:type="dxa"/>
              <w:end w:w="0" w:type="dxa"/>
            </w:tcMar>
          </w:tcPr>
          <w:p>
            <w:pPr>
              <w:autoSpaceDN w:val="0"/>
              <w:autoSpaceDE w:val="0"/>
              <w:widowControl/>
              <w:spacing w:line="317" w:lineRule="auto" w:before="420" w:after="0"/>
              <w:ind w:left="0" w:right="0" w:firstLine="0"/>
              <w:jc w:val="center"/>
            </w:pPr>
            <w:r>
              <w:rPr>
                <w:rFonts w:ascii="Arial" w:hAnsi="Arial" w:eastAsia="Arial"/>
                <w:b/>
                <w:i w:val="0"/>
                <w:color w:val="000000"/>
                <w:sz w:val="24"/>
              </w:rPr>
              <w:t>Yaponiya tizimi</w:t>
              <w:br/>
              <w:t>(%)</w:t>
            </w:r>
            <w:r>
              <w:rPr>
                <w:rFonts w:ascii="Arial" w:hAnsi="Arial" w:eastAsia="Arial"/>
                <w:b/>
                <w:i w:val="0"/>
                <w:color w:val="000000"/>
                <w:sz w:val="24"/>
              </w:rPr>
            </w:r>
            <w:r/>
            <w:r>
              <w:rPr>
                <w:rFonts w:ascii="Arial" w:hAnsi="Arial" w:eastAsia="Arial"/>
                <w:b/>
                <w:i w:val="0"/>
                <w:color w:val="000000"/>
                <w:sz w:val="24"/>
              </w:rPr>
            </w:r>
          </w:p>
        </w:tc>
        <w:tc>
          <w:tcPr>
            <w:tcW w:type="dxa" w:w="1018"/>
            <w:tcBorders>
              <w:start w:sz="4.0" w:val="single" w:color="#000000"/>
              <w:top w:sz="4.0" w:val="single" w:color="#000000"/>
              <w:end w:sz="4.0" w:val="single" w:color="#000000"/>
              <w:bottom w:sz="4.0" w:val="single" w:color="#000000"/>
            </w:tcBorders>
            <w:shd w:fill="d9e1f3"/>
            <w:tcMar>
              <w:start w:w="0" w:type="dxa"/>
              <w:end w:w="0" w:type="dxa"/>
            </w:tcMar>
          </w:tcPr>
          <w:p>
            <w:pPr>
              <w:autoSpaceDN w:val="0"/>
              <w:autoSpaceDE w:val="0"/>
              <w:widowControl/>
              <w:spacing w:line="233" w:lineRule="auto" w:before="420" w:after="0"/>
              <w:ind w:left="0" w:right="0" w:firstLine="0"/>
              <w:jc w:val="center"/>
            </w:pPr>
            <w:r>
              <w:rPr>
                <w:rFonts w:ascii="Arial" w:hAnsi="Arial" w:eastAsia="Arial"/>
                <w:b/>
                <w:i w:val="0"/>
                <w:color w:val="000000"/>
                <w:sz w:val="24"/>
              </w:rPr>
              <w:t>Koreya</w:t>
              <w:br/>
              <w:t>tizimi</w:t>
              <w:br/>
              <w:t>(%)</w:t>
            </w:r>
            <w:r>
              <w:rPr>
                <w:rFonts w:ascii="Arial" w:hAnsi="Arial" w:eastAsia="Arial"/>
                <w:b/>
                <w:i w:val="0"/>
                <w:color w:val="000000"/>
                <w:sz w:val="24"/>
              </w:rPr>
            </w:r>
          </w:p>
          <w:p>
            <w:pPr>
              <w:autoSpaceDN w:val="0"/>
              <w:autoSpaceDE w:val="0"/>
              <w:widowControl/>
              <w:spacing w:line="233" w:lineRule="auto" w:before="144" w:after="0"/>
              <w:ind w:left="0" w:right="0" w:firstLine="0"/>
              <w:jc w:val="center"/>
            </w:pPr>
            <w:r>
              <w:rPr>
                <w:rFonts w:ascii="Arial" w:hAnsi="Arial" w:eastAsia="Arial"/>
                <w:b/>
                <w:i w:val="0"/>
                <w:color w:val="000000"/>
                <w:sz w:val="24"/>
              </w:rPr>
            </w:r>
          </w:p>
          <w:p>
            <w:pPr>
              <w:autoSpaceDN w:val="0"/>
              <w:autoSpaceDE w:val="0"/>
              <w:widowControl/>
              <w:spacing w:line="233" w:lineRule="auto" w:before="148" w:after="0"/>
              <w:ind w:left="0" w:right="0" w:firstLine="0"/>
              <w:jc w:val="center"/>
            </w:pPr>
            <w:r>
              <w:rPr>
                <w:rFonts w:ascii="Arial" w:hAnsi="Arial" w:eastAsia="Arial"/>
                <w:b/>
                <w:i w:val="0"/>
                <w:color w:val="000000"/>
                <w:sz w:val="24"/>
              </w:rPr>
            </w:r>
          </w:p>
        </w:tc>
        <w:tc>
          <w:tcPr>
            <w:tcW w:type="dxa" w:w="1286"/>
            <w:tcBorders>
              <w:start w:sz="4.0" w:val="single" w:color="#000000"/>
              <w:top w:sz="4.0" w:val="single" w:color="#000000"/>
              <w:end w:sz="4.0" w:val="single" w:color="#000000"/>
              <w:bottom w:sz="4.0" w:val="single" w:color="#000000"/>
            </w:tcBorders>
            <w:shd w:fill="d9e1f3"/>
            <w:tcMar>
              <w:start w:w="0" w:type="dxa"/>
              <w:end w:w="0" w:type="dxa"/>
            </w:tcMar>
          </w:tcPr>
          <w:p>
            <w:pPr>
              <w:autoSpaceDN w:val="0"/>
              <w:autoSpaceDE w:val="0"/>
              <w:widowControl/>
              <w:spacing w:line="295" w:lineRule="auto" w:before="626" w:after="0"/>
              <w:ind w:left="0" w:right="0" w:firstLine="0"/>
              <w:jc w:val="center"/>
            </w:pPr>
            <w:r>
              <w:rPr>
                <w:rFonts w:ascii="Arial" w:hAnsi="Arial" w:eastAsia="Arial"/>
                <w:b/>
                <w:i w:val="0"/>
                <w:color w:val="000000"/>
                <w:sz w:val="24"/>
              </w:rPr>
              <w:t>O'zbekiston tizimi (%)</w:t>
            </w:r>
            <w:r>
              <w:rPr>
                <w:rFonts w:ascii="Arial" w:hAnsi="Arial" w:eastAsia="Arial"/>
                <w:b/>
                <w:i w:val="0"/>
                <w:color w:val="000000"/>
                <w:sz w:val="24"/>
              </w:rPr>
            </w:r>
          </w:p>
        </w:tc>
      </w:tr>
      <w:tr>
        <w:trPr>
          <w:trHeight w:hRule="exact" w:val="424"/>
        </w:trPr>
        <w:tc>
          <w:tcPr>
            <w:tcW w:type="dxa" w:w="129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«5» </w:t>
            </w: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«5» </w:t>
            </w:r>
          </w:p>
        </w:tc>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«A» </w:t>
            </w:r>
          </w:p>
        </w:tc>
        <w:tc>
          <w:tcPr>
            <w:tcW w:type="dxa" w:w="1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«A+» </w:t>
            </w:r>
          </w:p>
        </w:tc>
        <w:tc>
          <w:tcPr>
            <w:tcW w:type="dxa" w:w="101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70–100 </w:t>
            </w:r>
          </w:p>
        </w:tc>
        <w:tc>
          <w:tcPr>
            <w:tcW w:type="dxa" w:w="112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80–100 </w:t>
            </w:r>
          </w:p>
        </w:tc>
        <w:tc>
          <w:tcPr>
            <w:tcW w:type="dxa" w:w="10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90–100 </w:t>
            </w:r>
          </w:p>
        </w:tc>
        <w:tc>
          <w:tcPr>
            <w:tcW w:type="dxa" w:w="12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90–100 </w:t>
            </w:r>
          </w:p>
        </w:tc>
      </w:tr>
      <w:tr>
        <w:trPr>
          <w:trHeight w:hRule="exact" w:val="426"/>
        </w:trPr>
        <w:tc>
          <w:tcPr>
            <w:tcW w:type="dxa" w:w="1290"/>
            <w:tcBorders>
              <w:start w:sz="4.0" w:val="single" w:color="#000000"/>
              <w:top w:sz="4.0" w:val="single" w:color="#000000"/>
              <w:end w:sz="3.199999999999818" w:val="single" w:color="#000000"/>
              <w:bottom w:sz="4.0" w:val="single" w:color="#000000"/>
            </w:tcBorders>
            <w:tcMar>
              <w:start w:w="0" w:type="dxa"/>
              <w:end w:w="0" w:type="dxa"/>
            </w:tcMar>
          </w:tcP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tc>
        <w:tc>
          <w:tcPr>
            <w:tcW w:type="dxa" w:w="1128"/>
            <w:tcBorders>
              <w:start w:sz="4.0" w:val="single" w:color="#000000"/>
              <w:top w:sz="4.0" w:val="single" w:color="#000000"/>
              <w:end w:sz="4.0" w:val="single" w:color="#000000"/>
              <w:bottom w:sz="4.0" w:val="single" w:color="#000000"/>
            </w:tcBorders>
            <w:tcMar>
              <w:start w:w="0" w:type="dxa"/>
              <w:end w:w="0" w:type="dxa"/>
            </w:tcMar>
          </w:tcPr>
          <w:p/>
        </w:tc>
        <w:tc>
          <w:tcPr>
            <w:tcW w:type="dxa" w:w="1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 xml:space="preserve">«A» </w:t>
            </w:r>
          </w:p>
        </w:tc>
        <w:tc>
          <w:tcPr>
            <w:tcW w:type="dxa" w:w="1014"/>
            <w:tcBorders>
              <w:start w:sz="4.0" w:val="single" w:color="#000000"/>
              <w:top w:sz="4.0" w:val="single" w:color="#000000"/>
              <w:end w:sz="3.199999999999818" w:val="single" w:color="#000000"/>
              <w:bottom w:sz="4.0" w:val="single" w:color="#000000"/>
            </w:tcBorders>
            <w:tcMar>
              <w:start w:w="0" w:type="dxa"/>
              <w:end w:w="0" w:type="dxa"/>
            </w:tcMar>
          </w:tcPr>
          <w:p/>
        </w:tc>
        <w:tc>
          <w:tcPr>
            <w:tcW w:type="dxa" w:w="1122"/>
            <w:tcBorders>
              <w:start w:sz="3.199999999999818" w:val="single" w:color="#000000"/>
              <w:top w:sz="4.0" w:val="single" w:color="#000000"/>
              <w:end w:sz="4.0" w:val="single" w:color="#000000"/>
              <w:bottom w:sz="4.0" w:val="single" w:color="#000000"/>
            </w:tcBorders>
            <w:tcMar>
              <w:start w:w="0" w:type="dxa"/>
              <w:end w:w="0" w:type="dxa"/>
            </w:tcMar>
          </w:tcPr>
          <w:p/>
        </w:tc>
        <w:tc>
          <w:tcPr>
            <w:tcW w:type="dxa" w:w="1018"/>
            <w:tcBorders>
              <w:start w:sz="4.0" w:val="single" w:color="#000000"/>
              <w:top w:sz="4.0" w:val="single" w:color="#000000"/>
              <w:end w:sz="4.0" w:val="single" w:color="#000000"/>
              <w:bottom w:sz="4.0" w:val="single" w:color="#000000"/>
            </w:tcBorders>
            <w:tcMar>
              <w:start w:w="0" w:type="dxa"/>
              <w:end w:w="0" w:type="dxa"/>
            </w:tcMar>
          </w:tcPr>
          <w:p/>
        </w:tc>
        <w:tc>
          <w:tcPr>
            <w:tcW w:type="dxa" w:w="1286"/>
            <w:tcBorders>
              <w:start w:sz="4.0" w:val="single" w:color="#000000"/>
              <w:top w:sz="4.0" w:val="single" w:color="#000000"/>
              <w:end w:sz="4.0" w:val="single" w:color="#000000"/>
              <w:bottom w:sz="4.0" w:val="single" w:color="#000000"/>
            </w:tcBorders>
            <w:tcMar>
              <w:start w:w="0" w:type="dxa"/>
              <w:end w:w="0" w:type="dxa"/>
            </w:tcMar>
          </w:tcPr>
          <w:p/>
        </w:tc>
      </w:tr>
      <w:tr>
        <w:trPr>
          <w:trHeight w:hRule="exact" w:val="422"/>
        </w:trPr>
        <w:tc>
          <w:tcPr>
            <w:tcW w:type="dxa" w:w="1290"/>
            <w:tcBorders>
              <w:start w:sz="4.0" w:val="single" w:color="#000000"/>
              <w:top w:sz="4.0" w:val="single" w:color="#000000"/>
              <w:end w:sz="3.199999999999818" w:val="single" w:color="#000000"/>
              <w:bottom w:sz="4.0" w:val="single" w:color="#000000"/>
            </w:tcBorders>
            <w:tcMar>
              <w:start w:w="0" w:type="dxa"/>
              <w:end w:w="0" w:type="dxa"/>
            </w:tcMar>
          </w:tcP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tc>
        <w:tc>
          <w:tcPr>
            <w:tcW w:type="dxa" w:w="1128"/>
            <w:tcBorders>
              <w:start w:sz="4.0" w:val="single" w:color="#000000"/>
              <w:top w:sz="4.0" w:val="single" w:color="#000000"/>
              <w:end w:sz="4.0" w:val="single" w:color="#000000"/>
              <w:bottom w:sz="4.0" w:val="single" w:color="#000000"/>
            </w:tcBorders>
            <w:tcMar>
              <w:start w:w="0" w:type="dxa"/>
              <w:end w:w="0" w:type="dxa"/>
            </w:tcMar>
          </w:tcPr>
          <w:p/>
        </w:tc>
        <w:tc>
          <w:tcPr>
            <w:tcW w:type="dxa" w:w="1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0" w:right="0" w:firstLine="0"/>
              <w:jc w:val="center"/>
            </w:pPr>
            <w:r>
              <w:rPr>
                <w:rFonts w:ascii="Arial" w:hAnsi="Arial" w:eastAsia="Arial"/>
                <w:b w:val="0"/>
                <w:i w:val="0"/>
                <w:color w:val="000000"/>
                <w:sz w:val="24"/>
              </w:rPr>
              <w:t xml:space="preserve">«A-» </w:t>
            </w:r>
          </w:p>
        </w:tc>
        <w:tc>
          <w:tcPr>
            <w:tcW w:type="dxa" w:w="101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 w:after="0"/>
              <w:ind w:left="0" w:right="0" w:firstLine="0"/>
              <w:jc w:val="center"/>
            </w:pPr>
            <w:r>
              <w:rPr>
                <w:rFonts w:ascii="Arial" w:hAnsi="Arial" w:eastAsia="Arial"/>
                <w:b w:val="0"/>
                <w:i w:val="0"/>
                <w:color w:val="000000"/>
                <w:sz w:val="24"/>
              </w:rPr>
              <w:t xml:space="preserve">65–69 </w:t>
            </w:r>
          </w:p>
        </w:tc>
        <w:tc>
          <w:tcPr>
            <w:tcW w:type="dxa" w:w="1122"/>
            <w:tcBorders>
              <w:start w:sz="3.199999999999818" w:val="single" w:color="#000000"/>
              <w:top w:sz="4.0" w:val="single" w:color="#000000"/>
              <w:end w:sz="4.0" w:val="single" w:color="#000000"/>
              <w:bottom w:sz="4.0" w:val="single" w:color="#000000"/>
            </w:tcBorders>
            <w:tcMar>
              <w:start w:w="0" w:type="dxa"/>
              <w:end w:w="0" w:type="dxa"/>
            </w:tcMar>
          </w:tcPr>
          <w:p/>
        </w:tc>
        <w:tc>
          <w:tcPr>
            <w:tcW w:type="dxa" w:w="1018"/>
            <w:tcBorders>
              <w:start w:sz="4.0" w:val="single" w:color="#000000"/>
              <w:top w:sz="4.0" w:val="single" w:color="#000000"/>
              <w:end w:sz="4.0" w:val="single" w:color="#000000"/>
              <w:bottom w:sz="4.0" w:val="single" w:color="#000000"/>
            </w:tcBorders>
            <w:tcMar>
              <w:start w:w="0" w:type="dxa"/>
              <w:end w:w="0" w:type="dxa"/>
            </w:tcMar>
          </w:tcPr>
          <w:p/>
        </w:tc>
        <w:tc>
          <w:tcPr>
            <w:tcW w:type="dxa" w:w="1286"/>
            <w:tcBorders>
              <w:start w:sz="4.0" w:val="single" w:color="#000000"/>
              <w:top w:sz="4.0" w:val="single" w:color="#000000"/>
              <w:end w:sz="4.0" w:val="single" w:color="#000000"/>
              <w:bottom w:sz="4.0" w:val="single" w:color="#000000"/>
            </w:tcBorders>
            <w:tcMar>
              <w:start w:w="0" w:type="dxa"/>
              <w:end w:w="0" w:type="dxa"/>
            </w:tcMar>
          </w:tcPr>
          <w:p/>
        </w:tc>
      </w:tr>
      <w:tr>
        <w:trPr>
          <w:trHeight w:hRule="exact" w:val="424"/>
        </w:trPr>
        <w:tc>
          <w:tcPr>
            <w:tcW w:type="dxa" w:w="129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«4» </w:t>
            </w: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«4» </w:t>
            </w:r>
          </w:p>
        </w:tc>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«B» </w:t>
            </w:r>
          </w:p>
        </w:tc>
        <w:tc>
          <w:tcPr>
            <w:tcW w:type="dxa" w:w="1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«B+» </w:t>
            </w:r>
          </w:p>
        </w:tc>
        <w:tc>
          <w:tcPr>
            <w:tcW w:type="dxa" w:w="101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60–64 </w:t>
            </w:r>
          </w:p>
        </w:tc>
        <w:tc>
          <w:tcPr>
            <w:tcW w:type="dxa" w:w="112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70–79 </w:t>
            </w:r>
          </w:p>
        </w:tc>
        <w:tc>
          <w:tcPr>
            <w:tcW w:type="dxa" w:w="10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80–89 </w:t>
            </w:r>
          </w:p>
        </w:tc>
        <w:tc>
          <w:tcPr>
            <w:tcW w:type="dxa" w:w="12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70–89.9 </w:t>
            </w:r>
          </w:p>
        </w:tc>
      </w:tr>
      <w:tr>
        <w:trPr>
          <w:trHeight w:hRule="exact" w:val="424"/>
        </w:trPr>
        <w:tc>
          <w:tcPr>
            <w:tcW w:type="dxa" w:w="1290"/>
            <w:tcBorders>
              <w:start w:sz="4.0" w:val="single" w:color="#000000"/>
              <w:top w:sz="4.0" w:val="single" w:color="#000000"/>
              <w:end w:sz="3.199999999999818" w:val="single" w:color="#000000"/>
              <w:bottom w:sz="4.0" w:val="single" w:color="#000000"/>
            </w:tcBorders>
            <w:tcMar>
              <w:start w:w="0" w:type="dxa"/>
              <w:end w:w="0" w:type="dxa"/>
            </w:tcMar>
          </w:tcP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tc>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«C» </w:t>
            </w:r>
          </w:p>
        </w:tc>
        <w:tc>
          <w:tcPr>
            <w:tcW w:type="dxa" w:w="1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«B» </w:t>
            </w:r>
          </w:p>
        </w:tc>
        <w:tc>
          <w:tcPr>
            <w:tcW w:type="dxa" w:w="101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50–59 </w:t>
            </w:r>
          </w:p>
        </w:tc>
        <w:tc>
          <w:tcPr>
            <w:tcW w:type="dxa" w:w="1122"/>
            <w:tcBorders>
              <w:start w:sz="3.199999999999818" w:val="single" w:color="#000000"/>
              <w:top w:sz="4.0" w:val="single" w:color="#000000"/>
              <w:end w:sz="4.0" w:val="single" w:color="#000000"/>
              <w:bottom w:sz="4.0" w:val="single" w:color="#000000"/>
            </w:tcBorders>
            <w:tcMar>
              <w:start w:w="0" w:type="dxa"/>
              <w:end w:w="0" w:type="dxa"/>
            </w:tcMar>
          </w:tcPr>
          <w:p/>
        </w:tc>
        <w:tc>
          <w:tcPr>
            <w:tcW w:type="dxa" w:w="1018"/>
            <w:tcBorders>
              <w:start w:sz="4.0" w:val="single" w:color="#000000"/>
              <w:top w:sz="4.0" w:val="single" w:color="#000000"/>
              <w:end w:sz="4.0" w:val="single" w:color="#000000"/>
              <w:bottom w:sz="4.0" w:val="single" w:color="#000000"/>
            </w:tcBorders>
            <w:tcMar>
              <w:start w:w="0" w:type="dxa"/>
              <w:end w:w="0" w:type="dxa"/>
            </w:tcMar>
          </w:tcPr>
          <w:p/>
        </w:tc>
        <w:tc>
          <w:tcPr>
            <w:tcW w:type="dxa" w:w="1286"/>
            <w:tcBorders>
              <w:start w:sz="4.0" w:val="single" w:color="#000000"/>
              <w:top w:sz="4.0" w:val="single" w:color="#000000"/>
              <w:end w:sz="4.0" w:val="single" w:color="#000000"/>
              <w:bottom w:sz="4.0" w:val="single" w:color="#000000"/>
            </w:tcBorders>
            <w:tcMar>
              <w:start w:w="0" w:type="dxa"/>
              <w:end w:w="0" w:type="dxa"/>
            </w:tcMar>
          </w:tcPr>
          <w:p/>
        </w:tc>
      </w:tr>
      <w:tr>
        <w:trPr>
          <w:trHeight w:hRule="exact" w:val="426"/>
        </w:trPr>
        <w:tc>
          <w:tcPr>
            <w:tcW w:type="dxa" w:w="1290"/>
            <w:tcBorders>
              <w:start w:sz="4.0" w:val="single" w:color="#000000"/>
              <w:top w:sz="4.0" w:val="single" w:color="#000000"/>
              <w:end w:sz="3.199999999999818" w:val="single" w:color="#000000"/>
              <w:bottom w:sz="4.0" w:val="single" w:color="#000000"/>
            </w:tcBorders>
            <w:tcMar>
              <w:start w:w="0" w:type="dxa"/>
              <w:end w:w="0" w:type="dxa"/>
            </w:tcMar>
          </w:tcP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tc>
        <w:tc>
          <w:tcPr>
            <w:tcW w:type="dxa" w:w="1128"/>
            <w:tcBorders>
              <w:start w:sz="4.0" w:val="single" w:color="#000000"/>
              <w:top w:sz="4.0" w:val="single" w:color="#000000"/>
              <w:end w:sz="4.0" w:val="single" w:color="#000000"/>
              <w:bottom w:sz="4.0" w:val="single" w:color="#000000"/>
            </w:tcBorders>
            <w:tcMar>
              <w:start w:w="0" w:type="dxa"/>
              <w:end w:w="0" w:type="dxa"/>
            </w:tcMar>
          </w:tcPr>
          <w:p/>
        </w:tc>
        <w:tc>
          <w:tcPr>
            <w:tcW w:type="dxa" w:w="1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0" w:right="0" w:firstLine="0"/>
              <w:jc w:val="center"/>
            </w:pPr>
            <w:r>
              <w:rPr>
                <w:rFonts w:ascii="Arial" w:hAnsi="Arial" w:eastAsia="Arial"/>
                <w:b w:val="0"/>
                <w:i w:val="0"/>
                <w:color w:val="000000"/>
                <w:sz w:val="24"/>
              </w:rPr>
              <w:t xml:space="preserve">«B-» </w:t>
            </w:r>
          </w:p>
        </w:tc>
        <w:tc>
          <w:tcPr>
            <w:tcW w:type="dxa" w:w="1014"/>
            <w:tcBorders>
              <w:start w:sz="4.0" w:val="single" w:color="#000000"/>
              <w:top w:sz="4.0" w:val="single" w:color="#000000"/>
              <w:end w:sz="3.199999999999818" w:val="single" w:color="#000000"/>
              <w:bottom w:sz="4.0" w:val="single" w:color="#000000"/>
            </w:tcBorders>
            <w:tcMar>
              <w:start w:w="0" w:type="dxa"/>
              <w:end w:w="0" w:type="dxa"/>
            </w:tcMar>
          </w:tcPr>
          <w:p/>
        </w:tc>
        <w:tc>
          <w:tcPr>
            <w:tcW w:type="dxa" w:w="1122"/>
            <w:tcBorders>
              <w:start w:sz="3.199999999999818" w:val="single" w:color="#000000"/>
              <w:top w:sz="4.0" w:val="single" w:color="#000000"/>
              <w:end w:sz="4.0" w:val="single" w:color="#000000"/>
              <w:bottom w:sz="4.0" w:val="single" w:color="#000000"/>
            </w:tcBorders>
            <w:tcMar>
              <w:start w:w="0" w:type="dxa"/>
              <w:end w:w="0" w:type="dxa"/>
            </w:tcMar>
          </w:tcPr>
          <w:p/>
        </w:tc>
        <w:tc>
          <w:tcPr>
            <w:tcW w:type="dxa" w:w="1018"/>
            <w:tcBorders>
              <w:start w:sz="4.0" w:val="single" w:color="#000000"/>
              <w:top w:sz="4.0" w:val="single" w:color="#000000"/>
              <w:end w:sz="4.0" w:val="single" w:color="#000000"/>
              <w:bottom w:sz="4.0" w:val="single" w:color="#000000"/>
            </w:tcBorders>
            <w:tcMar>
              <w:start w:w="0" w:type="dxa"/>
              <w:end w:w="0" w:type="dxa"/>
            </w:tcMar>
          </w:tcPr>
          <w:p/>
        </w:tc>
        <w:tc>
          <w:tcPr>
            <w:tcW w:type="dxa" w:w="1286"/>
            <w:tcBorders>
              <w:start w:sz="4.0" w:val="single" w:color="#000000"/>
              <w:top w:sz="4.0" w:val="single" w:color="#000000"/>
              <w:end w:sz="4.0" w:val="single" w:color="#000000"/>
              <w:bottom w:sz="4.0" w:val="single" w:color="#000000"/>
            </w:tcBorders>
            <w:tcMar>
              <w:start w:w="0" w:type="dxa"/>
              <w:end w:w="0" w:type="dxa"/>
            </w:tcMar>
          </w:tcPr>
          <w:p/>
        </w:tc>
      </w:tr>
      <w:tr>
        <w:trPr>
          <w:trHeight w:hRule="exact" w:val="422"/>
        </w:trPr>
        <w:tc>
          <w:tcPr>
            <w:tcW w:type="dxa" w:w="1290"/>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«3» </w:t>
            </w:r>
          </w:p>
        </w:tc>
        <w:tc>
          <w:tcPr>
            <w:tcW w:type="dxa" w:w="1058"/>
            <w:tcBorders>
              <w:start w:sz="3.199999999999818"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«3» </w:t>
            </w:r>
          </w:p>
        </w:tc>
        <w:tc>
          <w:tcPr>
            <w:tcW w:type="dxa" w:w="1128"/>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«D» </w:t>
            </w:r>
          </w:p>
        </w:tc>
        <w:tc>
          <w:tcPr>
            <w:tcW w:type="dxa" w:w="112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«C+» </w:t>
            </w:r>
          </w:p>
        </w:tc>
        <w:tc>
          <w:tcPr>
            <w:tcW w:type="dxa" w:w="1014"/>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45–49 </w:t>
            </w:r>
          </w:p>
        </w:tc>
        <w:tc>
          <w:tcPr>
            <w:tcW w:type="dxa" w:w="1122"/>
            <w:tcBorders>
              <w:start w:sz="3.199999999999818"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60–69 </w:t>
            </w:r>
          </w:p>
        </w:tc>
        <w:tc>
          <w:tcPr>
            <w:tcW w:type="dxa" w:w="1018"/>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70–79 </w:t>
            </w:r>
          </w:p>
        </w:tc>
        <w:tc>
          <w:tcPr>
            <w:tcW w:type="dxa" w:w="128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60–69.9 </w:t>
            </w:r>
          </w:p>
        </w:tc>
      </w:tr>
      <w:tr>
        <w:trPr>
          <w:trHeight w:hRule="exact" w:val="424"/>
        </w:trPr>
        <w:tc>
          <w:tcPr>
            <w:tcW w:type="dxa" w:w="1290"/>
            <w:tcBorders>
              <w:start w:sz="4.0" w:val="single" w:color="#000000"/>
              <w:top w:sz="3.2000000000007276" w:val="single" w:color="#000000"/>
              <w:end w:sz="3.199999999999818" w:val="single" w:color="#000000"/>
              <w:bottom w:sz="4.0" w:val="single" w:color="#000000"/>
            </w:tcBorders>
            <w:tcMar>
              <w:start w:w="0" w:type="dxa"/>
              <w:end w:w="0" w:type="dxa"/>
            </w:tcMar>
          </w:tcPr>
          <w:p/>
        </w:tc>
        <w:tc>
          <w:tcPr>
            <w:tcW w:type="dxa" w:w="1058"/>
            <w:tcBorders>
              <w:start w:sz="3.199999999999818" w:val="single" w:color="#000000"/>
              <w:top w:sz="3.2000000000007276" w:val="single" w:color="#000000"/>
              <w:end w:sz="4.0" w:val="single" w:color="#000000"/>
              <w:bottom w:sz="4.0" w:val="single" w:color="#000000"/>
            </w:tcBorders>
            <w:tcMar>
              <w:start w:w="0" w:type="dxa"/>
              <w:end w:w="0" w:type="dxa"/>
            </w:tcMar>
          </w:tcPr>
          <w:p/>
        </w:tc>
        <w:tc>
          <w:tcPr>
            <w:tcW w:type="dxa" w:w="1128"/>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«E» </w:t>
            </w:r>
          </w:p>
        </w:tc>
        <w:tc>
          <w:tcPr>
            <w:tcW w:type="dxa" w:w="1126"/>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«C» </w:t>
            </w:r>
          </w:p>
        </w:tc>
        <w:tc>
          <w:tcPr>
            <w:tcW w:type="dxa" w:w="1014"/>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40–44 </w:t>
            </w:r>
          </w:p>
        </w:tc>
        <w:tc>
          <w:tcPr>
            <w:tcW w:type="dxa" w:w="1122"/>
            <w:tcBorders>
              <w:start w:sz="3.199999999999818" w:val="single" w:color="#000000"/>
              <w:top w:sz="3.2000000000007276" w:val="single" w:color="#000000"/>
              <w:end w:sz="4.0" w:val="single" w:color="#000000"/>
              <w:bottom w:sz="4.0" w:val="single" w:color="#000000"/>
            </w:tcBorders>
            <w:tcMar>
              <w:start w:w="0" w:type="dxa"/>
              <w:end w:w="0" w:type="dxa"/>
            </w:tcMar>
          </w:tcPr>
          <w:p/>
        </w:tc>
        <w:tc>
          <w:tcPr>
            <w:tcW w:type="dxa" w:w="1018"/>
            <w:tcBorders>
              <w:start w:sz="4.0" w:val="single" w:color="#000000"/>
              <w:top w:sz="3.2000000000007276" w:val="single" w:color="#000000"/>
              <w:end w:sz="4.0" w:val="single" w:color="#000000"/>
              <w:bottom w:sz="4.0" w:val="single" w:color="#000000"/>
            </w:tcBorders>
            <w:tcMar>
              <w:start w:w="0" w:type="dxa"/>
              <w:end w:w="0" w:type="dxa"/>
            </w:tcMar>
          </w:tcPr>
          <w:p/>
        </w:tc>
        <w:tc>
          <w:tcPr>
            <w:tcW w:type="dxa" w:w="1286"/>
            <w:tcBorders>
              <w:start w:sz="4.0" w:val="single" w:color="#000000"/>
              <w:top w:sz="3.2000000000007276" w:val="single" w:color="#000000"/>
              <w:end w:sz="4.0" w:val="single" w:color="#000000"/>
              <w:bottom w:sz="4.0" w:val="single" w:color="#000000"/>
            </w:tcBorders>
            <w:tcMar>
              <w:start w:w="0" w:type="dxa"/>
              <w:end w:w="0" w:type="dxa"/>
            </w:tcMar>
          </w:tcPr>
          <w:p/>
        </w:tc>
      </w:tr>
      <w:tr>
        <w:trPr>
          <w:trHeight w:hRule="exact" w:val="426"/>
        </w:trPr>
        <w:tc>
          <w:tcPr>
            <w:tcW w:type="dxa" w:w="1290"/>
            <w:tcBorders>
              <w:start w:sz="4.0" w:val="single" w:color="#000000"/>
              <w:top w:sz="4.0" w:val="single" w:color="#000000"/>
              <w:end w:sz="3.199999999999818" w:val="single" w:color="#000000"/>
              <w:bottom w:sz="3.2000000000007276" w:val="single" w:color="#000000"/>
            </w:tcBorders>
            <w:tcMar>
              <w:start w:w="0" w:type="dxa"/>
              <w:end w:w="0" w:type="dxa"/>
            </w:tcMar>
          </w:tcPr>
          <w:p/>
        </w:tc>
        <w:tc>
          <w:tcPr>
            <w:tcW w:type="dxa" w:w="1058"/>
            <w:tcBorders>
              <w:start w:sz="3.199999999999818" w:val="single" w:color="#000000"/>
              <w:top w:sz="4.0" w:val="single" w:color="#000000"/>
              <w:end w:sz="4.0" w:val="single" w:color="#000000"/>
              <w:bottom w:sz="3.2000000000007276" w:val="single" w:color="#000000"/>
            </w:tcBorders>
            <w:tcMar>
              <w:start w:w="0" w:type="dxa"/>
              <w:end w:w="0" w:type="dxa"/>
            </w:tcMar>
          </w:tcPr>
          <w:p/>
        </w:tc>
        <w:tc>
          <w:tcPr>
            <w:tcW w:type="dxa" w:w="1128"/>
            <w:tcBorders>
              <w:start w:sz="4.0" w:val="single" w:color="#000000"/>
              <w:top w:sz="4.0" w:val="single" w:color="#000000"/>
              <w:end w:sz="4.0" w:val="single" w:color="#000000"/>
              <w:bottom w:sz="3.2000000000007276" w:val="single" w:color="#000000"/>
            </w:tcBorders>
            <w:tcMar>
              <w:start w:w="0" w:type="dxa"/>
              <w:end w:w="0" w:type="dxa"/>
            </w:tcMar>
          </w:tcPr>
          <w:p/>
        </w:tc>
        <w:tc>
          <w:tcPr>
            <w:tcW w:type="dxa" w:w="112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«C-» </w:t>
            </w:r>
          </w:p>
        </w:tc>
        <w:tc>
          <w:tcPr>
            <w:tcW w:type="dxa" w:w="1014"/>
            <w:tcBorders>
              <w:start w:sz="4.0" w:val="single" w:color="#000000"/>
              <w:top w:sz="4.0" w:val="single" w:color="#000000"/>
              <w:end w:sz="3.199999999999818" w:val="single" w:color="#000000"/>
              <w:bottom w:sz="3.2000000000007276" w:val="single" w:color="#000000"/>
            </w:tcBorders>
            <w:tcMar>
              <w:start w:w="0" w:type="dxa"/>
              <w:end w:w="0" w:type="dxa"/>
            </w:tcMar>
          </w:tcPr>
          <w:p/>
        </w:tc>
        <w:tc>
          <w:tcPr>
            <w:tcW w:type="dxa" w:w="1122"/>
            <w:tcBorders>
              <w:start w:sz="3.199999999999818" w:val="single" w:color="#000000"/>
              <w:top w:sz="4.0" w:val="single" w:color="#000000"/>
              <w:end w:sz="4.0" w:val="single" w:color="#000000"/>
              <w:bottom w:sz="3.2000000000007276" w:val="single" w:color="#000000"/>
            </w:tcBorders>
            <w:tcMar>
              <w:start w:w="0" w:type="dxa"/>
              <w:end w:w="0" w:type="dxa"/>
            </w:tcMar>
          </w:tcPr>
          <w:p/>
        </w:tc>
        <w:tc>
          <w:tcPr>
            <w:tcW w:type="dxa" w:w="1018"/>
            <w:tcBorders>
              <w:start w:sz="4.0" w:val="single" w:color="#000000"/>
              <w:top w:sz="4.0" w:val="single" w:color="#000000"/>
              <w:end w:sz="4.0" w:val="single" w:color="#000000"/>
              <w:bottom w:sz="3.2000000000007276" w:val="single" w:color="#000000"/>
            </w:tcBorders>
            <w:tcMar>
              <w:start w:w="0" w:type="dxa"/>
              <w:end w:w="0" w:type="dxa"/>
            </w:tcMar>
          </w:tcPr>
          <w:p/>
        </w:tc>
        <w:tc>
          <w:tcPr>
            <w:tcW w:type="dxa" w:w="1286"/>
            <w:tcBorders>
              <w:start w:sz="4.0" w:val="single" w:color="#000000"/>
              <w:top w:sz="4.0" w:val="single" w:color="#000000"/>
              <w:end w:sz="4.0" w:val="single" w:color="#000000"/>
              <w:bottom w:sz="3.2000000000007276" w:val="single" w:color="#000000"/>
            </w:tcBorders>
            <w:tcMar>
              <w:start w:w="0" w:type="dxa"/>
              <w:end w:w="0" w:type="dxa"/>
            </w:tcMar>
          </w:tcPr>
          <w:p/>
        </w:tc>
      </w:tr>
      <w:tr>
        <w:trPr>
          <w:trHeight w:hRule="exact" w:val="422"/>
        </w:trPr>
        <w:tc>
          <w:tcPr>
            <w:tcW w:type="dxa" w:w="1290"/>
            <w:tcBorders>
              <w:start w:sz="4.0" w:val="single" w:color="#000000"/>
              <w:top w:sz="3.2000000000007276" w:val="single" w:color="#000000"/>
              <w:end w:sz="3.199999999999818" w:val="single" w:color="#000000"/>
              <w:bottom w:sz="4.0" w:val="single" w:color="#000000"/>
            </w:tcBorders>
            <w:tcMar>
              <w:start w:w="0" w:type="dxa"/>
              <w:end w:w="0" w:type="dxa"/>
            </w:tcMar>
          </w:tcPr>
          <w:p/>
        </w:tc>
        <w:tc>
          <w:tcPr>
            <w:tcW w:type="dxa" w:w="1058"/>
            <w:tcBorders>
              <w:start w:sz="3.199999999999818" w:val="single" w:color="#000000"/>
              <w:top w:sz="3.2000000000007276" w:val="single" w:color="#000000"/>
              <w:end w:sz="4.0" w:val="single" w:color="#000000"/>
              <w:bottom w:sz="4.0" w:val="single" w:color="#000000"/>
            </w:tcBorders>
            <w:tcMar>
              <w:start w:w="0" w:type="dxa"/>
              <w:end w:w="0" w:type="dxa"/>
            </w:tcMar>
          </w:tcPr>
          <w:p/>
        </w:tc>
        <w:tc>
          <w:tcPr>
            <w:tcW w:type="dxa" w:w="1128"/>
            <w:tcBorders>
              <w:start w:sz="4.0" w:val="single" w:color="#000000"/>
              <w:top w:sz="3.2000000000007276" w:val="single" w:color="#000000"/>
              <w:end w:sz="4.0" w:val="single" w:color="#000000"/>
              <w:bottom w:sz="4.0" w:val="single" w:color="#000000"/>
            </w:tcBorders>
            <w:tcMar>
              <w:start w:w="0" w:type="dxa"/>
              <w:end w:w="0" w:type="dxa"/>
            </w:tcMar>
          </w:tcPr>
          <w:p/>
        </w:tc>
        <w:tc>
          <w:tcPr>
            <w:tcW w:type="dxa" w:w="1126"/>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«D+» </w:t>
            </w:r>
          </w:p>
        </w:tc>
        <w:tc>
          <w:tcPr>
            <w:tcW w:type="dxa" w:w="1014"/>
            <w:tcBorders>
              <w:start w:sz="4.0" w:val="single" w:color="#000000"/>
              <w:top w:sz="3.2000000000007276" w:val="single" w:color="#000000"/>
              <w:end w:sz="3.199999999999818" w:val="single" w:color="#000000"/>
              <w:bottom w:sz="4.0" w:val="single" w:color="#000000"/>
            </w:tcBorders>
            <w:tcMar>
              <w:start w:w="0" w:type="dxa"/>
              <w:end w:w="0" w:type="dxa"/>
            </w:tcMar>
          </w:tcPr>
          <w:p/>
        </w:tc>
        <w:tc>
          <w:tcPr>
            <w:tcW w:type="dxa" w:w="1122"/>
            <w:tcBorders>
              <w:start w:sz="3.199999999999818" w:val="single" w:color="#000000"/>
              <w:top w:sz="3.2000000000007276" w:val="single" w:color="#000000"/>
              <w:end w:sz="4.0" w:val="single" w:color="#000000"/>
              <w:bottom w:sz="4.0" w:val="single" w:color="#000000"/>
            </w:tcBorders>
            <w:tcMar>
              <w:start w:w="0" w:type="dxa"/>
              <w:end w:w="0" w:type="dxa"/>
            </w:tcMar>
          </w:tcPr>
          <w:p/>
        </w:tc>
        <w:tc>
          <w:tcPr>
            <w:tcW w:type="dxa" w:w="1018"/>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60–69 </w:t>
            </w:r>
          </w:p>
        </w:tc>
        <w:tc>
          <w:tcPr>
            <w:tcW w:type="dxa" w:w="1286"/>
            <w:tcBorders>
              <w:start w:sz="4.0" w:val="single" w:color="#000000"/>
              <w:top w:sz="3.2000000000007276" w:val="single" w:color="#000000"/>
              <w:end w:sz="4.0" w:val="single" w:color="#000000"/>
              <w:bottom w:sz="4.0" w:val="single" w:color="#000000"/>
            </w:tcBorders>
            <w:tcMar>
              <w:start w:w="0" w:type="dxa"/>
              <w:end w:w="0" w:type="dxa"/>
            </w:tcMar>
          </w:tcPr>
          <w:p/>
        </w:tc>
      </w:tr>
      <w:tr>
        <w:trPr>
          <w:trHeight w:hRule="exact" w:val="426"/>
        </w:trPr>
        <w:tc>
          <w:tcPr>
            <w:tcW w:type="dxa" w:w="1290"/>
            <w:tcBorders>
              <w:start w:sz="4.0" w:val="single" w:color="#000000"/>
              <w:top w:sz="4.0" w:val="single" w:color="#000000"/>
              <w:end w:sz="3.199999999999818" w:val="single" w:color="#000000"/>
              <w:bottom w:sz="4.0" w:val="single" w:color="#000000"/>
            </w:tcBorders>
            <w:tcMar>
              <w:start w:w="0" w:type="dxa"/>
              <w:end w:w="0" w:type="dxa"/>
            </w:tcMar>
          </w:tcP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tc>
        <w:tc>
          <w:tcPr>
            <w:tcW w:type="dxa" w:w="1128"/>
            <w:tcBorders>
              <w:start w:sz="4.0" w:val="single" w:color="#000000"/>
              <w:top w:sz="4.0" w:val="single" w:color="#000000"/>
              <w:end w:sz="4.0" w:val="single" w:color="#000000"/>
              <w:bottom w:sz="4.0" w:val="single" w:color="#000000"/>
            </w:tcBorders>
            <w:tcMar>
              <w:start w:w="0" w:type="dxa"/>
              <w:end w:w="0" w:type="dxa"/>
            </w:tcMar>
          </w:tcPr>
          <w:p/>
        </w:tc>
        <w:tc>
          <w:tcPr>
            <w:tcW w:type="dxa" w:w="1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0" w:right="0" w:firstLine="0"/>
              <w:jc w:val="center"/>
            </w:pPr>
            <w:r>
              <w:rPr>
                <w:rFonts w:ascii="Arial" w:hAnsi="Arial" w:eastAsia="Arial"/>
                <w:b w:val="0"/>
                <w:i w:val="0"/>
                <w:color w:val="000000"/>
                <w:sz w:val="24"/>
              </w:rPr>
              <w:t xml:space="preserve">«D» </w:t>
            </w:r>
          </w:p>
        </w:tc>
        <w:tc>
          <w:tcPr>
            <w:tcW w:type="dxa" w:w="1014"/>
            <w:tcBorders>
              <w:start w:sz="4.0" w:val="single" w:color="#000000"/>
              <w:top w:sz="4.0" w:val="single" w:color="#000000"/>
              <w:end w:sz="3.199999999999818" w:val="single" w:color="#000000"/>
              <w:bottom w:sz="4.0" w:val="single" w:color="#000000"/>
            </w:tcBorders>
            <w:tcMar>
              <w:start w:w="0" w:type="dxa"/>
              <w:end w:w="0" w:type="dxa"/>
            </w:tcMar>
          </w:tcPr>
          <w:p/>
        </w:tc>
        <w:tc>
          <w:tcPr>
            <w:tcW w:type="dxa" w:w="1122"/>
            <w:tcBorders>
              <w:start w:sz="3.199999999999818" w:val="single" w:color="#000000"/>
              <w:top w:sz="4.0" w:val="single" w:color="#000000"/>
              <w:end w:sz="4.0" w:val="single" w:color="#000000"/>
              <w:bottom w:sz="4.0" w:val="single" w:color="#000000"/>
            </w:tcBorders>
            <w:tcMar>
              <w:start w:w="0" w:type="dxa"/>
              <w:end w:w="0" w:type="dxa"/>
            </w:tcMar>
          </w:tcPr>
          <w:p/>
        </w:tc>
        <w:tc>
          <w:tcPr>
            <w:tcW w:type="dxa" w:w="1018"/>
            <w:tcBorders>
              <w:start w:sz="4.0" w:val="single" w:color="#000000"/>
              <w:top w:sz="4.0" w:val="single" w:color="#000000"/>
              <w:end w:sz="4.0" w:val="single" w:color="#000000"/>
              <w:bottom w:sz="4.0" w:val="single" w:color="#000000"/>
            </w:tcBorders>
            <w:tcMar>
              <w:start w:w="0" w:type="dxa"/>
              <w:end w:w="0" w:type="dxa"/>
            </w:tcMar>
          </w:tcPr>
          <w:p/>
        </w:tc>
        <w:tc>
          <w:tcPr>
            <w:tcW w:type="dxa" w:w="1286"/>
            <w:tcBorders>
              <w:start w:sz="4.0" w:val="single" w:color="#000000"/>
              <w:top w:sz="4.0" w:val="single" w:color="#000000"/>
              <w:end w:sz="4.0" w:val="single" w:color="#000000"/>
              <w:bottom w:sz="4.0" w:val="single" w:color="#000000"/>
            </w:tcBorders>
            <w:tcMar>
              <w:start w:w="0" w:type="dxa"/>
              <w:end w:w="0" w:type="dxa"/>
            </w:tcMar>
          </w:tcPr>
          <w:p/>
        </w:tc>
      </w:tr>
      <w:tr>
        <w:trPr>
          <w:trHeight w:hRule="exact" w:val="422"/>
        </w:trPr>
        <w:tc>
          <w:tcPr>
            <w:tcW w:type="dxa" w:w="1290"/>
            <w:tcBorders>
              <w:start w:sz="4.0" w:val="single" w:color="#000000"/>
              <w:top w:sz="4.0" w:val="single" w:color="#000000"/>
              <w:end w:sz="3.199999999999818" w:val="single" w:color="#000000"/>
              <w:bottom w:sz="4.0" w:val="single" w:color="#000000"/>
            </w:tcBorders>
            <w:tcMar>
              <w:start w:w="0" w:type="dxa"/>
              <w:end w:w="0" w:type="dxa"/>
            </w:tcMar>
          </w:tcP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tc>
        <w:tc>
          <w:tcPr>
            <w:tcW w:type="dxa" w:w="1128"/>
            <w:tcBorders>
              <w:start w:sz="4.0" w:val="single" w:color="#000000"/>
              <w:top w:sz="4.0" w:val="single" w:color="#000000"/>
              <w:end w:sz="4.0" w:val="single" w:color="#000000"/>
              <w:bottom w:sz="4.0" w:val="single" w:color="#000000"/>
            </w:tcBorders>
            <w:tcMar>
              <w:start w:w="0" w:type="dxa"/>
              <w:end w:w="0" w:type="dxa"/>
            </w:tcMar>
          </w:tcPr>
          <w:p/>
        </w:tc>
        <w:tc>
          <w:tcPr>
            <w:tcW w:type="dxa" w:w="1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«D-» </w:t>
            </w:r>
          </w:p>
        </w:tc>
        <w:tc>
          <w:tcPr>
            <w:tcW w:type="dxa" w:w="1014"/>
            <w:tcBorders>
              <w:start w:sz="4.0" w:val="single" w:color="#000000"/>
              <w:top w:sz="4.0" w:val="single" w:color="#000000"/>
              <w:end w:sz="3.199999999999818" w:val="single" w:color="#000000"/>
              <w:bottom w:sz="4.0" w:val="single" w:color="#000000"/>
            </w:tcBorders>
            <w:tcMar>
              <w:start w:w="0" w:type="dxa"/>
              <w:end w:w="0" w:type="dxa"/>
            </w:tcMar>
          </w:tcPr>
          <w:p/>
        </w:tc>
        <w:tc>
          <w:tcPr>
            <w:tcW w:type="dxa" w:w="1122"/>
            <w:tcBorders>
              <w:start w:sz="3.199999999999818" w:val="single" w:color="#000000"/>
              <w:top w:sz="4.0" w:val="single" w:color="#000000"/>
              <w:end w:sz="4.0" w:val="single" w:color="#000000"/>
              <w:bottom w:sz="4.0" w:val="single" w:color="#000000"/>
            </w:tcBorders>
            <w:tcMar>
              <w:start w:w="0" w:type="dxa"/>
              <w:end w:w="0" w:type="dxa"/>
            </w:tcMar>
          </w:tcPr>
          <w:p/>
        </w:tc>
        <w:tc>
          <w:tcPr>
            <w:tcW w:type="dxa" w:w="1018"/>
            <w:tcBorders>
              <w:start w:sz="4.0" w:val="single" w:color="#000000"/>
              <w:top w:sz="4.0" w:val="single" w:color="#000000"/>
              <w:end w:sz="4.0" w:val="single" w:color="#000000"/>
              <w:bottom w:sz="4.0" w:val="single" w:color="#000000"/>
            </w:tcBorders>
            <w:tcMar>
              <w:start w:w="0" w:type="dxa"/>
              <w:end w:w="0" w:type="dxa"/>
            </w:tcMar>
          </w:tcPr>
          <w:p/>
        </w:tc>
        <w:tc>
          <w:tcPr>
            <w:tcW w:type="dxa" w:w="1286"/>
            <w:tcBorders>
              <w:start w:sz="4.0" w:val="single" w:color="#000000"/>
              <w:top w:sz="4.0" w:val="single" w:color="#000000"/>
              <w:end w:sz="4.0" w:val="single" w:color="#000000"/>
              <w:bottom w:sz="4.0" w:val="single" w:color="#000000"/>
            </w:tcBorders>
            <w:tcMar>
              <w:start w:w="0" w:type="dxa"/>
              <w:end w:w="0" w:type="dxa"/>
            </w:tcMar>
          </w:tcPr>
          <w:p/>
        </w:tc>
      </w:tr>
      <w:tr>
        <w:trPr>
          <w:trHeight w:hRule="exact" w:val="424"/>
        </w:trPr>
        <w:tc>
          <w:tcPr>
            <w:tcW w:type="dxa" w:w="129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«2» </w:t>
            </w: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«2» </w:t>
            </w:r>
          </w:p>
        </w:tc>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«FX» </w:t>
            </w:r>
          </w:p>
        </w:tc>
        <w:tc>
          <w:tcPr>
            <w:tcW w:type="dxa" w:w="1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«F» </w:t>
            </w:r>
          </w:p>
        </w:tc>
        <w:tc>
          <w:tcPr>
            <w:tcW w:type="dxa" w:w="101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0–39 </w:t>
            </w:r>
          </w:p>
        </w:tc>
        <w:tc>
          <w:tcPr>
            <w:tcW w:type="dxa" w:w="112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0–59 </w:t>
            </w:r>
          </w:p>
        </w:tc>
        <w:tc>
          <w:tcPr>
            <w:tcW w:type="dxa" w:w="10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0–59 </w:t>
            </w:r>
          </w:p>
        </w:tc>
        <w:tc>
          <w:tcPr>
            <w:tcW w:type="dxa" w:w="12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0–59.9 </w:t>
            </w:r>
          </w:p>
        </w:tc>
      </w:tr>
      <w:tr>
        <w:trPr>
          <w:trHeight w:hRule="exact" w:val="426"/>
        </w:trPr>
        <w:tc>
          <w:tcPr>
            <w:tcW w:type="dxa" w:w="1290"/>
            <w:tcBorders>
              <w:start w:sz="4.0" w:val="single" w:color="#000000"/>
              <w:top w:sz="4.0" w:val="single" w:color="#000000"/>
              <w:end w:sz="3.199999999999818" w:val="single" w:color="#000000"/>
              <w:bottom w:sz="4.0" w:val="single" w:color="#000000"/>
            </w:tcBorders>
            <w:tcMar>
              <w:start w:w="0" w:type="dxa"/>
              <w:end w:w="0" w:type="dxa"/>
            </w:tcMar>
          </w:tcP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tc>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0" w:right="0" w:firstLine="0"/>
              <w:jc w:val="center"/>
            </w:pPr>
            <w:r>
              <w:rPr>
                <w:rFonts w:ascii="Arial" w:hAnsi="Arial" w:eastAsia="Arial"/>
                <w:b w:val="0"/>
                <w:i w:val="0"/>
                <w:color w:val="000000"/>
                <w:sz w:val="24"/>
              </w:rPr>
              <w:t xml:space="preserve">«F» </w:t>
            </w:r>
          </w:p>
        </w:tc>
        <w:tc>
          <w:tcPr>
            <w:tcW w:type="dxa" w:w="1126"/>
            <w:tcBorders>
              <w:start w:sz="4.0" w:val="single" w:color="#000000"/>
              <w:top w:sz="4.0" w:val="single" w:color="#000000"/>
              <w:end w:sz="4.0" w:val="single" w:color="#000000"/>
              <w:bottom w:sz="4.0" w:val="single" w:color="#000000"/>
            </w:tcBorders>
            <w:tcMar>
              <w:start w:w="0" w:type="dxa"/>
              <w:end w:w="0" w:type="dxa"/>
            </w:tcMar>
          </w:tcPr>
          <w:p/>
        </w:tc>
        <w:tc>
          <w:tcPr>
            <w:tcW w:type="dxa" w:w="1014"/>
            <w:tcBorders>
              <w:start w:sz="4.0" w:val="single" w:color="#000000"/>
              <w:top w:sz="4.0" w:val="single" w:color="#000000"/>
              <w:end w:sz="3.199999999999818" w:val="single" w:color="#000000"/>
              <w:bottom w:sz="4.0" w:val="single" w:color="#000000"/>
            </w:tcBorders>
            <w:tcMar>
              <w:start w:w="0" w:type="dxa"/>
              <w:end w:w="0" w:type="dxa"/>
            </w:tcMar>
          </w:tcPr>
          <w:p/>
        </w:tc>
        <w:tc>
          <w:tcPr>
            <w:tcW w:type="dxa" w:w="1122"/>
            <w:tcBorders>
              <w:start w:sz="3.199999999999818" w:val="single" w:color="#000000"/>
              <w:top w:sz="4.0" w:val="single" w:color="#000000"/>
              <w:end w:sz="4.0" w:val="single" w:color="#000000"/>
              <w:bottom w:sz="4.0" w:val="single" w:color="#000000"/>
            </w:tcBorders>
            <w:tcMar>
              <w:start w:w="0" w:type="dxa"/>
              <w:end w:w="0" w:type="dxa"/>
            </w:tcMar>
          </w:tcPr>
          <w:p/>
        </w:tc>
        <w:tc>
          <w:tcPr>
            <w:tcW w:type="dxa" w:w="1018"/>
            <w:tcBorders>
              <w:start w:sz="4.0" w:val="single" w:color="#000000"/>
              <w:top w:sz="4.0" w:val="single" w:color="#000000"/>
              <w:end w:sz="4.0" w:val="single" w:color="#000000"/>
              <w:bottom w:sz="4.0" w:val="single" w:color="#000000"/>
            </w:tcBorders>
            <w:tcMar>
              <w:start w:w="0" w:type="dxa"/>
              <w:end w:w="0" w:type="dxa"/>
            </w:tcMar>
          </w:tcPr>
          <w:p/>
        </w:tc>
        <w:tc>
          <w:tcPr>
            <w:tcW w:type="dxa" w:w="1286"/>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317" w:lineRule="auto" w:before="488" w:after="0"/>
        <w:ind w:left="28" w:right="20" w:firstLine="566"/>
        <w:jc w:val="both"/>
      </w:pPr>
      <w:r>
        <w:rPr>
          <w:rFonts w:ascii="Arial" w:hAnsi="Arial" w:eastAsia="Arial"/>
          <w:b w:val="0"/>
          <w:i w:val="0"/>
          <w:color w:val="000000"/>
          <w:sz w:val="28"/>
        </w:rPr>
        <w:t>Yuqoridagi jadval Nizomning 1-jadvaliga (5 balli shkala bo'yicha bahoni 100 balli shkalaga aylantirish jadvali) muvofiq hisoblangan foiz ko'rsatkichlariga asoslangan.</w:t>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1034" w:bottom="718"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tabs>
          <w:tab w:pos="594" w:val="left"/>
        </w:tabs>
        <w:autoSpaceDE w:val="0"/>
        <w:widowControl/>
        <w:spacing w:line="295" w:lineRule="auto" w:before="236" w:after="166"/>
        <w:ind w:left="28" w:right="576" w:firstLine="0"/>
        <w:jc w:val="left"/>
      </w:pPr>
      <w:r>
        <w:rPr>
          <w:rFonts w:ascii="Arial" w:hAnsi="Arial" w:eastAsia="Arial"/>
          <w:b w:val="0"/>
          <w:i w:val="0"/>
          <w:color w:val="000000"/>
          <w:sz w:val="28"/>
        </w:rPr>
        <w:t>Bahoni 5 balli shkaladan 100 balli shkalaga aylantirish jadvali:</w:t>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581"/>
        <w:gridCol w:w="1581"/>
        <w:gridCol w:w="1581"/>
        <w:gridCol w:w="1581"/>
        <w:gridCol w:w="1581"/>
        <w:gridCol w:w="1581"/>
      </w:tblGrid>
      <w:tr>
        <w:trPr>
          <w:trHeight w:hRule="exact" w:val="846"/>
        </w:trPr>
        <w:tc>
          <w:tcPr>
            <w:tcW w:type="dxa" w:w="1536"/>
            <w:tcBorders>
              <w:start w:sz="4.0" w:val="single" w:color="#000000"/>
              <w:top w:sz="3.2000000000000455" w:val="single" w:color="#000000"/>
              <w:end w:sz="4.0" w:val="single" w:color="#000000"/>
              <w:bottom w:sz="4.0" w:val="single" w:color="#000000"/>
            </w:tcBorders>
            <w:shd w:fill="d9e1f3"/>
            <w:tcMar>
              <w:start w:w="0" w:type="dxa"/>
              <w:end w:w="0" w:type="dxa"/>
            </w:tcMar>
          </w:tcPr>
          <w:p>
            <w:pPr>
              <w:autoSpaceDN w:val="0"/>
              <w:autoSpaceDE w:val="0"/>
              <w:widowControl/>
              <w:spacing w:line="233" w:lineRule="auto" w:before="218" w:after="0"/>
              <w:ind w:left="0" w:right="0" w:firstLine="0"/>
              <w:jc w:val="center"/>
            </w:pPr>
            <w:r>
              <w:rPr>
                <w:rFonts w:ascii="Arial" w:hAnsi="Arial" w:eastAsia="Arial"/>
                <w:b/>
                <w:i w:val="0"/>
                <w:color w:val="000000"/>
                <w:sz w:val="24"/>
              </w:rPr>
              <w:t>5 balli shkala</w:t>
            </w:r>
          </w:p>
        </w:tc>
        <w:tc>
          <w:tcPr>
            <w:tcW w:type="dxa" w:w="1532"/>
            <w:tcBorders>
              <w:start w:sz="4.0" w:val="single" w:color="#000000"/>
              <w:top w:sz="3.2000000000000455" w:val="single" w:color="#000000"/>
              <w:end w:sz="4.0" w:val="single" w:color="#000000"/>
              <w:bottom w:sz="4.0" w:val="single" w:color="#000000"/>
            </w:tcBorders>
            <w:shd w:fill="d9e1f3"/>
            <w:tcMar>
              <w:start w:w="0" w:type="dxa"/>
              <w:end w:w="0" w:type="dxa"/>
            </w:tcMar>
          </w:tcPr>
          <w:p>
            <w:pPr>
              <w:autoSpaceDN w:val="0"/>
              <w:autoSpaceDE w:val="0"/>
              <w:widowControl/>
              <w:spacing w:line="298" w:lineRule="auto" w:before="12" w:after="0"/>
              <w:ind w:left="144" w:right="144" w:firstLine="0"/>
              <w:jc w:val="center"/>
            </w:pPr>
            <w:r>
              <w:rPr>
                <w:rFonts w:ascii="Arial" w:hAnsi="Arial" w:eastAsia="Arial"/>
                <w:b/>
                <w:i w:val="0"/>
                <w:color w:val="000000"/>
                <w:sz w:val="24"/>
              </w:rPr>
              <w:t>100 balli shkala</w:t>
            </w:r>
            <w:r>
              <w:rPr>
                <w:rFonts w:ascii="Arial" w:hAnsi="Arial" w:eastAsia="Arial"/>
                <w:b/>
                <w:i w:val="0"/>
                <w:color w:val="000000"/>
                <w:sz w:val="24"/>
              </w:rPr>
            </w:r>
          </w:p>
        </w:tc>
        <w:tc>
          <w:tcPr>
            <w:tcW w:type="dxa" w:w="1536"/>
            <w:tcBorders>
              <w:start w:sz="4.0" w:val="single" w:color="#000000"/>
              <w:top w:sz="3.2000000000000455" w:val="single" w:color="#000000"/>
              <w:end w:sz="4.0" w:val="single" w:color="#000000"/>
              <w:bottom w:sz="4.0" w:val="single" w:color="#000000"/>
            </w:tcBorders>
            <w:shd w:fill="d9e1f3"/>
            <w:tcMar>
              <w:start w:w="0" w:type="dxa"/>
              <w:end w:w="0" w:type="dxa"/>
            </w:tcMar>
          </w:tcPr>
          <w:p>
            <w:pPr>
              <w:autoSpaceDN w:val="0"/>
              <w:autoSpaceDE w:val="0"/>
              <w:widowControl/>
              <w:spacing w:line="233" w:lineRule="auto" w:before="218" w:after="0"/>
              <w:ind w:left="0" w:right="0" w:firstLine="0"/>
              <w:jc w:val="center"/>
            </w:pPr>
            <w:r>
              <w:rPr>
                <w:rFonts w:ascii="Arial" w:hAnsi="Arial" w:eastAsia="Arial"/>
                <w:b/>
                <w:i w:val="0"/>
                <w:color w:val="000000"/>
                <w:sz w:val="24"/>
              </w:rPr>
              <w:t>5 balli shkala</w:t>
            </w:r>
          </w:p>
        </w:tc>
        <w:tc>
          <w:tcPr>
            <w:tcW w:type="dxa" w:w="1538"/>
            <w:tcBorders>
              <w:start w:sz="4.0" w:val="single" w:color="#000000"/>
              <w:top w:sz="3.2000000000000455" w:val="single" w:color="#000000"/>
              <w:end w:sz="4.0" w:val="single" w:color="#000000"/>
              <w:bottom w:sz="4.0" w:val="single" w:color="#000000"/>
            </w:tcBorders>
            <w:shd w:fill="d9e1f3"/>
            <w:tcMar>
              <w:start w:w="0" w:type="dxa"/>
              <w:end w:w="0" w:type="dxa"/>
            </w:tcMar>
          </w:tcPr>
          <w:p>
            <w:pPr>
              <w:autoSpaceDN w:val="0"/>
              <w:autoSpaceDE w:val="0"/>
              <w:widowControl/>
              <w:spacing w:line="298" w:lineRule="auto" w:before="12" w:after="0"/>
              <w:ind w:left="144" w:right="144" w:firstLine="0"/>
              <w:jc w:val="center"/>
            </w:pPr>
            <w:r>
              <w:rPr>
                <w:rFonts w:ascii="Arial" w:hAnsi="Arial" w:eastAsia="Arial"/>
                <w:b/>
                <w:i w:val="0"/>
                <w:color w:val="000000"/>
                <w:sz w:val="24"/>
              </w:rPr>
              <w:t>100 balli shkala</w:t>
            </w:r>
            <w:r>
              <w:rPr>
                <w:rFonts w:ascii="Arial" w:hAnsi="Arial" w:eastAsia="Arial"/>
                <w:b/>
                <w:i w:val="0"/>
                <w:color w:val="000000"/>
                <w:sz w:val="24"/>
              </w:rPr>
            </w:r>
          </w:p>
        </w:tc>
        <w:tc>
          <w:tcPr>
            <w:tcW w:type="dxa" w:w="1534"/>
            <w:tcBorders>
              <w:start w:sz="4.0" w:val="single" w:color="#000000"/>
              <w:top w:sz="3.2000000000000455" w:val="single" w:color="#000000"/>
              <w:end w:sz="4.0" w:val="single" w:color="#000000"/>
              <w:bottom w:sz="4.0" w:val="single" w:color="#000000"/>
            </w:tcBorders>
            <w:shd w:fill="d9e1f3"/>
            <w:tcMar>
              <w:start w:w="0" w:type="dxa"/>
              <w:end w:w="0" w:type="dxa"/>
            </w:tcMar>
          </w:tcPr>
          <w:p>
            <w:pPr>
              <w:autoSpaceDN w:val="0"/>
              <w:autoSpaceDE w:val="0"/>
              <w:widowControl/>
              <w:spacing w:line="233" w:lineRule="auto" w:before="218" w:after="0"/>
              <w:ind w:left="0" w:right="0" w:firstLine="0"/>
              <w:jc w:val="center"/>
            </w:pPr>
            <w:r>
              <w:rPr>
                <w:rFonts w:ascii="Arial" w:hAnsi="Arial" w:eastAsia="Arial"/>
                <w:b/>
                <w:i w:val="0"/>
                <w:color w:val="000000"/>
                <w:sz w:val="24"/>
              </w:rPr>
              <w:t>5 balli shkala</w:t>
            </w:r>
          </w:p>
        </w:tc>
        <w:tc>
          <w:tcPr>
            <w:tcW w:type="dxa" w:w="1534"/>
            <w:tcBorders>
              <w:start w:sz="4.0" w:val="single" w:color="#000000"/>
              <w:top w:sz="3.2000000000000455" w:val="single" w:color="#000000"/>
              <w:end w:sz="4.0" w:val="single" w:color="#000000"/>
              <w:bottom w:sz="4.0" w:val="single" w:color="#000000"/>
            </w:tcBorders>
            <w:shd w:fill="d9e1f3"/>
            <w:tcMar>
              <w:start w:w="0" w:type="dxa"/>
              <w:end w:w="0" w:type="dxa"/>
            </w:tcMar>
          </w:tcPr>
          <w:p>
            <w:pPr>
              <w:autoSpaceDN w:val="0"/>
              <w:autoSpaceDE w:val="0"/>
              <w:widowControl/>
              <w:spacing w:line="298" w:lineRule="auto" w:before="12" w:after="0"/>
              <w:ind w:left="144" w:right="144" w:firstLine="0"/>
              <w:jc w:val="center"/>
            </w:pPr>
            <w:r>
              <w:rPr>
                <w:rFonts w:ascii="Arial" w:hAnsi="Arial" w:eastAsia="Arial"/>
                <w:b/>
                <w:i w:val="0"/>
                <w:color w:val="000000"/>
                <w:sz w:val="24"/>
              </w:rPr>
              <w:t>100 balli shkala</w:t>
            </w:r>
            <w:r>
              <w:rPr>
                <w:rFonts w:ascii="Arial" w:hAnsi="Arial" w:eastAsia="Arial"/>
                <w:b/>
                <w:i w:val="0"/>
                <w:color w:val="000000"/>
                <w:sz w:val="24"/>
              </w:rPr>
            </w:r>
          </w:p>
        </w:tc>
      </w:tr>
      <w:tr>
        <w:trPr>
          <w:trHeight w:hRule="exact" w:val="422"/>
        </w:trPr>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5.00–4.96 </w:t>
            </w:r>
          </w:p>
        </w:tc>
        <w:tc>
          <w:tcPr>
            <w:tcW w:type="dxa" w:w="15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100 </w:t>
            </w:r>
          </w:p>
        </w:tc>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4.30–4.26 </w:t>
            </w:r>
          </w:p>
        </w:tc>
        <w:tc>
          <w:tcPr>
            <w:tcW w:type="dxa" w:w="15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86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3.60–3.56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72 </w:t>
            </w:r>
          </w:p>
        </w:tc>
      </w:tr>
      <w:tr>
        <w:trPr>
          <w:trHeight w:hRule="exact" w:val="426"/>
        </w:trPr>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4.95–4.91 </w:t>
            </w:r>
          </w:p>
        </w:tc>
        <w:tc>
          <w:tcPr>
            <w:tcW w:type="dxa" w:w="15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99 </w:t>
            </w:r>
          </w:p>
        </w:tc>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4.25–4.21 </w:t>
            </w:r>
          </w:p>
        </w:tc>
        <w:tc>
          <w:tcPr>
            <w:tcW w:type="dxa" w:w="15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85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3.55–3.51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71 </w:t>
            </w:r>
          </w:p>
        </w:tc>
      </w:tr>
      <w:tr>
        <w:trPr>
          <w:trHeight w:hRule="exact" w:val="434"/>
        </w:trPr>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4"/>
              </w:rPr>
              <w:t xml:space="preserve">4.90–4.86 </w:t>
            </w:r>
          </w:p>
        </w:tc>
        <w:tc>
          <w:tcPr>
            <w:tcW w:type="dxa" w:w="15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4"/>
              </w:rPr>
              <w:t xml:space="preserve">98 </w:t>
            </w:r>
          </w:p>
        </w:tc>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4"/>
              </w:rPr>
              <w:t xml:space="preserve">4.20–4.16 </w:t>
            </w:r>
          </w:p>
        </w:tc>
        <w:tc>
          <w:tcPr>
            <w:tcW w:type="dxa" w:w="15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4"/>
              </w:rPr>
              <w:t xml:space="preserve">84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4"/>
              </w:rPr>
              <w:t xml:space="preserve">3.50–3.46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4"/>
              </w:rPr>
              <w:t xml:space="preserve">70 </w:t>
            </w:r>
          </w:p>
        </w:tc>
      </w:tr>
      <w:tr>
        <w:trPr>
          <w:trHeight w:hRule="exact" w:val="426"/>
        </w:trPr>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4.85–4.81 </w:t>
            </w:r>
          </w:p>
        </w:tc>
        <w:tc>
          <w:tcPr>
            <w:tcW w:type="dxa" w:w="15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97 </w:t>
            </w:r>
          </w:p>
        </w:tc>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4.15–4.11 </w:t>
            </w:r>
          </w:p>
        </w:tc>
        <w:tc>
          <w:tcPr>
            <w:tcW w:type="dxa" w:w="15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83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3.45–3.41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69 </w:t>
            </w:r>
          </w:p>
        </w:tc>
      </w:tr>
      <w:tr>
        <w:trPr>
          <w:trHeight w:hRule="exact" w:val="424"/>
        </w:trPr>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4.80–4.76 </w:t>
            </w:r>
          </w:p>
        </w:tc>
        <w:tc>
          <w:tcPr>
            <w:tcW w:type="dxa" w:w="15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96 </w:t>
            </w:r>
          </w:p>
        </w:tc>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4.10–4.06 </w:t>
            </w:r>
          </w:p>
        </w:tc>
        <w:tc>
          <w:tcPr>
            <w:tcW w:type="dxa" w:w="15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82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3.40–3.36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68 </w:t>
            </w:r>
          </w:p>
        </w:tc>
      </w:tr>
      <w:tr>
        <w:trPr>
          <w:trHeight w:hRule="exact" w:val="424"/>
        </w:trPr>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4.75–4.71 </w:t>
            </w:r>
          </w:p>
        </w:tc>
        <w:tc>
          <w:tcPr>
            <w:tcW w:type="dxa" w:w="15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95 </w:t>
            </w:r>
          </w:p>
        </w:tc>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4.05–4.01 </w:t>
            </w:r>
          </w:p>
        </w:tc>
        <w:tc>
          <w:tcPr>
            <w:tcW w:type="dxa" w:w="15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81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3.35–3.31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67 </w:t>
            </w:r>
          </w:p>
        </w:tc>
      </w:tr>
      <w:tr>
        <w:trPr>
          <w:trHeight w:hRule="exact" w:val="434"/>
        </w:trPr>
        <w:tc>
          <w:tcPr>
            <w:tcW w:type="dxa" w:w="153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12" w:after="0"/>
              <w:ind w:left="0" w:right="0" w:firstLine="0"/>
              <w:jc w:val="center"/>
            </w:pPr>
            <w:r>
              <w:rPr>
                <w:rFonts w:ascii="Arial" w:hAnsi="Arial" w:eastAsia="Arial"/>
                <w:b w:val="0"/>
                <w:i w:val="0"/>
                <w:color w:val="000000"/>
                <w:sz w:val="24"/>
              </w:rPr>
              <w:t xml:space="preserve">4.70–4.66 </w:t>
            </w:r>
          </w:p>
        </w:tc>
        <w:tc>
          <w:tcPr>
            <w:tcW w:type="dxa" w:w="153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12" w:after="0"/>
              <w:ind w:left="0" w:right="0" w:firstLine="0"/>
              <w:jc w:val="center"/>
            </w:pPr>
            <w:r>
              <w:rPr>
                <w:rFonts w:ascii="Arial" w:hAnsi="Arial" w:eastAsia="Arial"/>
                <w:b w:val="0"/>
                <w:i w:val="0"/>
                <w:color w:val="000000"/>
                <w:sz w:val="24"/>
              </w:rPr>
              <w:t xml:space="preserve">94 </w:t>
            </w:r>
          </w:p>
        </w:tc>
        <w:tc>
          <w:tcPr>
            <w:tcW w:type="dxa" w:w="153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12" w:after="0"/>
              <w:ind w:left="0" w:right="0" w:firstLine="0"/>
              <w:jc w:val="center"/>
            </w:pPr>
            <w:r>
              <w:rPr>
                <w:rFonts w:ascii="Arial" w:hAnsi="Arial" w:eastAsia="Arial"/>
                <w:b w:val="0"/>
                <w:i w:val="0"/>
                <w:color w:val="000000"/>
                <w:sz w:val="24"/>
              </w:rPr>
              <w:t xml:space="preserve">4.00–3.96 </w:t>
            </w:r>
          </w:p>
        </w:tc>
        <w:tc>
          <w:tcPr>
            <w:tcW w:type="dxa" w:w="153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12" w:after="0"/>
              <w:ind w:left="0" w:right="0" w:firstLine="0"/>
              <w:jc w:val="center"/>
            </w:pPr>
            <w:r>
              <w:rPr>
                <w:rFonts w:ascii="Arial" w:hAnsi="Arial" w:eastAsia="Arial"/>
                <w:b w:val="0"/>
                <w:i w:val="0"/>
                <w:color w:val="000000"/>
                <w:sz w:val="24"/>
              </w:rPr>
              <w:t xml:space="preserve">80 </w:t>
            </w:r>
          </w:p>
        </w:tc>
        <w:tc>
          <w:tcPr>
            <w:tcW w:type="dxa" w:w="15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12" w:after="0"/>
              <w:ind w:left="0" w:right="0" w:firstLine="0"/>
              <w:jc w:val="center"/>
            </w:pPr>
            <w:r>
              <w:rPr>
                <w:rFonts w:ascii="Arial" w:hAnsi="Arial" w:eastAsia="Arial"/>
                <w:b w:val="0"/>
                <w:i w:val="0"/>
                <w:color w:val="000000"/>
                <w:sz w:val="24"/>
              </w:rPr>
              <w:t xml:space="preserve">3.30–3.26 </w:t>
            </w:r>
          </w:p>
        </w:tc>
        <w:tc>
          <w:tcPr>
            <w:tcW w:type="dxa" w:w="15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12" w:after="0"/>
              <w:ind w:left="0" w:right="0" w:firstLine="0"/>
              <w:jc w:val="center"/>
            </w:pPr>
            <w:r>
              <w:rPr>
                <w:rFonts w:ascii="Arial" w:hAnsi="Arial" w:eastAsia="Arial"/>
                <w:b w:val="0"/>
                <w:i w:val="0"/>
                <w:color w:val="000000"/>
                <w:sz w:val="24"/>
              </w:rPr>
              <w:t xml:space="preserve">66 </w:t>
            </w:r>
          </w:p>
        </w:tc>
      </w:tr>
      <w:tr>
        <w:trPr>
          <w:trHeight w:hRule="exact" w:val="426"/>
        </w:trPr>
        <w:tc>
          <w:tcPr>
            <w:tcW w:type="dxa" w:w="153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4.65–4.61 </w:t>
            </w:r>
          </w:p>
        </w:tc>
        <w:tc>
          <w:tcPr>
            <w:tcW w:type="dxa" w:w="153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93 </w:t>
            </w:r>
          </w:p>
        </w:tc>
        <w:tc>
          <w:tcPr>
            <w:tcW w:type="dxa" w:w="153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3.95–3.91 </w:t>
            </w:r>
          </w:p>
        </w:tc>
        <w:tc>
          <w:tcPr>
            <w:tcW w:type="dxa" w:w="153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79 </w:t>
            </w:r>
          </w:p>
        </w:tc>
        <w:tc>
          <w:tcPr>
            <w:tcW w:type="dxa" w:w="15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3.25–3.21 </w:t>
            </w:r>
          </w:p>
        </w:tc>
        <w:tc>
          <w:tcPr>
            <w:tcW w:type="dxa" w:w="15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65 </w:t>
            </w:r>
          </w:p>
        </w:tc>
      </w:tr>
      <w:tr>
        <w:trPr>
          <w:trHeight w:hRule="exact" w:val="424"/>
        </w:trPr>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0" w:right="0" w:firstLine="0"/>
              <w:jc w:val="center"/>
            </w:pPr>
            <w:r>
              <w:rPr>
                <w:rFonts w:ascii="Arial" w:hAnsi="Arial" w:eastAsia="Arial"/>
                <w:b w:val="0"/>
                <w:i w:val="0"/>
                <w:color w:val="000000"/>
                <w:sz w:val="24"/>
              </w:rPr>
              <w:t xml:space="preserve">4.60–4.56 </w:t>
            </w:r>
          </w:p>
        </w:tc>
        <w:tc>
          <w:tcPr>
            <w:tcW w:type="dxa" w:w="15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0" w:right="0" w:firstLine="0"/>
              <w:jc w:val="center"/>
            </w:pPr>
            <w:r>
              <w:rPr>
                <w:rFonts w:ascii="Arial" w:hAnsi="Arial" w:eastAsia="Arial"/>
                <w:b w:val="0"/>
                <w:i w:val="0"/>
                <w:color w:val="000000"/>
                <w:sz w:val="24"/>
              </w:rPr>
              <w:t xml:space="preserve">92 </w:t>
            </w:r>
          </w:p>
        </w:tc>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0" w:right="0" w:firstLine="0"/>
              <w:jc w:val="center"/>
            </w:pPr>
            <w:r>
              <w:rPr>
                <w:rFonts w:ascii="Arial" w:hAnsi="Arial" w:eastAsia="Arial"/>
                <w:b w:val="0"/>
                <w:i w:val="0"/>
                <w:color w:val="000000"/>
                <w:sz w:val="24"/>
              </w:rPr>
              <w:t xml:space="preserve">3.90–3.86 </w:t>
            </w:r>
          </w:p>
        </w:tc>
        <w:tc>
          <w:tcPr>
            <w:tcW w:type="dxa" w:w="15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0" w:right="0" w:firstLine="0"/>
              <w:jc w:val="center"/>
            </w:pPr>
            <w:r>
              <w:rPr>
                <w:rFonts w:ascii="Arial" w:hAnsi="Arial" w:eastAsia="Arial"/>
                <w:b w:val="0"/>
                <w:i w:val="0"/>
                <w:color w:val="000000"/>
                <w:sz w:val="24"/>
              </w:rPr>
              <w:t xml:space="preserve">78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0" w:right="0" w:firstLine="0"/>
              <w:jc w:val="center"/>
            </w:pPr>
            <w:r>
              <w:rPr>
                <w:rFonts w:ascii="Arial" w:hAnsi="Arial" w:eastAsia="Arial"/>
                <w:b w:val="0"/>
                <w:i w:val="0"/>
                <w:color w:val="000000"/>
                <w:sz w:val="24"/>
              </w:rPr>
              <w:t xml:space="preserve">3.20–3.16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0" w:right="0" w:firstLine="0"/>
              <w:jc w:val="center"/>
            </w:pPr>
            <w:r>
              <w:rPr>
                <w:rFonts w:ascii="Arial" w:hAnsi="Arial" w:eastAsia="Arial"/>
                <w:b w:val="0"/>
                <w:i w:val="0"/>
                <w:color w:val="000000"/>
                <w:sz w:val="24"/>
              </w:rPr>
              <w:t xml:space="preserve">64 </w:t>
            </w:r>
          </w:p>
        </w:tc>
      </w:tr>
      <w:tr>
        <w:trPr>
          <w:trHeight w:hRule="exact" w:val="432"/>
        </w:trPr>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4.55–4.51 </w:t>
            </w:r>
          </w:p>
        </w:tc>
        <w:tc>
          <w:tcPr>
            <w:tcW w:type="dxa" w:w="15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91 </w:t>
            </w:r>
          </w:p>
        </w:tc>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3.85–3.81 </w:t>
            </w:r>
          </w:p>
        </w:tc>
        <w:tc>
          <w:tcPr>
            <w:tcW w:type="dxa" w:w="15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77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3.15–3.11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63 </w:t>
            </w:r>
          </w:p>
        </w:tc>
      </w:tr>
      <w:tr>
        <w:trPr>
          <w:trHeight w:hRule="exact" w:val="424"/>
        </w:trPr>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4.50–4.46 </w:t>
            </w:r>
          </w:p>
        </w:tc>
        <w:tc>
          <w:tcPr>
            <w:tcW w:type="dxa" w:w="15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90 </w:t>
            </w:r>
          </w:p>
        </w:tc>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3.80–3.76 </w:t>
            </w:r>
          </w:p>
        </w:tc>
        <w:tc>
          <w:tcPr>
            <w:tcW w:type="dxa" w:w="15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76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3.10–3.06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62 </w:t>
            </w:r>
          </w:p>
        </w:tc>
      </w:tr>
      <w:tr>
        <w:trPr>
          <w:trHeight w:hRule="exact" w:val="426"/>
        </w:trPr>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Arial" w:hAnsi="Arial" w:eastAsia="Arial"/>
                <w:b w:val="0"/>
                <w:i w:val="0"/>
                <w:color w:val="000000"/>
                <w:sz w:val="24"/>
              </w:rPr>
              <w:t xml:space="preserve">4.45–4.41 </w:t>
            </w:r>
          </w:p>
        </w:tc>
        <w:tc>
          <w:tcPr>
            <w:tcW w:type="dxa" w:w="15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Arial" w:hAnsi="Arial" w:eastAsia="Arial"/>
                <w:b w:val="0"/>
                <w:i w:val="0"/>
                <w:color w:val="000000"/>
                <w:sz w:val="24"/>
              </w:rPr>
              <w:t xml:space="preserve">89 </w:t>
            </w:r>
          </w:p>
        </w:tc>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Arial" w:hAnsi="Arial" w:eastAsia="Arial"/>
                <w:b w:val="0"/>
                <w:i w:val="0"/>
                <w:color w:val="000000"/>
                <w:sz w:val="24"/>
              </w:rPr>
              <w:t xml:space="preserve">3.75–3.71 </w:t>
            </w:r>
          </w:p>
        </w:tc>
        <w:tc>
          <w:tcPr>
            <w:tcW w:type="dxa" w:w="15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Arial" w:hAnsi="Arial" w:eastAsia="Arial"/>
                <w:b w:val="0"/>
                <w:i w:val="0"/>
                <w:color w:val="000000"/>
                <w:sz w:val="24"/>
              </w:rPr>
              <w:t xml:space="preserve">75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Arial" w:hAnsi="Arial" w:eastAsia="Arial"/>
                <w:b w:val="0"/>
                <w:i w:val="0"/>
                <w:color w:val="000000"/>
                <w:sz w:val="24"/>
              </w:rPr>
              <w:t xml:space="preserve">3.05–3.01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Arial" w:hAnsi="Arial" w:eastAsia="Arial"/>
                <w:b w:val="0"/>
                <w:i w:val="0"/>
                <w:color w:val="000000"/>
                <w:sz w:val="24"/>
              </w:rPr>
              <w:t xml:space="preserve">61 </w:t>
            </w:r>
          </w:p>
        </w:tc>
      </w:tr>
      <w:tr>
        <w:trPr>
          <w:trHeight w:hRule="exact" w:val="424"/>
        </w:trPr>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4.40–4.36 </w:t>
            </w:r>
          </w:p>
        </w:tc>
        <w:tc>
          <w:tcPr>
            <w:tcW w:type="dxa" w:w="15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88 </w:t>
            </w:r>
          </w:p>
        </w:tc>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3.70–3.66 </w:t>
            </w:r>
          </w:p>
        </w:tc>
        <w:tc>
          <w:tcPr>
            <w:tcW w:type="dxa" w:w="15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74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3.00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60 </w:t>
            </w:r>
          </w:p>
        </w:tc>
      </w:tr>
      <w:tr>
        <w:trPr>
          <w:trHeight w:hRule="exact" w:val="426"/>
        </w:trPr>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 xml:space="preserve">4.35–4.31 </w:t>
            </w:r>
          </w:p>
        </w:tc>
        <w:tc>
          <w:tcPr>
            <w:tcW w:type="dxa" w:w="15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 xml:space="preserve">87 </w:t>
            </w:r>
          </w:p>
        </w:tc>
        <w:tc>
          <w:tcPr>
            <w:tcW w:type="dxa" w:w="1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 xml:space="preserve">3.65–3.61 </w:t>
            </w:r>
          </w:p>
        </w:tc>
        <w:tc>
          <w:tcPr>
            <w:tcW w:type="dxa" w:w="15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 xml:space="preserve">73 </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3,00 dan past</w:t>
            </w:r>
          </w:p>
        </w:tc>
        <w:tc>
          <w:tcPr>
            <w:tcW w:type="dxa" w:w="1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60 dan past</w:t>
            </w:r>
          </w:p>
        </w:tc>
      </w:tr>
    </w:tbl>
    <w:p>
      <w:pPr>
        <w:autoSpaceDN w:val="0"/>
        <w:autoSpaceDE w:val="0"/>
        <w:widowControl/>
        <w:spacing w:line="334" w:lineRule="auto" w:before="4" w:after="0"/>
        <w:ind w:left="28" w:right="20" w:firstLine="566"/>
        <w:jc w:val="both"/>
      </w:pPr>
      <w:r>
        <w:rPr>
          <w:rFonts w:ascii="Arial" w:hAnsi="Arial" w:eastAsia="Arial"/>
          <w:b w:val="0"/>
          <w:i w:val="0"/>
          <w:color w:val="000000"/>
          <w:sz w:val="28"/>
        </w:rPr>
        <w:t>Kredit-modul nizomining 26-moddasiga muvofiq, akademik mobillik yoki ko'chirish natijasida taqdim etilgan xorijiy baholar ushbu jadval asosida Universitetning 5 balli tizimiga aylantiriladi; zarurat bo'lganda, bu xorijiy hamkor muassasa bilan tuzilgan maxsus shartnoma yoki Universitet Kengashining alohida qarori bilan aniqlanishi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334" w:lineRule="auto" w:before="170" w:after="0"/>
        <w:ind w:left="28" w:right="0" w:firstLine="0"/>
        <w:jc w:val="left"/>
      </w:pPr>
      <w:r>
        <w:rPr>
          <w:rFonts w:ascii="Arial" w:hAnsi="Arial" w:eastAsia="Arial"/>
          <w:b w:val="0"/>
          <w:i w:val="0"/>
          <w:color w:val="000000"/>
          <w:sz w:val="28"/>
        </w:rPr>
        <w:t>32. Kreditlar quyidagi hollarda tan olinmaydi:</w:t>
        <w:br/>
        <w:t>taqdim etilgan hujjatlarning haqiqiyligi tasdiqlanmaganda;</w:t>
        <w:br/>
        <w:t>fanning mazmuni belgilangan mezonga javob bermaganda;</w:t>
        <w:br/>
        <w:t>fan bo'yicha yakuniy natija ijobiy bo'lmaganda yoki fan tugallanmaganda.</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20" w:val="left"/>
          <w:tab w:pos="594" w:val="left"/>
        </w:tabs>
        <w:autoSpaceDE w:val="0"/>
        <w:widowControl/>
        <w:spacing w:line="329" w:lineRule="auto" w:before="170" w:after="0"/>
        <w:ind w:left="28" w:right="0" w:firstLine="0"/>
        <w:jc w:val="left"/>
      </w:pPr>
      <w:r>
        <w:rPr/>
        <w:tab/>
        <w:t>7-BOB. QARORNI RASMIYLASHTIRISH VA SHIKOYAT</w:t>
        <w:br/>
        <w:tab/>
        <w:t>33. Tan olingan fanlar va kreditlar talabaning individual o'quv rejasiga kiritiladi, tegishli buyruq va kredit ekvivalentligi varaqasi talabaning shaxsiy ishiga qo'shiladi.</w:t>
      </w:r>
      <w:r>
        <w:rPr>
          <w:rFonts w:ascii="Arial" w:hAnsi="Arial" w:eastAsia="Arial"/>
          <w:b w:val="0"/>
          <w:i w:val="0"/>
          <w:color w:val="2E74B5"/>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1034" w:bottom="594"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38" w:lineRule="auto" w:before="236" w:after="0"/>
        <w:ind w:left="28" w:right="24" w:firstLine="566"/>
        <w:jc w:val="both"/>
      </w:pPr>
      <w:r>
        <w:rPr>
          <w:rFonts w:ascii="Arial" w:hAnsi="Arial" w:eastAsia="Arial"/>
          <w:b w:val="0"/>
          <w:i w:val="0"/>
          <w:color w:val="000000"/>
          <w:sz w:val="28"/>
        </w:rPr>
        <w:t>34. Qarordan norozi bo'lgan talaba xabardor qilingan kundan boshlab 24 soat ichida Universitetning "Talabalar, professor-o'qituvchilar va xodimlarning shikoyatlarini ko'rib chiqish tartibi to'g'risida"gi Nizomda belgilangan tartibda tegishli Apellyatsiya komissiyasiga shikoyat berish huquqiga ega. Apellyatsiya komissiyasi o'quv ishlari bo'yicha prorektor tomonidan shakllantiriladi va shikoyatni ko'rib chiqadi.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298" w:lineRule="auto" w:before="170" w:after="0"/>
        <w:ind w:left="28" w:right="0" w:firstLine="0"/>
        <w:jc w:val="left"/>
      </w:pPr>
      <w:r>
        <w:rPr>
          <w:rFonts w:ascii="Arial" w:hAnsi="Arial" w:eastAsia="Arial"/>
          <w:b w:val="0"/>
          <w:i w:val="0"/>
          <w:color w:val="000000"/>
          <w:sz w:val="28"/>
        </w:rPr>
        <w:t>35. Shikoyatlar faqat protsessual buzilishlar yoki yangi aniqlangan hujjatli dalillar asosida ko'rib chiqiladi.</w:t>
      </w:r>
      <w:r>
        <w:rPr>
          <w:rFonts w:ascii="Arial" w:hAnsi="Arial" w:eastAsia="Arial"/>
          <w:b w:val="0"/>
          <w:i w:val="0"/>
          <w:color w:val="000000"/>
          <w:sz w:val="28"/>
        </w:rPr>
      </w:r>
    </w:p>
    <w:p>
      <w:pPr>
        <w:autoSpaceDN w:val="0"/>
        <w:tabs>
          <w:tab w:pos="594" w:val="left"/>
        </w:tabs>
        <w:autoSpaceDE w:val="0"/>
        <w:widowControl/>
        <w:spacing w:line="338" w:lineRule="auto" w:before="170" w:after="0"/>
        <w:ind w:left="28" w:right="0" w:firstLine="0"/>
        <w:jc w:val="left"/>
      </w:pPr>
      <w:r>
        <w:rPr>
          <w:rFonts w:ascii="Arial" w:hAnsi="Arial" w:eastAsia="Arial"/>
          <w:b w:val="0"/>
          <w:i w:val="0"/>
          <w:color w:val="2E74B5"/>
          <w:sz w:val="28"/>
        </w:rPr>
        <w:t>8-BOB. AKADEMIK FARQLARNI ANIQLASH VA RASMIYLASHTIRISH</w:t>
        <w:br/>
        <w:t>36. Komissiya xulosasi asosida talabaning akademik farqlari ro'yxati tuziladi. Unda fan nomi, kredit hajmi, semestr, o'zlashtirish shakli (bepul yoki pullik asosda) va muddat ko'rsatiladi.</w:t>
      </w:r>
      <w:r/>
      <w:r>
        <w:rPr>
          <w:rFonts w:ascii="Arial" w:hAnsi="Arial" w:eastAsia="Arial"/>
          <w:b w:val="0"/>
          <w:i w:val="0"/>
          <w:color w:val="2E74B5"/>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28" w:right="20" w:firstLine="566"/>
        <w:jc w:val="both"/>
      </w:pPr>
      <w:r>
        <w:rPr>
          <w:rFonts w:ascii="Arial" w:hAnsi="Arial" w:eastAsia="Arial"/>
          <w:b w:val="0"/>
          <w:i w:val="0"/>
          <w:color w:val="000000"/>
          <w:sz w:val="28"/>
        </w:rPr>
        <w:t>37. O'quv rejasi fanlari bo'yicha farqi bor talaba akademik qarzdor maqomida o'qishga qabul qilinadi. Talabaning stipendiyasi akademik qarz (farqlar) bartaraf etilgan kundan boshlab to'lanadi.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68" w:after="0"/>
        <w:ind w:left="28" w:right="24" w:firstLine="566"/>
        <w:jc w:val="both"/>
      </w:pPr>
      <w:r>
        <w:rPr>
          <w:rFonts w:ascii="Arial" w:hAnsi="Arial" w:eastAsia="Arial"/>
          <w:b w:val="0"/>
          <w:i w:val="0"/>
          <w:color w:val="000000"/>
          <w:sz w:val="28"/>
        </w:rPr>
        <w:t>38. Talabaning farqlarni bartaraf etishi uchun individual jadval tuziladi. Jadval dekan taqdimnomasiga asosan o'quv ishlari bo'yicha prorektor tomonidan tasdiqlanadi.</w:t>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334" w:lineRule="auto" w:before="172" w:after="0"/>
        <w:ind w:left="28" w:right="0" w:firstLine="0"/>
        <w:jc w:val="left"/>
      </w:pPr>
      <w:r>
        <w:rPr>
          <w:rFonts w:ascii="Arial" w:hAnsi="Arial" w:eastAsia="Arial"/>
          <w:b w:val="0"/>
          <w:i w:val="0"/>
          <w:color w:val="000000"/>
          <w:sz w:val="28"/>
        </w:rPr>
        <w:t>39. Akademik farqlarning kredit hajmiga quyidagi cheklovlar qo'llaniladi:</w:t>
        <w:br/>
        <w:t>bitta semestr davomida 15 kreditdan ortiq fan qayta o'zlashtirishga ruxsat berilmaydi (yakuniy kurs talabalari bundan mustasno);</w:t>
        <w:br/>
        <w:t>yozgi semestrda tanlangan fanlar uchun kreditlarning umumiy soni 30 kreditdan oshmasligi lozim.</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28" w:right="24" w:firstLine="566"/>
        <w:jc w:val="both"/>
      </w:pPr>
      <w:r>
        <w:rPr>
          <w:rFonts w:ascii="Arial" w:hAnsi="Arial" w:eastAsia="Arial"/>
          <w:b w:val="0"/>
          <w:i w:val="0"/>
          <w:color w:val="000000"/>
          <w:sz w:val="28"/>
        </w:rPr>
        <w:t>40. Farqlarni hisoblashda GPA 2,4 dan past ekanligi aniqlansa, Komissiya talabani quyi kursga qabul qilish to'g'risida taklif kiritadi.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5" w:lineRule="auto" w:before="172" w:after="0"/>
        <w:ind w:left="28" w:right="0" w:firstLine="566"/>
        <w:jc w:val="left"/>
      </w:pPr>
      <w:r>
        <w:rPr>
          <w:rFonts w:ascii="Arial" w:hAnsi="Arial" w:eastAsia="Arial"/>
          <w:b w:val="0"/>
          <w:i w:val="0"/>
          <w:color w:val="000000"/>
          <w:sz w:val="28"/>
        </w:rPr>
        <w:t>41. Talabaning o'quv kursi Akademik qoidalarning IX bobida belgilangan tartibda aniqlanadi. Birinchi kursning birinchi semestrini to'liq</w:t>
      </w:r>
      <w:r>
        <w:rPr>
          <w:rFonts w:ascii="Arial" w:hAnsi="Arial" w:eastAsia="Arial"/>
          <w:b w:val="0"/>
          <w:i w:val="0"/>
          <w:color w:val="000000"/>
          <w:sz w:val="28"/>
        </w:rPr>
      </w:r>
    </w:p>
    <w:p>
      <w:pPr>
        <w:sectPr>
          <w:pgSz w:w="11906" w:h="16838"/>
          <w:pgMar w:top="354" w:right="1034" w:bottom="626"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2"/>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34" w:lineRule="auto" w:before="236" w:after="0"/>
        <w:ind w:left="28" w:right="24" w:firstLine="0"/>
        <w:jc w:val="both"/>
      </w:pPr>
      <w:r>
        <w:rPr>
          <w:rFonts w:ascii="Arial" w:hAnsi="Arial" w:eastAsia="Arial"/>
          <w:b w:val="0"/>
          <w:i w:val="0"/>
          <w:color w:val="000000"/>
          <w:sz w:val="28"/>
        </w:rPr>
        <w:t>tugatgan talabalar uchun GPA yil oxirida fan farqlariga qaramay hisoblanadi. Texnikumni tugatgandan keyin qabul qilish uchun tavsiya etilgan yoki suhbat asosida ikkinchi oliy ta'lim olayotgan talabalar GPA ga qaramay 2-kursning 3-semestriga tayinlanadi.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28" w:right="24" w:firstLine="566"/>
        <w:jc w:val="both"/>
      </w:pPr>
      <w:r>
        <w:rPr>
          <w:rFonts w:ascii="Arial" w:hAnsi="Arial" w:eastAsia="Arial"/>
          <w:b w:val="0"/>
          <w:i w:val="0"/>
          <w:color w:val="000000"/>
          <w:sz w:val="28"/>
        </w:rPr>
        <w:t>42. Tan olingan kreditlar va akademik farqlar ro'yxati registrator.tersu.uz platformasida tasdiqlangan QR-kodli ma'lumotnoma orqali rasmiylashtiriladi.</w:t>
      </w:r>
      <w:r>
        <w:rPr>
          <w:rFonts w:ascii="Arial" w:hAnsi="Arial" w:eastAsia="Arial"/>
          <w:b w:val="0"/>
          <w:i w:val="0"/>
          <w:color w:val="000000"/>
          <w:sz w:val="28"/>
        </w:rPr>
      </w:r>
      <w:r>
        <w:rPr>
          <w:rFonts w:ascii="Arial" w:hAnsi="Arial" w:eastAsia="Arial"/>
          <w:b w:val="0"/>
          <w:i w:val="0"/>
          <w:color w:val="000000"/>
          <w:sz w:val="28"/>
        </w:rPr>
      </w:r>
    </w:p>
    <w:p>
      <w:pPr>
        <w:autoSpaceDN w:val="0"/>
        <w:tabs>
          <w:tab w:pos="444" w:val="left"/>
          <w:tab w:pos="594" w:val="left"/>
        </w:tabs>
        <w:autoSpaceDE w:val="0"/>
        <w:widowControl/>
        <w:spacing w:line="338" w:lineRule="auto" w:before="170" w:after="0"/>
        <w:ind w:left="28" w:right="0" w:firstLine="0"/>
        <w:jc w:val="left"/>
      </w:pPr>
      <w:r>
        <w:rPr>
          <w:rFonts w:ascii="Arial" w:hAnsi="Arial" w:eastAsia="Arial"/>
          <w:b w:val="0"/>
          <w:i w:val="0"/>
          <w:color w:val="2E74B5"/>
          <w:sz w:val="28"/>
        </w:rPr>
        <w:t>9-BOB. AKADEMIK FARQLARNI BARTARAF ETISH TARTIBI</w:t>
        <w:br/>
        <w:t>43. Akademik farqlar quyidagi ikki shaklda bartaraf etiladi:</w:t>
        <w:br/>
        <w:tab/>
        <w:t>a) semestr davomida — asosiy ta'lim jarayoniga parallel ravishda, individual jadval asosida;</w:t>
        <w:br/>
        <w:tab/>
        <w:t>b) yozgi semestrda (ta'til davrida) — alohida tashkil etilgan guruhlarda.</w:t>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295" w:lineRule="auto" w:before="170" w:after="0"/>
        <w:ind w:left="28" w:right="0" w:firstLine="0"/>
        <w:jc w:val="left"/>
      </w:pPr>
      <w:r>
        <w:rPr>
          <w:rFonts w:ascii="Arial" w:hAnsi="Arial" w:eastAsia="Arial"/>
          <w:b w:val="0"/>
          <w:i w:val="0"/>
          <w:color w:val="000000"/>
          <w:sz w:val="28"/>
        </w:rPr>
        <w:t>Ikkala shaklda ham ta'lim an'anaviy (offlayn) yoki masofaviy (onlayn) tarzda tashkil etilishi mumkin.</w:t>
      </w:r>
      <w:r>
        <w:rPr>
          <w:rFonts w:ascii="Arial" w:hAnsi="Arial" w:eastAsia="Arial"/>
          <w:b w:val="0"/>
          <w:i w:val="0"/>
          <w:color w:val="000000"/>
          <w:sz w:val="28"/>
        </w:rPr>
      </w:r>
    </w:p>
    <w:p>
      <w:pPr>
        <w:autoSpaceDN w:val="0"/>
        <w:tabs>
          <w:tab w:pos="594" w:val="left"/>
        </w:tabs>
        <w:autoSpaceDE w:val="0"/>
        <w:widowControl/>
        <w:spacing w:line="295" w:lineRule="auto" w:before="172" w:after="0"/>
        <w:ind w:left="28" w:right="0" w:firstLine="0"/>
        <w:jc w:val="left"/>
      </w:pPr>
      <w:r>
        <w:rPr>
          <w:rFonts w:ascii="Arial" w:hAnsi="Arial" w:eastAsia="Arial"/>
          <w:b w:val="0"/>
          <w:i w:val="0"/>
          <w:color w:val="000000"/>
          <w:sz w:val="28"/>
        </w:rPr>
        <w:t>44. Farqni bartaraf etish uchun to'lov shartlari talabaning toifasiga qarab belgilanadi.</w:t>
      </w:r>
      <w:r>
        <w:rPr>
          <w:rFonts w:ascii="Arial" w:hAnsi="Arial" w:eastAsia="Arial"/>
          <w:b w:val="0"/>
          <w:i w:val="0"/>
          <w:color w:val="000000"/>
          <w:sz w:val="28"/>
        </w:rPr>
      </w:r>
    </w:p>
    <w:p>
      <w:pPr>
        <w:autoSpaceDN w:val="0"/>
        <w:autoSpaceDE w:val="0"/>
        <w:widowControl/>
        <w:spacing w:line="334" w:lineRule="auto" w:before="170" w:after="0"/>
        <w:ind w:left="28" w:right="26" w:firstLine="566"/>
        <w:jc w:val="both"/>
      </w:pPr>
      <w:r>
        <w:rPr>
          <w:rFonts w:ascii="Arial" w:hAnsi="Arial" w:eastAsia="Arial"/>
          <w:b w:val="0"/>
          <w:i w:val="0"/>
          <w:color w:val="000000"/>
          <w:sz w:val="28"/>
        </w:rPr>
        <w:t>45. Bartaraf etish pullik asosda amalga oshirilganda, talaba darslar boshlanishidan kamida 15 kun oldin kontrakt.edu.uz platformasi orqali shartnomani rasmiylashtiradi, fan uchun belgilangan summani to'laydi va registrator.tersu.uz platformasi orqali ariza topshiradi. Arizasi ma'qullangan talaba qayta o'qish jarayoniga yoziladi.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298" w:lineRule="auto" w:before="170" w:after="0"/>
        <w:ind w:left="28" w:right="0" w:firstLine="0"/>
        <w:jc w:val="left"/>
      </w:pPr>
      <w:r>
        <w:rPr>
          <w:rFonts w:ascii="Arial" w:hAnsi="Arial" w:eastAsia="Arial"/>
          <w:b w:val="0"/>
          <w:i w:val="0"/>
          <w:color w:val="000000"/>
          <w:sz w:val="28"/>
        </w:rPr>
        <w:t>46. To'lov miqdori asosiy kontrakt to'lov summasiga nisbatan, o'zlashtirilmagan kreditlar soniga mutanosib ravishda hisoblanadi.</w:t>
      </w:r>
      <w:r>
        <w:rPr>
          <w:rFonts w:ascii="Arial" w:hAnsi="Arial" w:eastAsia="Arial"/>
          <w:b w:val="0"/>
          <w:i w:val="0"/>
          <w:color w:val="000000"/>
          <w:sz w:val="28"/>
        </w:rPr>
      </w:r>
    </w:p>
    <w:p>
      <w:pPr>
        <w:autoSpaceDN w:val="0"/>
        <w:tabs>
          <w:tab w:pos="594" w:val="left"/>
        </w:tabs>
        <w:autoSpaceDE w:val="0"/>
        <w:widowControl/>
        <w:spacing w:line="326" w:lineRule="auto" w:before="170" w:after="0"/>
        <w:ind w:left="28" w:right="0" w:firstLine="0"/>
        <w:jc w:val="left"/>
      </w:pPr>
      <w:r>
        <w:rPr>
          <w:rFonts w:ascii="Arial" w:hAnsi="Arial" w:eastAsia="Arial"/>
          <w:b w:val="0"/>
          <w:i w:val="0"/>
          <w:color w:val="000000"/>
          <w:sz w:val="28"/>
        </w:rPr>
        <w:t>47. O'qish davri fanning kredit hajmiga asosan belgilanadi:</w:t>
        <w:br/>
        <w:t>semestr davomida — har 1 kredit uchun 1 hafta o'qish;</w:t>
        <w:br/>
        <w:t>yozgi semestrda — har 4 kredit uchun 1 hafta o'qish.</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sectPr>
          <w:pgSz w:w="11906" w:h="16838"/>
          <w:pgMar w:top="354" w:right="1036" w:bottom="868"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tabs>
          <w:tab w:pos="594" w:val="left"/>
        </w:tabs>
        <w:autoSpaceDE w:val="0"/>
        <w:widowControl/>
        <w:spacing w:line="295" w:lineRule="auto" w:before="236" w:after="0"/>
        <w:ind w:left="28" w:right="0" w:firstLine="0"/>
        <w:jc w:val="left"/>
      </w:pPr>
      <w:r>
        <w:rPr>
          <w:rFonts w:ascii="Arial" w:hAnsi="Arial" w:eastAsia="Arial"/>
          <w:b w:val="0"/>
          <w:i w:val="0"/>
          <w:color w:val="000000"/>
          <w:sz w:val="28"/>
        </w:rPr>
        <w:t>Talabaga yakuniy baholashga faqat belgilangan o'qish haftalari to'liq tugallangandan keyin ruxsat beriladi.</w:t>
      </w:r>
      <w:r>
        <w:rPr>
          <w:rFonts w:ascii="Arial" w:hAnsi="Arial" w:eastAsia="Arial"/>
          <w:b w:val="0"/>
          <w:i w:val="0"/>
          <w:color w:val="000000"/>
          <w:sz w:val="28"/>
        </w:rPr>
      </w:r>
    </w:p>
    <w:p>
      <w:pPr>
        <w:autoSpaceDN w:val="0"/>
        <w:autoSpaceDE w:val="0"/>
        <w:widowControl/>
        <w:spacing w:line="326" w:lineRule="auto" w:before="170" w:after="0"/>
        <w:ind w:left="28" w:right="26" w:firstLine="566"/>
        <w:jc w:val="both"/>
      </w:pPr>
      <w:r>
        <w:rPr>
          <w:rFonts w:ascii="Arial" w:hAnsi="Arial" w:eastAsia="Arial"/>
          <w:b w:val="0"/>
          <w:i w:val="0"/>
          <w:color w:val="000000"/>
          <w:sz w:val="28"/>
        </w:rPr>
        <w:t>48. Yozgi semestrda biror fan bo'yicha kamida 8 talaba ariza topshirganda, alohida o'quv guruhi shakllantiriladi. Talabalar soni yetarli bo'lmaganda, jarayon masofaviy (onlayn) shaklda amalga oshiriladi.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9" w:lineRule="auto" w:before="170" w:after="0"/>
        <w:ind w:left="28" w:right="24" w:firstLine="566"/>
        <w:jc w:val="both"/>
      </w:pPr>
      <w:r>
        <w:rPr>
          <w:rFonts w:ascii="Arial" w:hAnsi="Arial" w:eastAsia="Arial"/>
          <w:b w:val="0"/>
          <w:i w:val="0"/>
          <w:color w:val="000000"/>
          <w:sz w:val="28"/>
        </w:rPr>
        <w:t>49. Semestr davomida fan umumiy o'quv rejasi va dars jadvali doirasida o'qitilayotgan bo'lsa, talabaga ushbu darslarga qatnashishga ruxsat beriladi va fanni o'qitayotgan professor-o'qituvchiga qo'shimcha to'lov amalga oshirilmaydi.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168" w:after="0"/>
        <w:ind w:left="28" w:right="20" w:firstLine="566"/>
        <w:jc w:val="both"/>
      </w:pPr>
      <w:r>
        <w:rPr>
          <w:rFonts w:ascii="Arial" w:hAnsi="Arial" w:eastAsia="Arial"/>
          <w:b w:val="0"/>
          <w:i w:val="0"/>
          <w:color w:val="000000"/>
          <w:sz w:val="28"/>
        </w:rPr>
        <w:t>50. Talabaning bilimi fan sillabusida belgilangan oraliq va yakuniy baholash shakllari asosida baholanadi. Yakuniy baholash maxsus kompyuter xonalarida test shaklida o'tkaziladi va natijalar darhol platformada va HEMIS axborot tizimida aks ettiriladi.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28" w:right="26" w:firstLine="566"/>
        <w:jc w:val="both"/>
      </w:pPr>
      <w:r>
        <w:rPr>
          <w:rFonts w:ascii="Arial" w:hAnsi="Arial" w:eastAsia="Arial"/>
          <w:b w:val="0"/>
          <w:i w:val="0"/>
          <w:color w:val="000000"/>
          <w:sz w:val="28"/>
        </w:rPr>
        <w:t>51. Qayta baholashda o'tish bali olgan talaba akademik farqni bartaraf etgan hisoblanadi. Farqni bartaraf eta olmagan talaba belgilangan tartibda fanni qayta o'zlashtirib olishi shart.</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28" w:right="24" w:firstLine="566"/>
        <w:jc w:val="both"/>
      </w:pPr>
      <w:r>
        <w:rPr>
          <w:rFonts w:ascii="Arial" w:hAnsi="Arial" w:eastAsia="Arial"/>
          <w:b w:val="0"/>
          <w:i w:val="0"/>
          <w:color w:val="000000"/>
          <w:sz w:val="28"/>
        </w:rPr>
        <w:t>52. To'lovni amalga oshirgan, ammo darslarga qatnashmagan yoki fanni o'zlashtirmagan talaba fanni o'zlashtirish uchun qo'shimcha to'lov amalga oshirishi va o'quv jarayonini boshidan takrorlashi shart.</w:t>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 w:pos="2942" w:val="left"/>
        </w:tabs>
        <w:autoSpaceDE w:val="0"/>
        <w:widowControl/>
        <w:spacing w:line="341" w:lineRule="auto" w:before="170" w:after="0"/>
        <w:ind w:left="28" w:right="0" w:firstLine="0"/>
        <w:jc w:val="left"/>
      </w:pPr>
      <w:r>
        <w:rPr/>
        <w:tab/>
        <w:tab/>
        <w:t>10-BOB. MAXSUS HOLATLAR</w:t>
        <w:br/>
        <w:t>53. Rasmiy hujjatlarni to'liq taqdim eta olmaydigan majburiy ko'chirilgan shaxslar maqomiga ega talabalar uchun — Lissabon konventsiyasining tegishli tavsiyalariga muvofiq — boshqa mavjud dalillar (suhbat, test, qisman mavjud hujjatlar) asosida muqobil baholash tartibi qo'llanilishi mumkin; bunday holatlar Universitet Rektorining alohida buyrug'i bilan tartibga solinadi.</w:t>
      </w:r>
      <w:r/>
      <w:r>
        <w:rPr>
          <w:rFonts w:ascii="Arial" w:hAnsi="Arial" w:eastAsia="Arial"/>
          <w:b w:val="0"/>
          <w:i w:val="0"/>
          <w:color w:val="2E74B5"/>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5" w:lineRule="auto" w:before="172" w:after="0"/>
        <w:ind w:left="28" w:right="0" w:firstLine="566"/>
        <w:jc w:val="left"/>
      </w:pPr>
      <w:r>
        <w:rPr>
          <w:rFonts w:ascii="Arial" w:hAnsi="Arial" w:eastAsia="Arial"/>
          <w:b w:val="0"/>
          <w:i w:val="0"/>
          <w:color w:val="000000"/>
          <w:sz w:val="28"/>
        </w:rPr>
        <w:t>54. Ommaviy ochiq onlayn kurslar (MOOClar) va qisqa muddatli sertifikat dasturlari orqali olingan kreditlar umumiy</w:t>
      </w:r>
      <w:r>
        <w:rPr>
          <w:rFonts w:ascii="Arial" w:hAnsi="Arial" w:eastAsia="Arial"/>
          <w:b w:val="0"/>
          <w:i w:val="0"/>
          <w:color w:val="000000"/>
          <w:sz w:val="28"/>
        </w:rPr>
      </w:r>
    </w:p>
    <w:p>
      <w:pPr>
        <w:sectPr>
          <w:pgSz w:w="11906" w:h="16838"/>
          <w:pgMar w:top="354" w:right="1034" w:bottom="626"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26" w:lineRule="auto" w:before="236" w:after="0"/>
        <w:ind w:left="28" w:right="24" w:firstLine="0"/>
        <w:jc w:val="both"/>
      </w:pPr>
      <w:r>
        <w:rPr>
          <w:rFonts w:ascii="Arial" w:hAnsi="Arial" w:eastAsia="Arial"/>
          <w:b w:val="0"/>
          <w:i w:val="0"/>
          <w:color w:val="000000"/>
          <w:sz w:val="28"/>
        </w:rPr>
        <w:t>tartibda tan olinishi mumkin, agar ular akkreditatsiyadan o'tgan oliy ta'lim muassasasi tomonidan rasman berilgan bo'lsa va ECTS yoki ekvivalent kredit tizimida ifodalangan bo'lsa, biroq bunday kreditlar talabaning o'quv rejasidagi kreditlarning 10 foizidan oshmasligi lozim.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 w:pos="2536" w:val="left"/>
        </w:tabs>
        <w:autoSpaceDE w:val="0"/>
        <w:widowControl/>
        <w:spacing w:line="334" w:lineRule="auto" w:before="170" w:after="0"/>
        <w:ind w:left="28" w:right="0" w:firstLine="0"/>
        <w:jc w:val="left"/>
      </w:pPr>
      <w:r>
        <w:rPr/>
        <w:tab/>
        <w:t>11-BOB. SIFATNI TA'MINLASH</w:t>
        <w:br/>
        <w:t>55. O'quv ishlari bo'limi va Registratura bo'limi barcha tan olish arizalari va qarorlar reyestrini yuritadi hamda kamida yilda bir marta Universitet Kengashiga statistik va tahliliy hisobot taqdim etadi.</w:t>
      </w:r>
      <w:r>
        <w:rPr>
          <w:rFonts w:ascii="Arial" w:hAnsi="Arial" w:eastAsia="Arial"/>
          <w:b w:val="0"/>
          <w:i w:val="0"/>
          <w:color w:val="2E74B5"/>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 w:pos="2740" w:val="left"/>
        </w:tabs>
        <w:autoSpaceDE w:val="0"/>
        <w:widowControl/>
        <w:spacing w:line="317" w:lineRule="auto" w:before="168" w:after="0"/>
        <w:ind w:left="28" w:right="0" w:firstLine="0"/>
        <w:jc w:val="left"/>
      </w:pPr>
      <w:r>
        <w:rPr/>
        <w:tab/>
        <w:tab/>
        <w:t>12-BOB. YAKUNIY QOIDALAR</w:t>
        <w:br/>
        <w:t>56. Ushbu Nizom Universitet Kengashi tomonidan qabul qilingan kundan boshlab kuchga kiradi.</w:t>
      </w:r>
      <w:r/>
      <w:r>
        <w:rPr>
          <w:rFonts w:ascii="Arial" w:hAnsi="Arial" w:eastAsia="Arial"/>
          <w:b w:val="0"/>
          <w:i w:val="0"/>
          <w:color w:val="2E74B5"/>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28" w:right="0" w:firstLine="566"/>
        <w:jc w:val="left"/>
      </w:pPr>
      <w:r>
        <w:rPr>
          <w:rFonts w:ascii="Arial" w:hAnsi="Arial" w:eastAsia="Arial"/>
          <w:b w:val="0"/>
          <w:i w:val="0"/>
          <w:color w:val="000000"/>
          <w:sz w:val="28"/>
        </w:rPr>
        <w:t>57. Nizomga o'zgartirish va qo'shimchalar amaldagi qonunchilik, kredit-modul tizimiga oid me'yoriy hujjatlar yoki xalqaro amaliyot o'zgarganda kiritiladi.</w:t>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298" w:lineRule="auto" w:before="170" w:after="0"/>
        <w:ind w:left="28" w:right="0" w:firstLine="0"/>
        <w:jc w:val="left"/>
      </w:pPr>
      <w:r>
        <w:rPr>
          <w:rFonts w:ascii="Arial" w:hAnsi="Arial" w:eastAsia="Arial"/>
          <w:b w:val="0"/>
          <w:i w:val="0"/>
          <w:color w:val="000000"/>
          <w:sz w:val="28"/>
        </w:rPr>
        <w:t>58. Ushbu Nizom qoidalari O'zbekiston Respublikasi qonunchiligiga zid bo'lganda, qonunchilik qoidalari qo'llaniladi.</w:t>
      </w:r>
      <w:r>
        <w:rPr>
          <w:rFonts w:ascii="Arial" w:hAnsi="Arial" w:eastAsia="Arial"/>
          <w:b w:val="0"/>
          <w:i w:val="0"/>
          <w:color w:val="000000"/>
          <w:sz w:val="28"/>
        </w:rPr>
      </w:r>
    </w:p>
    <w:p>
      <w:pPr>
        <w:sectPr>
          <w:pgSz w:w="11906" w:h="16838"/>
          <w:pgMar w:top="354" w:right="1034" w:bottom="1440"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3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tabs>
          <w:tab w:pos="1330" w:val="left"/>
          <w:tab w:pos="3034" w:val="left"/>
        </w:tabs>
        <w:autoSpaceDE w:val="0"/>
        <w:widowControl/>
        <w:spacing w:line="336" w:lineRule="auto" w:before="236" w:after="624"/>
        <w:ind w:left="28" w:right="1008" w:firstLine="0"/>
        <w:jc w:val="left"/>
      </w:pPr>
      <w:r>
        <w:rPr/>
        <w:tab/>
        <w:tab/>
        <w:t>Nizomga ILOVA</w:t>
        <w:br/>
        <w:tab/>
        <w:t>KREDITLARNI TAN OLISH VA FAN FARQLARI VARAQASI</w:t>
        <w:br/>
        <w:t>Talabaning to'liq ismi-sharifi: ______________________________________________</w:t>
        <w:br/>
        <w:t>Ta'lim yo'nalishi (mutaxassisligi), kurs:__________________________________</w:t>
        <w:br/>
        <w:t>Asos (transkript / o'quv shartnomasi / akademik ma'lumotnoma):______________</w:t>
      </w:r>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tbl>
      <w:tblPr>
        <w:tblW w:type="auto" w:w="0"/>
        <w:tblLayout w:type="fixed"/>
        <w:tblLook w:firstColumn="1" w:firstRow="1" w:lastColumn="0" w:lastRow="0" w:noHBand="0" w:noVBand="1" w:val="04A0"/>
        <w:tblInd w:w="31.999999999999886" w:type="dxa"/>
      </w:tblPr>
      <w:tblGrid>
        <w:gridCol w:w="1348"/>
        <w:gridCol w:w="1348"/>
        <w:gridCol w:w="1348"/>
        <w:gridCol w:w="1348"/>
        <w:gridCol w:w="1348"/>
        <w:gridCol w:w="1348"/>
        <w:gridCol w:w="1348"/>
      </w:tblGrid>
      <w:tr>
        <w:trPr>
          <w:trHeight w:hRule="exact" w:val="1666"/>
        </w:trPr>
        <w:tc>
          <w:tcPr>
            <w:tcW w:type="dxa" w:w="704"/>
            <w:tcBorders>
              <w:start w:sz="4.0" w:val="single" w:color="#000000"/>
              <w:top w:sz="4.0" w:val="single" w:color="#000000"/>
              <w:end w:sz="4.0" w:val="single" w:color="#000000"/>
              <w:bottom w:sz="3.200000000000273" w:val="single" w:color="#000000"/>
            </w:tcBorders>
            <w:shd w:fill="d9e1f3"/>
            <w:tcMar>
              <w:start w:w="0" w:type="dxa"/>
              <w:end w:w="0" w:type="dxa"/>
            </w:tcMar>
          </w:tcPr>
          <w:p>
            <w:pPr>
              <w:autoSpaceDN w:val="0"/>
              <w:autoSpaceDE w:val="0"/>
              <w:widowControl/>
              <w:spacing w:line="233" w:lineRule="auto" w:before="626" w:after="0"/>
              <w:ind w:left="0" w:right="0" w:firstLine="0"/>
              <w:jc w:val="center"/>
            </w:pPr>
            <w:r>
              <w:rPr>
                <w:rFonts w:ascii="Arial" w:hAnsi="Arial" w:eastAsia="Arial"/>
                <w:b/>
                <w:i w:val="0"/>
                <w:color w:val="000000"/>
                <w:sz w:val="24"/>
              </w:rPr>
              <w:t>T/r</w:t>
            </w:r>
          </w:p>
        </w:tc>
        <w:tc>
          <w:tcPr>
            <w:tcW w:type="dxa" w:w="1698"/>
            <w:tcBorders>
              <w:start w:sz="4.0" w:val="single" w:color="#000000"/>
              <w:top w:sz="4.0" w:val="single" w:color="#000000"/>
              <w:end w:sz="4.0" w:val="single" w:color="#000000"/>
              <w:bottom w:sz="3.200000000000273" w:val="single" w:color="#000000"/>
            </w:tcBorders>
            <w:shd w:fill="d9e1f3"/>
            <w:tcMar>
              <w:start w:w="0" w:type="dxa"/>
              <w:end w:w="0" w:type="dxa"/>
            </w:tcMar>
          </w:tcPr>
          <w:p>
            <w:pPr>
              <w:autoSpaceDN w:val="0"/>
              <w:autoSpaceDE w:val="0"/>
              <w:widowControl/>
              <w:spacing w:line="317" w:lineRule="auto" w:before="214" w:after="0"/>
              <w:ind w:left="144" w:right="144" w:firstLine="0"/>
              <w:jc w:val="center"/>
            </w:pPr>
            <w:r>
              <w:rPr>
                <w:rFonts w:ascii="Arial" w:hAnsi="Arial" w:eastAsia="Arial"/>
                <w:b/>
                <w:i w:val="0"/>
                <w:color w:val="000000"/>
                <w:sz w:val="24"/>
              </w:rPr>
              <w:t>Avval o'zlashtirilgan fan</w:t>
            </w:r>
            <w:r>
              <w:rPr>
                <w:rFonts w:ascii="Arial" w:hAnsi="Arial" w:eastAsia="Arial"/>
                <w:b/>
                <w:i w:val="0"/>
                <w:color w:val="000000"/>
                <w:sz w:val="24"/>
              </w:rPr>
            </w:r>
            <w:r>
              <w:rPr>
                <w:rFonts w:ascii="Arial" w:hAnsi="Arial" w:eastAsia="Arial"/>
                <w:b/>
                <w:i w:val="0"/>
                <w:color w:val="000000"/>
                <w:sz w:val="24"/>
              </w:rPr>
            </w:r>
          </w:p>
        </w:tc>
        <w:tc>
          <w:tcPr>
            <w:tcW w:type="dxa" w:w="900"/>
            <w:tcBorders>
              <w:start w:sz="4.0" w:val="single" w:color="#000000"/>
              <w:top w:sz="4.0" w:val="single" w:color="#000000"/>
              <w:end w:sz="4.0" w:val="single" w:color="#000000"/>
              <w:bottom w:sz="3.200000000000273" w:val="single" w:color="#000000"/>
            </w:tcBorders>
            <w:shd w:fill="d9e1f3"/>
            <w:tcMar>
              <w:start w:w="0" w:type="dxa"/>
              <w:end w:w="0" w:type="dxa"/>
            </w:tcMar>
          </w:tcPr>
          <w:p>
            <w:pPr>
              <w:autoSpaceDN w:val="0"/>
              <w:autoSpaceDE w:val="0"/>
              <w:widowControl/>
              <w:spacing w:line="233" w:lineRule="auto" w:before="626" w:after="0"/>
              <w:ind w:left="0" w:right="0" w:firstLine="0"/>
              <w:jc w:val="center"/>
            </w:pPr>
            <w:r>
              <w:rPr>
                <w:rFonts w:ascii="Arial" w:hAnsi="Arial" w:eastAsia="Arial"/>
                <w:b/>
                <w:i w:val="0"/>
                <w:color w:val="000000"/>
                <w:sz w:val="24"/>
              </w:rPr>
              <w:t>Kredit</w:t>
            </w:r>
          </w:p>
        </w:tc>
        <w:tc>
          <w:tcPr>
            <w:tcW w:type="dxa" w:w="900"/>
            <w:tcBorders>
              <w:start w:sz="4.0" w:val="single" w:color="#000000"/>
              <w:top w:sz="4.0" w:val="single" w:color="#000000"/>
              <w:end w:sz="3.200000000000273" w:val="single" w:color="#000000"/>
              <w:bottom w:sz="3.200000000000273" w:val="single" w:color="#000000"/>
            </w:tcBorders>
            <w:shd w:fill="d9e1f3"/>
            <w:tcMar>
              <w:start w:w="0" w:type="dxa"/>
              <w:end w:w="0" w:type="dxa"/>
            </w:tcMar>
          </w:tcPr>
          <w:p>
            <w:pPr>
              <w:autoSpaceDN w:val="0"/>
              <w:autoSpaceDE w:val="0"/>
              <w:widowControl/>
              <w:spacing w:line="233" w:lineRule="auto" w:before="626" w:after="0"/>
              <w:ind w:left="0" w:right="0" w:firstLine="0"/>
              <w:jc w:val="center"/>
            </w:pPr>
            <w:r>
              <w:rPr>
                <w:rFonts w:ascii="Arial" w:hAnsi="Arial" w:eastAsia="Arial"/>
                <w:b/>
                <w:i w:val="0"/>
                <w:color w:val="000000"/>
                <w:sz w:val="24"/>
              </w:rPr>
              <w:t>Baho</w:t>
            </w:r>
          </w:p>
        </w:tc>
        <w:tc>
          <w:tcPr>
            <w:tcW w:type="dxa" w:w="1900"/>
            <w:tcBorders>
              <w:start w:sz="3.200000000000273" w:val="single" w:color="#000000"/>
              <w:top w:sz="4.0" w:val="single" w:color="#000000"/>
              <w:end w:sz="4.0" w:val="single" w:color="#000000"/>
              <w:bottom w:sz="3.200000000000273" w:val="single" w:color="#000000"/>
            </w:tcBorders>
            <w:shd w:fill="d9e1f3"/>
            <w:tcMar>
              <w:start w:w="0" w:type="dxa"/>
              <w:end w:w="0" w:type="dxa"/>
            </w:tcMar>
          </w:tcPr>
          <w:p>
            <w:pPr>
              <w:autoSpaceDN w:val="0"/>
              <w:autoSpaceDE w:val="0"/>
              <w:widowControl/>
              <w:spacing w:line="329" w:lineRule="auto" w:before="4" w:after="0"/>
              <w:ind w:left="0" w:right="0" w:firstLine="0"/>
              <w:jc w:val="center"/>
            </w:pPr>
            <w:r>
              <w:rPr>
                <w:rFonts w:ascii="Arial" w:hAnsi="Arial" w:eastAsia="Arial"/>
                <w:b/>
                <w:i w:val="0"/>
                <w:color w:val="000000"/>
                <w:sz w:val="24"/>
              </w:rPr>
              <w:t>Universitetning o'quv</w:t>
              <w:br/>
              <w:t>rejasidagi tegishli</w:t>
              <w:br/>
              <w:t>fan</w:t>
            </w:r>
            <w:r>
              <w:rPr>
                <w:rFonts w:ascii="Arial" w:hAnsi="Arial" w:eastAsia="Arial"/>
                <w:b/>
                <w:i w:val="0"/>
                <w:color w:val="000000"/>
                <w:sz w:val="24"/>
              </w:rPr>
            </w:r>
            <w:r/>
            <w:r>
              <w:rPr>
                <w:rFonts w:ascii="Arial" w:hAnsi="Arial" w:eastAsia="Arial"/>
                <w:b/>
                <w:i w:val="0"/>
                <w:color w:val="000000"/>
                <w:sz w:val="24"/>
              </w:rPr>
            </w:r>
            <w:r/>
            <w:r>
              <w:rPr>
                <w:rFonts w:ascii="Arial" w:hAnsi="Arial" w:eastAsia="Arial"/>
                <w:b/>
                <w:i w:val="0"/>
                <w:color w:val="000000"/>
                <w:sz w:val="24"/>
              </w:rPr>
            </w:r>
          </w:p>
        </w:tc>
        <w:tc>
          <w:tcPr>
            <w:tcW w:type="dxa" w:w="900"/>
            <w:tcBorders>
              <w:start w:sz="4.0" w:val="single" w:color="#000000"/>
              <w:top w:sz="4.0" w:val="single" w:color="#000000"/>
              <w:end w:sz="4.0" w:val="single" w:color="#000000"/>
              <w:bottom w:sz="3.200000000000273" w:val="single" w:color="#000000"/>
            </w:tcBorders>
            <w:shd w:fill="d9e1f3"/>
            <w:tcMar>
              <w:start w:w="0" w:type="dxa"/>
              <w:end w:w="0" w:type="dxa"/>
            </w:tcMar>
          </w:tcPr>
          <w:p>
            <w:pPr>
              <w:autoSpaceDN w:val="0"/>
              <w:autoSpaceDE w:val="0"/>
              <w:widowControl/>
              <w:spacing w:line="233" w:lineRule="auto" w:before="626" w:after="0"/>
              <w:ind w:left="0" w:right="0" w:firstLine="0"/>
              <w:jc w:val="center"/>
            </w:pPr>
            <w:r>
              <w:rPr>
                <w:rFonts w:ascii="Arial" w:hAnsi="Arial" w:eastAsia="Arial"/>
                <w:b/>
                <w:i w:val="0"/>
                <w:color w:val="000000"/>
                <w:sz w:val="24"/>
              </w:rPr>
              <w:t>Kredit</w:t>
            </w:r>
          </w:p>
        </w:tc>
        <w:tc>
          <w:tcPr>
            <w:tcW w:type="dxa" w:w="2040"/>
            <w:tcBorders>
              <w:start w:sz="4.0" w:val="single" w:color="#000000"/>
              <w:top w:sz="4.0" w:val="single" w:color="#000000"/>
              <w:end w:sz="4.0" w:val="single" w:color="#000000"/>
              <w:bottom w:sz="3.200000000000273" w:val="single" w:color="#000000"/>
            </w:tcBorders>
            <w:shd w:fill="d9e1f3"/>
            <w:tcMar>
              <w:start w:w="0" w:type="dxa"/>
              <w:end w:w="0" w:type="dxa"/>
            </w:tcMar>
          </w:tcPr>
          <w:p>
            <w:pPr>
              <w:autoSpaceDN w:val="0"/>
              <w:autoSpaceDE w:val="0"/>
              <w:widowControl/>
              <w:spacing w:line="329" w:lineRule="auto" w:before="4" w:after="0"/>
              <w:ind w:left="144" w:right="144" w:firstLine="0"/>
              <w:jc w:val="center"/>
            </w:pPr>
            <w:r>
              <w:rPr>
                <w:rFonts w:ascii="Arial" w:hAnsi="Arial" w:eastAsia="Arial"/>
                <w:b/>
                <w:i w:val="0"/>
                <w:color w:val="000000"/>
                <w:sz w:val="24"/>
              </w:rPr>
              <w:t>Komissiya</w:t>
              <w:br/>
              <w:t>xulosasi</w:t>
              <w:br/>
              <w:t>(tan olingan / farq)</w:t>
            </w:r>
            <w:r/>
            <w:r>
              <w:rPr>
                <w:rFonts w:ascii="Arial" w:hAnsi="Arial" w:eastAsia="Arial"/>
                <w:b/>
                <w:i w:val="0"/>
                <w:color w:val="000000"/>
                <w:sz w:val="24"/>
              </w:rPr>
            </w:r>
            <w:r/>
            <w:r>
              <w:rPr>
                <w:rFonts w:ascii="Arial" w:hAnsi="Arial" w:eastAsia="Arial"/>
                <w:b/>
                <w:i w:val="0"/>
                <w:color w:val="000000"/>
                <w:sz w:val="24"/>
              </w:rPr>
            </w:r>
            <w:r>
              <w:rPr>
                <w:rFonts w:ascii="Arial" w:hAnsi="Arial" w:eastAsia="Arial"/>
                <w:b/>
                <w:i w:val="0"/>
                <w:color w:val="000000"/>
                <w:sz w:val="24"/>
              </w:rPr>
            </w:r>
          </w:p>
        </w:tc>
      </w:tr>
      <w:tr>
        <w:trPr>
          <w:trHeight w:hRule="exact" w:val="426"/>
        </w:trPr>
        <w:tc>
          <w:tcPr>
            <w:tcW w:type="dxa" w:w="70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1 </w:t>
            </w:r>
          </w:p>
        </w:tc>
        <w:tc>
          <w:tcPr>
            <w:tcW w:type="dxa" w:w="1698"/>
            <w:tcBorders>
              <w:start w:sz="4.0" w:val="single" w:color="#000000"/>
              <w:top w:sz="3.200000000000273" w:val="single" w:color="#000000"/>
              <w:end w:sz="4.0" w:val="single" w:color="#000000"/>
              <w:bottom w:sz="4.0" w:val="single" w:color="#000000"/>
            </w:tcBorders>
            <w:tcMar>
              <w:start w:w="0" w:type="dxa"/>
              <w:end w:w="0" w:type="dxa"/>
            </w:tcMar>
          </w:tcPr>
          <w:p/>
        </w:tc>
        <w:tc>
          <w:tcPr>
            <w:tcW w:type="dxa" w:w="900"/>
            <w:tcBorders>
              <w:start w:sz="4.0" w:val="single" w:color="#000000"/>
              <w:top w:sz="3.200000000000273" w:val="single" w:color="#000000"/>
              <w:end w:sz="4.0" w:val="single" w:color="#000000"/>
              <w:bottom w:sz="4.0" w:val="single" w:color="#000000"/>
            </w:tcBorders>
            <w:tcMar>
              <w:start w:w="0" w:type="dxa"/>
              <w:end w:w="0" w:type="dxa"/>
            </w:tcMar>
          </w:tcPr>
          <w:p/>
        </w:tc>
        <w:tc>
          <w:tcPr>
            <w:tcW w:type="dxa" w:w="900"/>
            <w:tcBorders>
              <w:start w:sz="4.0" w:val="single" w:color="#000000"/>
              <w:top w:sz="3.200000000000273" w:val="single" w:color="#000000"/>
              <w:end w:sz="3.200000000000273" w:val="single" w:color="#000000"/>
              <w:bottom w:sz="4.0" w:val="single" w:color="#000000"/>
            </w:tcBorders>
            <w:tcMar>
              <w:start w:w="0" w:type="dxa"/>
              <w:end w:w="0" w:type="dxa"/>
            </w:tcMar>
          </w:tcPr>
          <w:p/>
        </w:tc>
        <w:tc>
          <w:tcPr>
            <w:tcW w:type="dxa" w:w="1900"/>
            <w:tcBorders>
              <w:start w:sz="3.200000000000273" w:val="single" w:color="#000000"/>
              <w:top w:sz="3.200000000000273" w:val="single" w:color="#000000"/>
              <w:end w:sz="4.0" w:val="single" w:color="#000000"/>
              <w:bottom w:sz="4.0" w:val="single" w:color="#000000"/>
            </w:tcBorders>
            <w:tcMar>
              <w:start w:w="0" w:type="dxa"/>
              <w:end w:w="0" w:type="dxa"/>
            </w:tcMar>
          </w:tcPr>
          <w:p/>
        </w:tc>
        <w:tc>
          <w:tcPr>
            <w:tcW w:type="dxa" w:w="900"/>
            <w:tcBorders>
              <w:start w:sz="4.0" w:val="single" w:color="#000000"/>
              <w:top w:sz="3.200000000000273" w:val="single" w:color="#000000"/>
              <w:end w:sz="4.0" w:val="single" w:color="#000000"/>
              <w:bottom w:sz="4.0" w:val="single" w:color="#000000"/>
            </w:tcBorders>
            <w:tcMar>
              <w:start w:w="0" w:type="dxa"/>
              <w:end w:w="0" w:type="dxa"/>
            </w:tcMar>
          </w:tcPr>
          <w:p/>
        </w:tc>
        <w:tc>
          <w:tcPr>
            <w:tcW w:type="dxa" w:w="2040"/>
            <w:tcBorders>
              <w:start w:sz="4.0" w:val="single" w:color="#000000"/>
              <w:top w:sz="3.200000000000273" w:val="single" w:color="#000000"/>
              <w:end w:sz="4.0" w:val="single" w:color="#000000"/>
              <w:bottom w:sz="4.0" w:val="single" w:color="#000000"/>
            </w:tcBorders>
            <w:tcMar>
              <w:start w:w="0" w:type="dxa"/>
              <w:end w:w="0" w:type="dxa"/>
            </w:tcMar>
          </w:tcPr>
          <w:p/>
        </w:tc>
      </w:tr>
      <w:tr>
        <w:trPr>
          <w:trHeight w:hRule="exact" w:val="424"/>
        </w:trPr>
        <w:tc>
          <w:tcPr>
            <w:tcW w:type="dxa" w:w="7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0" w:right="0" w:firstLine="0"/>
              <w:jc w:val="center"/>
            </w:pPr>
            <w:r>
              <w:rPr>
                <w:rFonts w:ascii="Arial" w:hAnsi="Arial" w:eastAsia="Arial"/>
                <w:b w:val="0"/>
                <w:i w:val="0"/>
                <w:color w:val="000000"/>
                <w:sz w:val="24"/>
              </w:rPr>
              <w:t xml:space="preserve">2 </w:t>
            </w:r>
          </w:p>
        </w:tc>
        <w:tc>
          <w:tcPr>
            <w:tcW w:type="dxa" w:w="1698"/>
            <w:tcBorders>
              <w:start w:sz="4.0" w:val="single" w:color="#000000"/>
              <w:top w:sz="4.0" w:val="single" w:color="#000000"/>
              <w:end w:sz="4.0" w:val="single" w:color="#000000"/>
              <w:bottom w:sz="4.0" w:val="single" w:color="#000000"/>
            </w:tcBorders>
            <w:tcMar>
              <w:start w:w="0" w:type="dxa"/>
              <w:end w:w="0" w:type="dxa"/>
            </w:tcMar>
          </w:tcPr>
          <w:p/>
        </w:tc>
        <w:tc>
          <w:tcPr>
            <w:tcW w:type="dxa" w:w="900"/>
            <w:tcBorders>
              <w:start w:sz="4.0" w:val="single" w:color="#000000"/>
              <w:top w:sz="4.0" w:val="single" w:color="#000000"/>
              <w:end w:sz="4.0" w:val="single" w:color="#000000"/>
              <w:bottom w:sz="4.0" w:val="single" w:color="#000000"/>
            </w:tcBorders>
            <w:tcMar>
              <w:start w:w="0" w:type="dxa"/>
              <w:end w:w="0" w:type="dxa"/>
            </w:tcMar>
          </w:tcPr>
          <w:p/>
        </w:tc>
        <w:tc>
          <w:tcPr>
            <w:tcW w:type="dxa" w:w="900"/>
            <w:tcBorders>
              <w:start w:sz="4.0" w:val="single" w:color="#000000"/>
              <w:top w:sz="4.0" w:val="single" w:color="#000000"/>
              <w:end w:sz="3.200000000000273" w:val="single" w:color="#000000"/>
              <w:bottom w:sz="4.0" w:val="single" w:color="#000000"/>
            </w:tcBorders>
            <w:tcMar>
              <w:start w:w="0" w:type="dxa"/>
              <w:end w:w="0" w:type="dxa"/>
            </w:tcMar>
          </w:tcPr>
          <w:p/>
        </w:tc>
        <w:tc>
          <w:tcPr>
            <w:tcW w:type="dxa" w:w="1900"/>
            <w:tcBorders>
              <w:start w:sz="3.200000000000273" w:val="single" w:color="#000000"/>
              <w:top w:sz="4.0" w:val="single" w:color="#000000"/>
              <w:end w:sz="4.0" w:val="single" w:color="#000000"/>
              <w:bottom w:sz="4.0" w:val="single" w:color="#000000"/>
            </w:tcBorders>
            <w:tcMar>
              <w:start w:w="0" w:type="dxa"/>
              <w:end w:w="0" w:type="dxa"/>
            </w:tcMar>
          </w:tcPr>
          <w:p/>
        </w:tc>
        <w:tc>
          <w:tcPr>
            <w:tcW w:type="dxa" w:w="900"/>
            <w:tcBorders>
              <w:start w:sz="4.0" w:val="single" w:color="#000000"/>
              <w:top w:sz="4.0" w:val="single" w:color="#000000"/>
              <w:end w:sz="4.0" w:val="single" w:color="#000000"/>
              <w:bottom w:sz="4.0" w:val="single" w:color="#000000"/>
            </w:tcBorders>
            <w:tcMar>
              <w:start w:w="0" w:type="dxa"/>
              <w:end w:w="0" w:type="dxa"/>
            </w:tcMar>
          </w:tcPr>
          <w:p/>
        </w:tc>
        <w:tc>
          <w:tcPr>
            <w:tcW w:type="dxa" w:w="2040"/>
            <w:tcBorders>
              <w:start w:sz="4.0" w:val="single" w:color="#000000"/>
              <w:top w:sz="4.0" w:val="single" w:color="#000000"/>
              <w:end w:sz="4.0" w:val="single" w:color="#000000"/>
              <w:bottom w:sz="4.0" w:val="single" w:color="#000000"/>
            </w:tcBorders>
            <w:tcMar>
              <w:start w:w="0" w:type="dxa"/>
              <w:end w:w="0" w:type="dxa"/>
            </w:tcMar>
          </w:tcPr>
          <w:p/>
        </w:tc>
      </w:tr>
      <w:tr>
        <w:trPr>
          <w:trHeight w:hRule="exact" w:val="420"/>
        </w:trPr>
        <w:tc>
          <w:tcPr>
            <w:tcW w:type="dxa" w:w="7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 xml:space="preserve">3 </w:t>
            </w:r>
          </w:p>
        </w:tc>
        <w:tc>
          <w:tcPr>
            <w:tcW w:type="dxa" w:w="1698"/>
            <w:tcBorders>
              <w:start w:sz="4.0" w:val="single" w:color="#000000"/>
              <w:top w:sz="4.0" w:val="single" w:color="#000000"/>
              <w:end w:sz="4.0" w:val="single" w:color="#000000"/>
              <w:bottom w:sz="4.0" w:val="single" w:color="#000000"/>
            </w:tcBorders>
            <w:tcMar>
              <w:start w:w="0" w:type="dxa"/>
              <w:end w:w="0" w:type="dxa"/>
            </w:tcMar>
          </w:tcPr>
          <w:p/>
        </w:tc>
        <w:tc>
          <w:tcPr>
            <w:tcW w:type="dxa" w:w="900"/>
            <w:tcBorders>
              <w:start w:sz="4.0" w:val="single" w:color="#000000"/>
              <w:top w:sz="4.0" w:val="single" w:color="#000000"/>
              <w:end w:sz="4.0" w:val="single" w:color="#000000"/>
              <w:bottom w:sz="4.0" w:val="single" w:color="#000000"/>
            </w:tcBorders>
            <w:tcMar>
              <w:start w:w="0" w:type="dxa"/>
              <w:end w:w="0" w:type="dxa"/>
            </w:tcMar>
          </w:tcPr>
          <w:p/>
        </w:tc>
        <w:tc>
          <w:tcPr>
            <w:tcW w:type="dxa" w:w="900"/>
            <w:tcBorders>
              <w:start w:sz="4.0" w:val="single" w:color="#000000"/>
              <w:top w:sz="4.0" w:val="single" w:color="#000000"/>
              <w:end w:sz="3.200000000000273" w:val="single" w:color="#000000"/>
              <w:bottom w:sz="4.0" w:val="single" w:color="#000000"/>
            </w:tcBorders>
            <w:tcMar>
              <w:start w:w="0" w:type="dxa"/>
              <w:end w:w="0" w:type="dxa"/>
            </w:tcMar>
          </w:tcPr>
          <w:p/>
        </w:tc>
        <w:tc>
          <w:tcPr>
            <w:tcW w:type="dxa" w:w="1900"/>
            <w:tcBorders>
              <w:start w:sz="3.200000000000273" w:val="single" w:color="#000000"/>
              <w:top w:sz="4.0" w:val="single" w:color="#000000"/>
              <w:end w:sz="4.0" w:val="single" w:color="#000000"/>
              <w:bottom w:sz="4.0" w:val="single" w:color="#000000"/>
            </w:tcBorders>
            <w:tcMar>
              <w:start w:w="0" w:type="dxa"/>
              <w:end w:w="0" w:type="dxa"/>
            </w:tcMar>
          </w:tcPr>
          <w:p/>
        </w:tc>
        <w:tc>
          <w:tcPr>
            <w:tcW w:type="dxa" w:w="900"/>
            <w:tcBorders>
              <w:start w:sz="4.0" w:val="single" w:color="#000000"/>
              <w:top w:sz="4.0" w:val="single" w:color="#000000"/>
              <w:end w:sz="4.0" w:val="single" w:color="#000000"/>
              <w:bottom w:sz="4.0" w:val="single" w:color="#000000"/>
            </w:tcBorders>
            <w:tcMar>
              <w:start w:w="0" w:type="dxa"/>
              <w:end w:w="0" w:type="dxa"/>
            </w:tcMar>
          </w:tcPr>
          <w:p/>
        </w:tc>
        <w:tc>
          <w:tcPr>
            <w:tcW w:type="dxa" w:w="2040"/>
            <w:tcBorders>
              <w:start w:sz="4.0" w:val="single" w:color="#000000"/>
              <w:top w:sz="4.0" w:val="single" w:color="#000000"/>
              <w:end w:sz="4.0" w:val="single" w:color="#000000"/>
              <w:bottom w:sz="4.0" w:val="single" w:color="#000000"/>
            </w:tcBorders>
            <w:tcMar>
              <w:start w:w="0" w:type="dxa"/>
              <w:end w:w="0" w:type="dxa"/>
            </w:tcMar>
          </w:tcPr>
          <w:p/>
        </w:tc>
      </w:tr>
      <w:tr>
        <w:trPr>
          <w:trHeight w:hRule="exact" w:val="426"/>
        </w:trPr>
        <w:tc>
          <w:tcPr>
            <w:tcW w:type="dxa" w:w="7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4 </w:t>
            </w:r>
          </w:p>
        </w:tc>
        <w:tc>
          <w:tcPr>
            <w:tcW w:type="dxa" w:w="1698"/>
            <w:tcBorders>
              <w:start w:sz="4.0" w:val="single" w:color="#000000"/>
              <w:top w:sz="4.0" w:val="single" w:color="#000000"/>
              <w:end w:sz="4.0" w:val="single" w:color="#000000"/>
              <w:bottom w:sz="4.0" w:val="single" w:color="#000000"/>
            </w:tcBorders>
            <w:tcMar>
              <w:start w:w="0" w:type="dxa"/>
              <w:end w:w="0" w:type="dxa"/>
            </w:tcMar>
          </w:tcPr>
          <w:p/>
        </w:tc>
        <w:tc>
          <w:tcPr>
            <w:tcW w:type="dxa" w:w="900"/>
            <w:tcBorders>
              <w:start w:sz="4.0" w:val="single" w:color="#000000"/>
              <w:top w:sz="4.0" w:val="single" w:color="#000000"/>
              <w:end w:sz="4.0" w:val="single" w:color="#000000"/>
              <w:bottom w:sz="4.0" w:val="single" w:color="#000000"/>
            </w:tcBorders>
            <w:tcMar>
              <w:start w:w="0" w:type="dxa"/>
              <w:end w:w="0" w:type="dxa"/>
            </w:tcMar>
          </w:tcPr>
          <w:p/>
        </w:tc>
        <w:tc>
          <w:tcPr>
            <w:tcW w:type="dxa" w:w="900"/>
            <w:tcBorders>
              <w:start w:sz="4.0" w:val="single" w:color="#000000"/>
              <w:top w:sz="4.0" w:val="single" w:color="#000000"/>
              <w:end w:sz="3.200000000000273" w:val="single" w:color="#000000"/>
              <w:bottom w:sz="4.0" w:val="single" w:color="#000000"/>
            </w:tcBorders>
            <w:tcMar>
              <w:start w:w="0" w:type="dxa"/>
              <w:end w:w="0" w:type="dxa"/>
            </w:tcMar>
          </w:tcPr>
          <w:p/>
        </w:tc>
        <w:tc>
          <w:tcPr>
            <w:tcW w:type="dxa" w:w="1900"/>
            <w:tcBorders>
              <w:start w:sz="3.200000000000273" w:val="single" w:color="#000000"/>
              <w:top w:sz="4.0" w:val="single" w:color="#000000"/>
              <w:end w:sz="4.0" w:val="single" w:color="#000000"/>
              <w:bottom w:sz="4.0" w:val="single" w:color="#000000"/>
            </w:tcBorders>
            <w:tcMar>
              <w:start w:w="0" w:type="dxa"/>
              <w:end w:w="0" w:type="dxa"/>
            </w:tcMar>
          </w:tcPr>
          <w:p/>
        </w:tc>
        <w:tc>
          <w:tcPr>
            <w:tcW w:type="dxa" w:w="900"/>
            <w:tcBorders>
              <w:start w:sz="4.0" w:val="single" w:color="#000000"/>
              <w:top w:sz="4.0" w:val="single" w:color="#000000"/>
              <w:end w:sz="4.0" w:val="single" w:color="#000000"/>
              <w:bottom w:sz="4.0" w:val="single" w:color="#000000"/>
            </w:tcBorders>
            <w:tcMar>
              <w:start w:w="0" w:type="dxa"/>
              <w:end w:w="0" w:type="dxa"/>
            </w:tcMar>
          </w:tcPr>
          <w:p/>
        </w:tc>
        <w:tc>
          <w:tcPr>
            <w:tcW w:type="dxa" w:w="2040"/>
            <w:tcBorders>
              <w:start w:sz="4.0" w:val="single" w:color="#000000"/>
              <w:top w:sz="4.0" w:val="single" w:color="#000000"/>
              <w:end w:sz="4.0" w:val="single" w:color="#000000"/>
              <w:bottom w:sz="4.0" w:val="single" w:color="#000000"/>
            </w:tcBorders>
            <w:tcMar>
              <w:start w:w="0" w:type="dxa"/>
              <w:end w:w="0" w:type="dxa"/>
            </w:tcMar>
          </w:tcPr>
          <w:p/>
        </w:tc>
      </w:tr>
      <w:tr>
        <w:trPr>
          <w:trHeight w:hRule="exact" w:val="424"/>
        </w:trPr>
        <w:tc>
          <w:tcPr>
            <w:tcW w:type="dxa" w:w="7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Arial" w:hAnsi="Arial" w:eastAsia="Arial"/>
                <w:b w:val="0"/>
                <w:i w:val="0"/>
                <w:color w:val="000000"/>
                <w:sz w:val="24"/>
              </w:rPr>
              <w:t xml:space="preserve">5 </w:t>
            </w:r>
          </w:p>
        </w:tc>
        <w:tc>
          <w:tcPr>
            <w:tcW w:type="dxa" w:w="1698"/>
            <w:tcBorders>
              <w:start w:sz="4.0" w:val="single" w:color="#000000"/>
              <w:top w:sz="4.0" w:val="single" w:color="#000000"/>
              <w:end w:sz="4.0" w:val="single" w:color="#000000"/>
              <w:bottom w:sz="4.0" w:val="single" w:color="#000000"/>
            </w:tcBorders>
            <w:tcMar>
              <w:start w:w="0" w:type="dxa"/>
              <w:end w:w="0" w:type="dxa"/>
            </w:tcMar>
          </w:tcPr>
          <w:p/>
        </w:tc>
        <w:tc>
          <w:tcPr>
            <w:tcW w:type="dxa" w:w="900"/>
            <w:tcBorders>
              <w:start w:sz="4.0" w:val="single" w:color="#000000"/>
              <w:top w:sz="4.0" w:val="single" w:color="#000000"/>
              <w:end w:sz="4.0" w:val="single" w:color="#000000"/>
              <w:bottom w:sz="4.0" w:val="single" w:color="#000000"/>
            </w:tcBorders>
            <w:tcMar>
              <w:start w:w="0" w:type="dxa"/>
              <w:end w:w="0" w:type="dxa"/>
            </w:tcMar>
          </w:tcPr>
          <w:p/>
        </w:tc>
        <w:tc>
          <w:tcPr>
            <w:tcW w:type="dxa" w:w="900"/>
            <w:tcBorders>
              <w:start w:sz="4.0" w:val="single" w:color="#000000"/>
              <w:top w:sz="4.0" w:val="single" w:color="#000000"/>
              <w:end w:sz="3.200000000000273" w:val="single" w:color="#000000"/>
              <w:bottom w:sz="4.0" w:val="single" w:color="#000000"/>
            </w:tcBorders>
            <w:tcMar>
              <w:start w:w="0" w:type="dxa"/>
              <w:end w:w="0" w:type="dxa"/>
            </w:tcMar>
          </w:tcPr>
          <w:p/>
        </w:tc>
        <w:tc>
          <w:tcPr>
            <w:tcW w:type="dxa" w:w="1900"/>
            <w:tcBorders>
              <w:start w:sz="3.200000000000273" w:val="single" w:color="#000000"/>
              <w:top w:sz="4.0" w:val="single" w:color="#000000"/>
              <w:end w:sz="4.0" w:val="single" w:color="#000000"/>
              <w:bottom w:sz="4.0" w:val="single" w:color="#000000"/>
            </w:tcBorders>
            <w:tcMar>
              <w:start w:w="0" w:type="dxa"/>
              <w:end w:w="0" w:type="dxa"/>
            </w:tcMar>
          </w:tcPr>
          <w:p/>
        </w:tc>
        <w:tc>
          <w:tcPr>
            <w:tcW w:type="dxa" w:w="900"/>
            <w:tcBorders>
              <w:start w:sz="4.0" w:val="single" w:color="#000000"/>
              <w:top w:sz="4.0" w:val="single" w:color="#000000"/>
              <w:end w:sz="4.0" w:val="single" w:color="#000000"/>
              <w:bottom w:sz="4.0" w:val="single" w:color="#000000"/>
            </w:tcBorders>
            <w:tcMar>
              <w:start w:w="0" w:type="dxa"/>
              <w:end w:w="0" w:type="dxa"/>
            </w:tcMar>
          </w:tcPr>
          <w:p/>
        </w:tc>
        <w:tc>
          <w:tcPr>
            <w:tcW w:type="dxa" w:w="2040"/>
            <w:tcBorders>
              <w:start w:sz="4.0" w:val="single" w:color="#000000"/>
              <w:top w:sz="4.0" w:val="single" w:color="#000000"/>
              <w:end w:sz="4.0" w:val="single" w:color="#000000"/>
              <w:bottom w:sz="4.0" w:val="single" w:color="#000000"/>
            </w:tcBorders>
            <w:tcMar>
              <w:start w:w="0" w:type="dxa"/>
              <w:end w:w="0" w:type="dxa"/>
            </w:tcMar>
          </w:tcPr>
          <w:p/>
        </w:tc>
      </w:tr>
      <w:tr>
        <w:trPr>
          <w:trHeight w:hRule="exact" w:val="424"/>
        </w:trPr>
        <w:tc>
          <w:tcPr>
            <w:tcW w:type="dxa" w:w="7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6 </w:t>
            </w:r>
          </w:p>
        </w:tc>
        <w:tc>
          <w:tcPr>
            <w:tcW w:type="dxa" w:w="1698"/>
            <w:tcBorders>
              <w:start w:sz="4.0" w:val="single" w:color="#000000"/>
              <w:top w:sz="4.0" w:val="single" w:color="#000000"/>
              <w:end w:sz="4.0" w:val="single" w:color="#000000"/>
              <w:bottom w:sz="3.199999999999818" w:val="single" w:color="#000000"/>
            </w:tcBorders>
            <w:tcMar>
              <w:start w:w="0" w:type="dxa"/>
              <w:end w:w="0" w:type="dxa"/>
            </w:tcMar>
          </w:tcPr>
          <w:p/>
        </w:tc>
        <w:tc>
          <w:tcPr>
            <w:tcW w:type="dxa" w:w="900"/>
            <w:tcBorders>
              <w:start w:sz="4.0" w:val="single" w:color="#000000"/>
              <w:top w:sz="4.0" w:val="single" w:color="#000000"/>
              <w:end w:sz="4.0" w:val="single" w:color="#000000"/>
              <w:bottom w:sz="3.199999999999818" w:val="single" w:color="#000000"/>
            </w:tcBorders>
            <w:tcMar>
              <w:start w:w="0" w:type="dxa"/>
              <w:end w:w="0" w:type="dxa"/>
            </w:tcMar>
          </w:tcPr>
          <w:p/>
        </w:tc>
        <w:tc>
          <w:tcPr>
            <w:tcW w:type="dxa" w:w="900"/>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900"/>
            <w:tcBorders>
              <w:start w:sz="3.200000000000273" w:val="single" w:color="#000000"/>
              <w:top w:sz="4.0" w:val="single" w:color="#000000"/>
              <w:end w:sz="4.0" w:val="single" w:color="#000000"/>
              <w:bottom w:sz="3.199999999999818" w:val="single" w:color="#000000"/>
            </w:tcBorders>
            <w:tcMar>
              <w:start w:w="0" w:type="dxa"/>
              <w:end w:w="0" w:type="dxa"/>
            </w:tcMar>
          </w:tcPr>
          <w:p/>
        </w:tc>
        <w:tc>
          <w:tcPr>
            <w:tcW w:type="dxa" w:w="900"/>
            <w:tcBorders>
              <w:start w:sz="4.0" w:val="single" w:color="#000000"/>
              <w:top w:sz="4.0" w:val="single" w:color="#000000"/>
              <w:end w:sz="4.0" w:val="single" w:color="#000000"/>
              <w:bottom w:sz="3.199999999999818" w:val="single" w:color="#000000"/>
            </w:tcBorders>
            <w:tcMar>
              <w:start w:w="0" w:type="dxa"/>
              <w:end w:w="0" w:type="dxa"/>
            </w:tcMar>
          </w:tcPr>
          <w:p/>
        </w:tc>
        <w:tc>
          <w:tcPr>
            <w:tcW w:type="dxa" w:w="2040"/>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426"/>
        </w:trPr>
        <w:tc>
          <w:tcPr>
            <w:tcW w:type="dxa" w:w="7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Arial" w:hAnsi="Arial" w:eastAsia="Arial"/>
                <w:b w:val="0"/>
                <w:i w:val="0"/>
                <w:color w:val="000000"/>
                <w:sz w:val="24"/>
              </w:rPr>
              <w:t xml:space="preserve">7 </w:t>
            </w:r>
          </w:p>
        </w:tc>
        <w:tc>
          <w:tcPr>
            <w:tcW w:type="dxa" w:w="1698"/>
            <w:tcBorders>
              <w:start w:sz="4.0" w:val="single" w:color="#000000"/>
              <w:top w:sz="3.199999999999818" w:val="single" w:color="#000000"/>
              <w:end w:sz="4.0" w:val="single" w:color="#000000"/>
              <w:bottom w:sz="4.0" w:val="single" w:color="#000000"/>
            </w:tcBorders>
            <w:tcMar>
              <w:start w:w="0" w:type="dxa"/>
              <w:end w:w="0" w:type="dxa"/>
            </w:tcMar>
          </w:tcPr>
          <w:p/>
        </w:tc>
        <w:tc>
          <w:tcPr>
            <w:tcW w:type="dxa" w:w="900"/>
            <w:tcBorders>
              <w:start w:sz="4.0" w:val="single" w:color="#000000"/>
              <w:top w:sz="3.199999999999818" w:val="single" w:color="#000000"/>
              <w:end w:sz="4.0" w:val="single" w:color="#000000"/>
              <w:bottom w:sz="4.0" w:val="single" w:color="#000000"/>
            </w:tcBorders>
            <w:tcMar>
              <w:start w:w="0" w:type="dxa"/>
              <w:end w:w="0" w:type="dxa"/>
            </w:tcMar>
          </w:tcPr>
          <w:p/>
        </w:tc>
        <w:tc>
          <w:tcPr>
            <w:tcW w:type="dxa" w:w="900"/>
            <w:tcBorders>
              <w:start w:sz="4.0" w:val="single" w:color="#000000"/>
              <w:top w:sz="3.199999999999818" w:val="single" w:color="#000000"/>
              <w:end w:sz="3.200000000000273" w:val="single" w:color="#000000"/>
              <w:bottom w:sz="4.0" w:val="single" w:color="#000000"/>
            </w:tcBorders>
            <w:tcMar>
              <w:start w:w="0" w:type="dxa"/>
              <w:end w:w="0" w:type="dxa"/>
            </w:tcMar>
          </w:tcPr>
          <w:p/>
        </w:tc>
        <w:tc>
          <w:tcPr>
            <w:tcW w:type="dxa" w:w="1900"/>
            <w:tcBorders>
              <w:start w:sz="3.200000000000273" w:val="single" w:color="#000000"/>
              <w:top w:sz="3.199999999999818" w:val="single" w:color="#000000"/>
              <w:end w:sz="4.0" w:val="single" w:color="#000000"/>
              <w:bottom w:sz="4.0" w:val="single" w:color="#000000"/>
            </w:tcBorders>
            <w:tcMar>
              <w:start w:w="0" w:type="dxa"/>
              <w:end w:w="0" w:type="dxa"/>
            </w:tcMar>
          </w:tcPr>
          <w:p/>
        </w:tc>
        <w:tc>
          <w:tcPr>
            <w:tcW w:type="dxa" w:w="900"/>
            <w:tcBorders>
              <w:start w:sz="4.0" w:val="single" w:color="#000000"/>
              <w:top w:sz="3.199999999999818" w:val="single" w:color="#000000"/>
              <w:end w:sz="4.0" w:val="single" w:color="#000000"/>
              <w:bottom w:sz="4.0" w:val="single" w:color="#000000"/>
            </w:tcBorders>
            <w:tcMar>
              <w:start w:w="0" w:type="dxa"/>
              <w:end w:w="0" w:type="dxa"/>
            </w:tcMar>
          </w:tcPr>
          <w:p/>
        </w:tc>
        <w:tc>
          <w:tcPr>
            <w:tcW w:type="dxa" w:w="2040"/>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424"/>
        </w:trPr>
        <w:tc>
          <w:tcPr>
            <w:tcW w:type="dxa" w:w="7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 xml:space="preserve">8 </w:t>
            </w:r>
          </w:p>
        </w:tc>
        <w:tc>
          <w:tcPr>
            <w:tcW w:type="dxa" w:w="1698"/>
            <w:tcBorders>
              <w:start w:sz="4.0" w:val="single" w:color="#000000"/>
              <w:top w:sz="4.0" w:val="single" w:color="#000000"/>
              <w:end w:sz="4.0" w:val="single" w:color="#000000"/>
              <w:bottom w:sz="3.199999999999818" w:val="single" w:color="#000000"/>
            </w:tcBorders>
            <w:tcMar>
              <w:start w:w="0" w:type="dxa"/>
              <w:end w:w="0" w:type="dxa"/>
            </w:tcMar>
          </w:tcPr>
          <w:p/>
        </w:tc>
        <w:tc>
          <w:tcPr>
            <w:tcW w:type="dxa" w:w="900"/>
            <w:tcBorders>
              <w:start w:sz="4.0" w:val="single" w:color="#000000"/>
              <w:top w:sz="4.0" w:val="single" w:color="#000000"/>
              <w:end w:sz="4.0" w:val="single" w:color="#000000"/>
              <w:bottom w:sz="3.199999999999818" w:val="single" w:color="#000000"/>
            </w:tcBorders>
            <w:tcMar>
              <w:start w:w="0" w:type="dxa"/>
              <w:end w:w="0" w:type="dxa"/>
            </w:tcMar>
          </w:tcPr>
          <w:p/>
        </w:tc>
        <w:tc>
          <w:tcPr>
            <w:tcW w:type="dxa" w:w="900"/>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900"/>
            <w:tcBorders>
              <w:start w:sz="3.200000000000273" w:val="single" w:color="#000000"/>
              <w:top w:sz="4.0" w:val="single" w:color="#000000"/>
              <w:end w:sz="4.0" w:val="single" w:color="#000000"/>
              <w:bottom w:sz="3.199999999999818" w:val="single" w:color="#000000"/>
            </w:tcBorders>
            <w:tcMar>
              <w:start w:w="0" w:type="dxa"/>
              <w:end w:w="0" w:type="dxa"/>
            </w:tcMar>
          </w:tcPr>
          <w:p/>
        </w:tc>
        <w:tc>
          <w:tcPr>
            <w:tcW w:type="dxa" w:w="900"/>
            <w:tcBorders>
              <w:start w:sz="4.0" w:val="single" w:color="#000000"/>
              <w:top w:sz="4.0" w:val="single" w:color="#000000"/>
              <w:end w:sz="4.0" w:val="single" w:color="#000000"/>
              <w:bottom w:sz="3.199999999999818" w:val="single" w:color="#000000"/>
            </w:tcBorders>
            <w:tcMar>
              <w:start w:w="0" w:type="dxa"/>
              <w:end w:w="0" w:type="dxa"/>
            </w:tcMar>
          </w:tcPr>
          <w:p/>
        </w:tc>
        <w:tc>
          <w:tcPr>
            <w:tcW w:type="dxa" w:w="2040"/>
            <w:tcBorders>
              <w:start w:sz="4.0" w:val="single" w:color="#000000"/>
              <w:top w:sz="4.0" w:val="single" w:color="#000000"/>
              <w:end w:sz="4.0" w:val="single" w:color="#000000"/>
              <w:bottom w:sz="3.199999999999818" w:val="single" w:color="#000000"/>
            </w:tcBorders>
            <w:tcMar>
              <w:start w:w="0" w:type="dxa"/>
              <w:end w:w="0" w:type="dxa"/>
            </w:tcMar>
          </w:tcPr>
          <w:p/>
        </w:tc>
      </w:tr>
    </w:tbl>
    <w:p>
      <w:pPr>
        <w:autoSpaceDN w:val="0"/>
        <w:autoSpaceDE w:val="0"/>
        <w:widowControl/>
        <w:spacing w:line="233" w:lineRule="auto" w:before="486" w:after="0"/>
        <w:ind w:left="28" w:right="0" w:firstLine="0"/>
        <w:jc w:val="left"/>
      </w:pPr>
      <w:r>
        <w:rPr>
          <w:rFonts w:ascii="Arial" w:hAnsi="Arial" w:eastAsia="Arial"/>
          <w:b w:val="0"/>
          <w:i w:val="0"/>
          <w:color w:val="000000"/>
          <w:sz w:val="28"/>
        </w:rPr>
        <w:t>O'quv ishlari bo'yicha prorektor: _____________________________</w:t>
      </w:r>
    </w:p>
    <w:p>
      <w:pPr>
        <w:autoSpaceDN w:val="0"/>
        <w:autoSpaceDE w:val="0"/>
        <w:widowControl/>
        <w:spacing w:line="233" w:lineRule="auto" w:before="650" w:after="0"/>
        <w:ind w:left="28" w:right="0" w:firstLine="0"/>
        <w:jc w:val="left"/>
      </w:pPr>
      <w:r>
        <w:rPr>
          <w:rFonts w:ascii="Arial" w:hAnsi="Arial" w:eastAsia="Arial"/>
          <w:b w:val="0"/>
          <w:i w:val="0"/>
          <w:color w:val="000000"/>
          <w:sz w:val="28"/>
        </w:rPr>
        <w:t>Registratura bo'limi boshlig'i: _____________________________</w:t>
      </w:r>
    </w:p>
    <w:p>
      <w:pPr>
        <w:autoSpaceDN w:val="0"/>
        <w:autoSpaceDE w:val="0"/>
        <w:widowControl/>
        <w:spacing w:line="233" w:lineRule="auto" w:before="654" w:after="0"/>
        <w:ind w:left="28" w:right="0" w:firstLine="0"/>
        <w:jc w:val="left"/>
      </w:pPr>
      <w:r>
        <w:rPr>
          <w:rFonts w:ascii="Arial" w:hAnsi="Arial" w:eastAsia="Arial"/>
          <w:b w:val="0"/>
          <w:i w:val="0"/>
          <w:color w:val="000000"/>
          <w:sz w:val="28"/>
        </w:rPr>
        <w:t>Mas'ul xodim: __________________________________</w:t>
      </w:r>
    </w:p>
    <w:p>
      <w:pPr>
        <w:autoSpaceDN w:val="0"/>
        <w:autoSpaceDE w:val="0"/>
        <w:widowControl/>
        <w:spacing w:line="233" w:lineRule="auto" w:before="652" w:after="0"/>
        <w:ind w:left="28" w:right="0" w:firstLine="0"/>
        <w:jc w:val="left"/>
      </w:pPr>
      <w:r>
        <w:rPr>
          <w:rFonts w:ascii="Arial" w:hAnsi="Arial" w:eastAsia="Arial"/>
          <w:b w:val="0"/>
          <w:i w:val="0"/>
          <w:color w:val="000000"/>
          <w:sz w:val="28"/>
        </w:rPr>
        <w:t>Sana: "___" ______________ 20___          Xulosa № _____</w:t>
      </w:r>
    </w:p>
    <w:sectPr w:rsidR="00FC693F" w:rsidRPr="0006063C" w:rsidSect="00034616">
      <w:pgSz w:w="11906" w:h="16838"/>
      <w:pgMar w:top="354" w:right="1084" w:bottom="1440" w:left="1388"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