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7B85" w14:textId="77777777" w:rsidR="00267268" w:rsidRPr="00391C98" w:rsidRDefault="00267268" w:rsidP="00E64E4C">
      <w:pPr>
        <w:spacing w:before="2000"/>
        <w:jc w:val="center"/>
        <w:rPr>
          <w:rFonts w:asciiTheme="minorBidi" w:hAnsiTheme="minorBidi" w:cstheme="minorBidi"/>
        </w:rPr>
      </w:pPr>
    </w:p>
    <w:p w14:paraId="1BCE46DD" w14:textId="77777777" w:rsidR="00391C98" w:rsidRPr="00391C98" w:rsidRDefault="00391C98" w:rsidP="00E64E4C">
      <w:pPr>
        <w:spacing w:before="200"/>
        <w:jc w:val="center"/>
        <w:rPr>
          <w:rFonts w:asciiTheme="minorBidi" w:hAnsiTheme="minorBidi" w:cstheme="minorBidi"/>
          <w:b/>
          <w:bCs/>
          <w:color w:val="1F3864"/>
          <w:sz w:val="52"/>
          <w:szCs w:val="52"/>
        </w:rPr>
      </w:pPr>
      <w:r w:rsidRPr="00391C98">
        <w:rPr>
          <w:rFonts w:asciiTheme="minorBidi" w:hAnsiTheme="minorBidi" w:cstheme="minorBidi"/>
          <w:b/>
          <w:bCs/>
          <w:color w:val="1F3864"/>
          <w:sz w:val="52"/>
          <w:szCs w:val="52"/>
        </w:rPr>
        <w:t xml:space="preserve">UNIVERSITY GUIDELINE </w:t>
      </w:r>
    </w:p>
    <w:p w14:paraId="4663AB87" w14:textId="6DA987DE" w:rsidR="00391C98" w:rsidRPr="00391C98" w:rsidRDefault="00391C98" w:rsidP="00E64E4C">
      <w:pPr>
        <w:spacing w:before="200"/>
        <w:jc w:val="center"/>
        <w:rPr>
          <w:rFonts w:asciiTheme="minorBidi" w:hAnsiTheme="minorBidi" w:cstheme="minorBidi"/>
          <w:b/>
          <w:bCs/>
          <w:color w:val="1F3864"/>
          <w:sz w:val="52"/>
          <w:szCs w:val="52"/>
        </w:rPr>
      </w:pPr>
      <w:r w:rsidRPr="00391C98">
        <w:rPr>
          <w:rFonts w:asciiTheme="minorBidi" w:hAnsiTheme="minorBidi" w:cstheme="minorBidi"/>
          <w:b/>
          <w:bCs/>
          <w:color w:val="1F3864"/>
          <w:sz w:val="52"/>
          <w:szCs w:val="52"/>
        </w:rPr>
        <w:t>for</w:t>
      </w:r>
    </w:p>
    <w:p w14:paraId="333253BD" w14:textId="72EB4284" w:rsidR="00267268" w:rsidRPr="00391C98" w:rsidRDefault="00000000" w:rsidP="00E64E4C">
      <w:pPr>
        <w:spacing w:before="200"/>
        <w:jc w:val="center"/>
        <w:rPr>
          <w:rFonts w:asciiTheme="minorBidi" w:hAnsiTheme="minorBidi" w:cstheme="minorBidi"/>
        </w:rPr>
      </w:pPr>
      <w:r w:rsidRPr="00391C98">
        <w:rPr>
          <w:rFonts w:asciiTheme="minorBidi" w:hAnsiTheme="minorBidi" w:cstheme="minorBidi"/>
          <w:b/>
          <w:bCs/>
          <w:color w:val="1F3864"/>
          <w:sz w:val="52"/>
          <w:szCs w:val="52"/>
        </w:rPr>
        <w:t>Faculty Standard Workload and Performance Metrics</w:t>
      </w:r>
    </w:p>
    <w:p w14:paraId="2CC3567F" w14:textId="77777777" w:rsidR="00267268" w:rsidRPr="00391C98" w:rsidRDefault="00000000" w:rsidP="00E64E4C">
      <w:pPr>
        <w:spacing w:before="160" w:after="900"/>
        <w:jc w:val="center"/>
        <w:rPr>
          <w:rFonts w:asciiTheme="minorBidi" w:hAnsiTheme="minorBidi" w:cstheme="minorBidi"/>
        </w:rPr>
      </w:pPr>
      <w:r w:rsidRPr="00391C98">
        <w:rPr>
          <w:rFonts w:asciiTheme="minorBidi" w:hAnsiTheme="minorBidi" w:cstheme="minorBidi"/>
          <w:i/>
          <w:iCs/>
          <w:color w:val="9C7A2E"/>
          <w:sz w:val="26"/>
          <w:szCs w:val="26"/>
        </w:rPr>
        <w:t>A 1,000-Hour Annual Workload Framework Across Teaching, Research, and Service</w:t>
      </w:r>
    </w:p>
    <w:p w14:paraId="5CDA21FF" w14:textId="77777777" w:rsidR="00267268" w:rsidRPr="00391C98" w:rsidRDefault="00267268" w:rsidP="00E64E4C">
      <w:pPr>
        <w:pBdr>
          <w:top w:val="single" w:sz="6" w:space="8" w:color="9C7A2E"/>
        </w:pBdr>
        <w:spacing w:before="200"/>
        <w:jc w:val="both"/>
        <w:rPr>
          <w:rFonts w:asciiTheme="minorBidi" w:hAnsiTheme="minorBidi" w:cstheme="minorBidi"/>
        </w:rPr>
      </w:pPr>
    </w:p>
    <w:p w14:paraId="37572800" w14:textId="77777777" w:rsidR="00267268" w:rsidRPr="00391C98" w:rsidRDefault="00000000" w:rsidP="00E64E4C">
      <w:pPr>
        <w:spacing w:before="900"/>
        <w:jc w:val="both"/>
        <w:rPr>
          <w:rFonts w:asciiTheme="minorBidi" w:hAnsiTheme="minorBidi" w:cstheme="minorBidi"/>
        </w:rPr>
      </w:pPr>
      <w:r w:rsidRPr="00391C98">
        <w:rPr>
          <w:rFonts w:asciiTheme="minorBidi" w:hAnsiTheme="minorBidi" w:cstheme="minorBidi"/>
        </w:rPr>
        <w:t>Issuing Authority:  Office of the Provost</w:t>
      </w:r>
    </w:p>
    <w:p w14:paraId="25A66536"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t>Applies to:  All Full-Time Academic Staff, All Faculties</w:t>
      </w:r>
    </w:p>
    <w:p w14:paraId="7B85A0F4"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t>Document Status:  Approved Institutional Guideline</w:t>
      </w:r>
    </w:p>
    <w:p w14:paraId="507CB6C3"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t>Version:  1.0</w:t>
      </w:r>
    </w:p>
    <w:p w14:paraId="5B7C3613"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t>Effective Date:  Start of Next Academic Year Following Approval</w:t>
      </w:r>
    </w:p>
    <w:p w14:paraId="47334B92"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t>Next Scheduled Review:  Within Three Academic Years of Effective Date</w:t>
      </w:r>
    </w:p>
    <w:p w14:paraId="15E7039F"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br w:type="page"/>
      </w:r>
    </w:p>
    <w:p w14:paraId="5A82AD99" w14:textId="77777777" w:rsidR="00267268" w:rsidRPr="00391C98" w:rsidRDefault="00000000" w:rsidP="00E64E4C">
      <w:pPr>
        <w:pStyle w:val="1"/>
        <w:jc w:val="both"/>
        <w:rPr>
          <w:rFonts w:asciiTheme="minorBidi" w:hAnsiTheme="minorBidi" w:cstheme="minorBidi"/>
        </w:rPr>
      </w:pPr>
      <w:bookmarkStart w:id="0" w:name="_Toc240900971"/>
      <w:r w:rsidRPr="00391C98">
        <w:rPr>
          <w:rFonts w:asciiTheme="minorBidi" w:hAnsiTheme="minorBidi" w:cstheme="minorBidi"/>
        </w:rPr>
        <w:lastRenderedPageBreak/>
        <w:t>Table of Contents</w:t>
      </w:r>
      <w:bookmarkEnd w:id="0"/>
    </w:p>
    <w:sdt>
      <w:sdtPr>
        <w:rPr>
          <w:rFonts w:asciiTheme="minorBidi" w:hAnsiTheme="minorBidi" w:cstheme="minorBidi"/>
        </w:rPr>
        <w:alias w:val="Table of Contents"/>
        <w:id w:val="2100214726"/>
      </w:sdtPr>
      <w:sdtContent>
        <w:p w14:paraId="624AA152" w14:textId="77777777" w:rsidR="00E64E4C" w:rsidRPr="00391C98" w:rsidRDefault="00000000" w:rsidP="00E64E4C">
          <w:pPr>
            <w:pStyle w:val="11"/>
            <w:tabs>
              <w:tab w:val="right" w:leader="dot" w:pos="9530"/>
            </w:tabs>
            <w:jc w:val="both"/>
            <w:rPr>
              <w:rFonts w:asciiTheme="minorBidi" w:hAnsiTheme="minorBidi" w:cstheme="minorBidi"/>
              <w:noProof/>
            </w:rPr>
          </w:pPr>
          <w:r w:rsidRPr="00391C98">
            <w:rPr>
              <w:rFonts w:asciiTheme="minorBidi" w:hAnsiTheme="minorBidi" w:cstheme="minorBidi"/>
            </w:rPr>
            <w:fldChar w:fldCharType="begin"/>
          </w:r>
          <w:r w:rsidRPr="00391C98">
            <w:rPr>
              <w:rFonts w:asciiTheme="minorBidi" w:hAnsiTheme="minorBidi" w:cstheme="minorBidi"/>
            </w:rPr>
            <w:instrText>TOC \h \o "1-3"</w:instrText>
          </w:r>
          <w:r w:rsidRPr="00391C98">
            <w:rPr>
              <w:rFonts w:asciiTheme="minorBidi" w:hAnsiTheme="minorBidi" w:cstheme="minorBidi"/>
            </w:rPr>
            <w:fldChar w:fldCharType="separate"/>
          </w:r>
          <w:hyperlink w:anchor="_Toc240900971" w:history="1">
            <w:r w:rsidR="00E64E4C" w:rsidRPr="00391C98">
              <w:rPr>
                <w:rStyle w:val="a5"/>
                <w:rFonts w:asciiTheme="minorBidi" w:hAnsiTheme="minorBidi" w:cstheme="minorBidi"/>
                <w:noProof/>
              </w:rPr>
              <w:t>Table of Contents</w:t>
            </w:r>
            <w:r w:rsidR="00E64E4C" w:rsidRPr="00391C98">
              <w:rPr>
                <w:rFonts w:asciiTheme="minorBidi" w:hAnsiTheme="minorBidi" w:cstheme="minorBidi"/>
                <w:noProof/>
              </w:rPr>
              <w:tab/>
            </w:r>
            <w:r w:rsidR="00E64E4C" w:rsidRPr="00391C98">
              <w:rPr>
                <w:rFonts w:asciiTheme="minorBidi" w:hAnsiTheme="minorBidi" w:cstheme="minorBidi"/>
                <w:noProof/>
              </w:rPr>
              <w:fldChar w:fldCharType="begin"/>
            </w:r>
            <w:r w:rsidR="00E64E4C" w:rsidRPr="00391C98">
              <w:rPr>
                <w:rFonts w:asciiTheme="minorBidi" w:hAnsiTheme="minorBidi" w:cstheme="minorBidi"/>
                <w:noProof/>
              </w:rPr>
              <w:instrText xml:space="preserve"> PAGEREF _Toc240900971 \h </w:instrText>
            </w:r>
            <w:r w:rsidR="00E64E4C" w:rsidRPr="00391C98">
              <w:rPr>
                <w:rFonts w:asciiTheme="minorBidi" w:hAnsiTheme="minorBidi" w:cstheme="minorBidi"/>
                <w:noProof/>
              </w:rPr>
            </w:r>
            <w:r w:rsidR="00E64E4C" w:rsidRPr="00391C98">
              <w:rPr>
                <w:rFonts w:asciiTheme="minorBidi" w:hAnsiTheme="minorBidi" w:cstheme="minorBidi"/>
                <w:noProof/>
              </w:rPr>
              <w:fldChar w:fldCharType="separate"/>
            </w:r>
            <w:r w:rsidR="00E64E4C" w:rsidRPr="00391C98">
              <w:rPr>
                <w:rFonts w:asciiTheme="minorBidi" w:hAnsiTheme="minorBidi" w:cstheme="minorBidi"/>
                <w:noProof/>
              </w:rPr>
              <w:t>2</w:t>
            </w:r>
            <w:r w:rsidR="00E64E4C" w:rsidRPr="00391C98">
              <w:rPr>
                <w:rFonts w:asciiTheme="minorBidi" w:hAnsiTheme="minorBidi" w:cstheme="minorBidi"/>
                <w:noProof/>
              </w:rPr>
              <w:fldChar w:fldCharType="end"/>
            </w:r>
          </w:hyperlink>
        </w:p>
        <w:p w14:paraId="641B9F5A"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2" w:history="1">
            <w:r w:rsidRPr="00391C98">
              <w:rPr>
                <w:rStyle w:val="a5"/>
                <w:rFonts w:asciiTheme="minorBidi" w:hAnsiTheme="minorBidi" w:cstheme="minorBidi"/>
                <w:noProof/>
              </w:rPr>
              <w:t>Executive Summary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6</w:t>
            </w:r>
            <w:r w:rsidRPr="00391C98">
              <w:rPr>
                <w:rFonts w:asciiTheme="minorBidi" w:hAnsiTheme="minorBidi" w:cstheme="minorBidi"/>
                <w:noProof/>
              </w:rPr>
              <w:fldChar w:fldCharType="end"/>
            </w:r>
          </w:hyperlink>
        </w:p>
        <w:p w14:paraId="12BD345D"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3" w:history="1">
            <w:r w:rsidRPr="00391C98">
              <w:rPr>
                <w:rStyle w:val="a5"/>
                <w:rFonts w:asciiTheme="minorBidi" w:hAnsiTheme="minorBidi" w:cstheme="minorBidi"/>
                <w:noProof/>
              </w:rPr>
              <w:t>Background and Institutional Context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6</w:t>
            </w:r>
            <w:r w:rsidRPr="00391C98">
              <w:rPr>
                <w:rFonts w:asciiTheme="minorBidi" w:hAnsiTheme="minorBidi" w:cstheme="minorBidi"/>
                <w:noProof/>
              </w:rPr>
              <w:fldChar w:fldCharType="end"/>
            </w:r>
          </w:hyperlink>
        </w:p>
        <w:p w14:paraId="7F8E8024"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4" w:history="1">
            <w:r w:rsidRPr="00391C98">
              <w:rPr>
                <w:rStyle w:val="a5"/>
                <w:rFonts w:asciiTheme="minorBidi" w:hAnsiTheme="minorBidi" w:cstheme="minorBidi"/>
                <w:noProof/>
              </w:rPr>
              <w:t>Foreword</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7</w:t>
            </w:r>
            <w:r w:rsidRPr="00391C98">
              <w:rPr>
                <w:rFonts w:asciiTheme="minorBidi" w:hAnsiTheme="minorBidi" w:cstheme="minorBidi"/>
                <w:noProof/>
              </w:rPr>
              <w:fldChar w:fldCharType="end"/>
            </w:r>
          </w:hyperlink>
        </w:p>
        <w:p w14:paraId="18D6D34D"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5" w:history="1">
            <w:r w:rsidRPr="00391C98">
              <w:rPr>
                <w:rStyle w:val="a5"/>
                <w:rFonts w:asciiTheme="minorBidi" w:hAnsiTheme="minorBidi" w:cstheme="minorBidi"/>
                <w:noProof/>
              </w:rPr>
              <w:t>1. Purpose and Objectives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7</w:t>
            </w:r>
            <w:r w:rsidRPr="00391C98">
              <w:rPr>
                <w:rFonts w:asciiTheme="minorBidi" w:hAnsiTheme="minorBidi" w:cstheme="minorBidi"/>
                <w:noProof/>
              </w:rPr>
              <w:fldChar w:fldCharType="end"/>
            </w:r>
          </w:hyperlink>
        </w:p>
        <w:p w14:paraId="0474EBF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76" w:history="1">
            <w:r w:rsidRPr="00391C98">
              <w:rPr>
                <w:rStyle w:val="a5"/>
                <w:rFonts w:asciiTheme="minorBidi" w:hAnsiTheme="minorBidi" w:cstheme="minorBidi"/>
                <w:noProof/>
              </w:rPr>
              <w:t>1.1 Objectives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7</w:t>
            </w:r>
            <w:r w:rsidRPr="00391C98">
              <w:rPr>
                <w:rFonts w:asciiTheme="minorBidi" w:hAnsiTheme="minorBidi" w:cstheme="minorBidi"/>
                <w:noProof/>
              </w:rPr>
              <w:fldChar w:fldCharType="end"/>
            </w:r>
          </w:hyperlink>
        </w:p>
        <w:p w14:paraId="148C5485"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7" w:history="1">
            <w:r w:rsidRPr="00391C98">
              <w:rPr>
                <w:rStyle w:val="a5"/>
                <w:rFonts w:asciiTheme="minorBidi" w:hAnsiTheme="minorBidi" w:cstheme="minorBidi"/>
                <w:noProof/>
              </w:rPr>
              <w:t>2. Scope and Applicability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8</w:t>
            </w:r>
            <w:r w:rsidRPr="00391C98">
              <w:rPr>
                <w:rFonts w:asciiTheme="minorBidi" w:hAnsiTheme="minorBidi" w:cstheme="minorBidi"/>
                <w:noProof/>
              </w:rPr>
              <w:fldChar w:fldCharType="end"/>
            </w:r>
          </w:hyperlink>
        </w:p>
        <w:p w14:paraId="66932F3B"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8" w:history="1">
            <w:r w:rsidRPr="00391C98">
              <w:rPr>
                <w:rStyle w:val="a5"/>
                <w:rFonts w:asciiTheme="minorBidi" w:hAnsiTheme="minorBidi" w:cstheme="minorBidi"/>
                <w:noProof/>
              </w:rPr>
              <w:t>3. Definitions and Key Terms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9</w:t>
            </w:r>
            <w:r w:rsidRPr="00391C98">
              <w:rPr>
                <w:rFonts w:asciiTheme="minorBidi" w:hAnsiTheme="minorBidi" w:cstheme="minorBidi"/>
                <w:noProof/>
              </w:rPr>
              <w:fldChar w:fldCharType="end"/>
            </w:r>
          </w:hyperlink>
        </w:p>
        <w:p w14:paraId="3787DE20"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79" w:history="1">
            <w:r w:rsidRPr="00391C98">
              <w:rPr>
                <w:rStyle w:val="a5"/>
                <w:rFonts w:asciiTheme="minorBidi" w:hAnsiTheme="minorBidi" w:cstheme="minorBidi"/>
                <w:noProof/>
              </w:rPr>
              <w:t>4. Guiding Principles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_Toc240900979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10</w:t>
            </w:r>
            <w:r w:rsidRPr="00391C98">
              <w:rPr>
                <w:rFonts w:asciiTheme="minorBidi" w:hAnsiTheme="minorBidi" w:cstheme="minorBidi"/>
                <w:noProof/>
              </w:rPr>
              <w:fldChar w:fldCharType="end"/>
            </w:r>
          </w:hyperlink>
        </w:p>
        <w:p w14:paraId="7261367B"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0" w:history="1">
            <w:r w:rsidRPr="00391C98">
              <w:rPr>
                <w:rStyle w:val="a5"/>
                <w:rFonts w:asciiTheme="minorBidi" w:hAnsiTheme="minorBidi" w:cstheme="minorBidi"/>
                <w:noProof/>
              </w:rPr>
              <w:t>4.1 Holistic Assessment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10</w:t>
            </w:r>
            <w:r w:rsidRPr="00391C98">
              <w:rPr>
                <w:rFonts w:asciiTheme="minorBidi" w:hAnsiTheme="minorBidi" w:cstheme="minorBidi"/>
                <w:noProof/>
              </w:rPr>
              <w:fldChar w:fldCharType="end"/>
            </w:r>
          </w:hyperlink>
        </w:p>
        <w:p w14:paraId="16740A1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1" w:history="1">
            <w:r w:rsidRPr="00391C98">
              <w:rPr>
                <w:rStyle w:val="a5"/>
                <w:rFonts w:asciiTheme="minorBidi" w:hAnsiTheme="minorBidi" w:cstheme="minorBidi"/>
                <w:noProof/>
              </w:rPr>
              <w:t>4.2 Protected and Balanced Time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10</w:t>
            </w:r>
            <w:r w:rsidRPr="00391C98">
              <w:rPr>
                <w:rFonts w:asciiTheme="minorBidi" w:hAnsiTheme="minorBidi" w:cstheme="minorBidi"/>
                <w:noProof/>
              </w:rPr>
              <w:fldChar w:fldCharType="end"/>
            </w:r>
          </w:hyperlink>
        </w:p>
        <w:p w14:paraId="7CB4D711"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2" w:history="1">
            <w:r w:rsidRPr="00391C98">
              <w:rPr>
                <w:rStyle w:val="a5"/>
                <w:rFonts w:asciiTheme="minorBidi" w:hAnsiTheme="minorBidi" w:cstheme="minorBidi"/>
                <w:noProof/>
              </w:rPr>
              <w:t>4.3 Rank-Appropriate Differentiation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10</w:t>
            </w:r>
            <w:r w:rsidRPr="00391C98">
              <w:rPr>
                <w:rFonts w:asciiTheme="minorBidi" w:hAnsiTheme="minorBidi" w:cstheme="minorBidi"/>
                <w:noProof/>
              </w:rPr>
              <w:fldChar w:fldCharType="end"/>
            </w:r>
          </w:hyperlink>
        </w:p>
        <w:p w14:paraId="40ABB3E4"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3" w:history="1">
            <w:r w:rsidRPr="00391C98">
              <w:rPr>
                <w:rStyle w:val="a5"/>
                <w:rFonts w:asciiTheme="minorBidi" w:hAnsiTheme="minorBidi" w:cstheme="minorBidi"/>
                <w:noProof/>
              </w:rPr>
              <w:t>4.4 Transparency and Advance Notice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10</w:t>
            </w:r>
            <w:r w:rsidRPr="00391C98">
              <w:rPr>
                <w:rFonts w:asciiTheme="minorBidi" w:hAnsiTheme="minorBidi" w:cstheme="minorBidi"/>
                <w:noProof/>
              </w:rPr>
              <w:fldChar w:fldCharType="end"/>
            </w:r>
          </w:hyperlink>
        </w:p>
        <w:p w14:paraId="16211077"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4" w:history="1">
            <w:r w:rsidRPr="00391C98">
              <w:rPr>
                <w:rStyle w:val="a5"/>
                <w:rFonts w:asciiTheme="minorBidi" w:hAnsiTheme="minorBidi" w:cstheme="minorBidi"/>
                <w:noProof/>
              </w:rPr>
              <w:t>4.5 Evidence-Based Verification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11</w:t>
            </w:r>
            <w:r w:rsidRPr="00391C98">
              <w:rPr>
                <w:rFonts w:asciiTheme="minorBidi" w:hAnsiTheme="minorBidi" w:cstheme="minorBidi"/>
                <w:noProof/>
              </w:rPr>
              <w:fldChar w:fldCharType="end"/>
            </w:r>
          </w:hyperlink>
        </w:p>
        <w:p w14:paraId="0D816885"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5" w:history="1">
            <w:r w:rsidRPr="00391C98">
              <w:rPr>
                <w:rStyle w:val="a5"/>
                <w:rFonts w:asciiTheme="minorBidi" w:hAnsiTheme="minorBidi" w:cstheme="minorBidi"/>
                <w:noProof/>
              </w:rPr>
              <w:t>4.6 Proportionality and Fairness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11</w:t>
            </w:r>
            <w:r w:rsidRPr="00391C98">
              <w:rPr>
                <w:rFonts w:asciiTheme="minorBidi" w:hAnsiTheme="minorBidi" w:cstheme="minorBidi"/>
                <w:noProof/>
              </w:rPr>
              <w:fldChar w:fldCharType="end"/>
            </w:r>
          </w:hyperlink>
        </w:p>
        <w:p w14:paraId="38936E24"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86" w:history="1">
            <w:r w:rsidRPr="00391C98">
              <w:rPr>
                <w:rStyle w:val="a5"/>
                <w:rFonts w:asciiTheme="minorBidi" w:hAnsiTheme="minorBidi" w:cstheme="minorBidi"/>
                <w:noProof/>
              </w:rPr>
              <w:t>5. The 1,000-Hour Standard Workload Framework</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11</w:t>
            </w:r>
            <w:r w:rsidRPr="00391C98">
              <w:rPr>
                <w:rFonts w:asciiTheme="minorBidi" w:hAnsiTheme="minorBidi" w:cstheme="minorBidi"/>
                <w:noProof/>
              </w:rPr>
              <w:fldChar w:fldCharType="end"/>
            </w:r>
          </w:hyperlink>
        </w:p>
        <w:p w14:paraId="0AF51AEC"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7" w:history="1">
            <w:r w:rsidRPr="00391C98">
              <w:rPr>
                <w:rStyle w:val="a5"/>
                <w:rFonts w:asciiTheme="minorBidi" w:hAnsiTheme="minorBidi" w:cstheme="minorBidi"/>
                <w:noProof/>
              </w:rPr>
              <w:t>5.1 The Three Core Pillars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12</w:t>
            </w:r>
            <w:r w:rsidRPr="00391C98">
              <w:rPr>
                <w:rFonts w:asciiTheme="minorBidi" w:hAnsiTheme="minorBidi" w:cstheme="minorBidi"/>
                <w:noProof/>
              </w:rPr>
              <w:fldChar w:fldCharType="end"/>
            </w:r>
          </w:hyperlink>
        </w:p>
        <w:p w14:paraId="781679E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88" w:history="1">
            <w:r w:rsidRPr="00391C98">
              <w:rPr>
                <w:rStyle w:val="a5"/>
                <w:rFonts w:asciiTheme="minorBidi" w:hAnsiTheme="minorBidi" w:cstheme="minorBidi"/>
                <w:noProof/>
              </w:rPr>
              <w:t>5.2 Relationship to Other University Instruments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12</w:t>
            </w:r>
            <w:r w:rsidRPr="00391C98">
              <w:rPr>
                <w:rFonts w:asciiTheme="minorBidi" w:hAnsiTheme="minorBidi" w:cstheme="minorBidi"/>
                <w:noProof/>
              </w:rPr>
              <w:fldChar w:fldCharType="end"/>
            </w:r>
          </w:hyperlink>
        </w:p>
        <w:p w14:paraId="11501054"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89" w:history="1">
            <w:r w:rsidRPr="00391C98">
              <w:rPr>
                <w:rStyle w:val="a5"/>
                <w:rFonts w:asciiTheme="minorBidi" w:hAnsiTheme="minorBidi" w:cstheme="minorBidi"/>
                <w:noProof/>
              </w:rPr>
              <w:t>6. Rank-Specific Workload Allocation: Overview</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_Toc240900989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12</w:t>
            </w:r>
            <w:r w:rsidRPr="00391C98">
              <w:rPr>
                <w:rFonts w:asciiTheme="minorBidi" w:hAnsiTheme="minorBidi" w:cstheme="minorBidi"/>
                <w:noProof/>
              </w:rPr>
              <w:fldChar w:fldCharType="end"/>
            </w:r>
          </w:hyperlink>
        </w:p>
        <w:p w14:paraId="478F25FB"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0" w:history="1">
            <w:r w:rsidRPr="00391C98">
              <w:rPr>
                <w:rStyle w:val="a5"/>
                <w:rFonts w:asciiTheme="minorBidi" w:hAnsiTheme="minorBidi" w:cstheme="minorBidi"/>
                <w:noProof/>
              </w:rPr>
              <w:t>6.1 Heads of Department / Program Directors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12</w:t>
            </w:r>
            <w:r w:rsidRPr="00391C98">
              <w:rPr>
                <w:rFonts w:asciiTheme="minorBidi" w:hAnsiTheme="minorBidi" w:cstheme="minorBidi"/>
                <w:noProof/>
              </w:rPr>
              <w:fldChar w:fldCharType="end"/>
            </w:r>
          </w:hyperlink>
        </w:p>
        <w:p w14:paraId="59B0E24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1" w:history="1">
            <w:r w:rsidRPr="00391C98">
              <w:rPr>
                <w:rStyle w:val="a5"/>
                <w:rFonts w:asciiTheme="minorBidi" w:hAnsiTheme="minorBidi" w:cstheme="minorBidi"/>
                <w:noProof/>
              </w:rPr>
              <w:t>6.2 Professors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13</w:t>
            </w:r>
            <w:r w:rsidRPr="00391C98">
              <w:rPr>
                <w:rFonts w:asciiTheme="minorBidi" w:hAnsiTheme="minorBidi" w:cstheme="minorBidi"/>
                <w:noProof/>
              </w:rPr>
              <w:fldChar w:fldCharType="end"/>
            </w:r>
          </w:hyperlink>
        </w:p>
        <w:p w14:paraId="71E4A9C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2" w:history="1">
            <w:r w:rsidRPr="00391C98">
              <w:rPr>
                <w:rStyle w:val="a5"/>
                <w:rFonts w:asciiTheme="minorBidi" w:hAnsiTheme="minorBidi" w:cstheme="minorBidi"/>
                <w:noProof/>
              </w:rPr>
              <w:t>6.3 Associate Professors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13</w:t>
            </w:r>
            <w:r w:rsidRPr="00391C98">
              <w:rPr>
                <w:rFonts w:asciiTheme="minorBidi" w:hAnsiTheme="minorBidi" w:cstheme="minorBidi"/>
                <w:noProof/>
              </w:rPr>
              <w:fldChar w:fldCharType="end"/>
            </w:r>
          </w:hyperlink>
        </w:p>
        <w:p w14:paraId="6C534E0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3" w:history="1">
            <w:r w:rsidRPr="00391C98">
              <w:rPr>
                <w:rStyle w:val="a5"/>
                <w:rFonts w:asciiTheme="minorBidi" w:hAnsiTheme="minorBidi" w:cstheme="minorBidi"/>
                <w:noProof/>
              </w:rPr>
              <w:t>6.4 Senior Lecturers, Lecturers, and Assistants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14</w:t>
            </w:r>
            <w:r w:rsidRPr="00391C98">
              <w:rPr>
                <w:rFonts w:asciiTheme="minorBidi" w:hAnsiTheme="minorBidi" w:cstheme="minorBidi"/>
                <w:noProof/>
              </w:rPr>
              <w:fldChar w:fldCharType="end"/>
            </w:r>
          </w:hyperlink>
        </w:p>
        <w:p w14:paraId="52E4541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4" w:history="1">
            <w:r w:rsidRPr="00391C98">
              <w:rPr>
                <w:rStyle w:val="a5"/>
                <w:rFonts w:asciiTheme="minorBidi" w:hAnsiTheme="minorBidi" w:cstheme="minorBidi"/>
                <w:noProof/>
              </w:rPr>
              <w:t>6.5 Discipline-Specific and Individual Adjustments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14</w:t>
            </w:r>
            <w:r w:rsidRPr="00391C98">
              <w:rPr>
                <w:rFonts w:asciiTheme="minorBidi" w:hAnsiTheme="minorBidi" w:cstheme="minorBidi"/>
                <w:noProof/>
              </w:rPr>
              <w:fldChar w:fldCharType="end"/>
            </w:r>
          </w:hyperlink>
        </w:p>
        <w:p w14:paraId="1C7B5E43"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0995" w:history="1">
            <w:r w:rsidRPr="00391C98">
              <w:rPr>
                <w:rStyle w:val="a5"/>
                <w:rFonts w:asciiTheme="minorBidi" w:hAnsiTheme="minorBidi" w:cstheme="minorBidi"/>
                <w:noProof/>
              </w:rPr>
              <w:t>7. Core Pillar I: Teaching and Instruction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15</w:t>
            </w:r>
            <w:r w:rsidRPr="00391C98">
              <w:rPr>
                <w:rFonts w:asciiTheme="minorBidi" w:hAnsiTheme="minorBidi" w:cstheme="minorBidi"/>
                <w:noProof/>
              </w:rPr>
              <w:fldChar w:fldCharType="end"/>
            </w:r>
          </w:hyperlink>
        </w:p>
        <w:p w14:paraId="43DBEAA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6" w:history="1">
            <w:r w:rsidRPr="00391C98">
              <w:rPr>
                <w:rStyle w:val="a5"/>
                <w:rFonts w:asciiTheme="minorBidi" w:hAnsiTheme="minorBidi" w:cstheme="minorBidi"/>
                <w:noProof/>
              </w:rPr>
              <w:t>7.1 Objective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15</w:t>
            </w:r>
            <w:r w:rsidRPr="00391C98">
              <w:rPr>
                <w:rFonts w:asciiTheme="minorBidi" w:hAnsiTheme="minorBidi" w:cstheme="minorBidi"/>
                <w:noProof/>
              </w:rPr>
              <w:fldChar w:fldCharType="end"/>
            </w:r>
          </w:hyperlink>
        </w:p>
        <w:p w14:paraId="66C52ED4"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7" w:history="1">
            <w:r w:rsidRPr="00391C98">
              <w:rPr>
                <w:rStyle w:val="a5"/>
                <w:rFonts w:asciiTheme="minorBidi" w:hAnsiTheme="minorBidi" w:cstheme="minorBidi"/>
                <w:noProof/>
              </w:rPr>
              <w:t>7.2 Scope of Recognized Activity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15</w:t>
            </w:r>
            <w:r w:rsidRPr="00391C98">
              <w:rPr>
                <w:rFonts w:asciiTheme="minorBidi" w:hAnsiTheme="minorBidi" w:cstheme="minorBidi"/>
                <w:noProof/>
              </w:rPr>
              <w:fldChar w:fldCharType="end"/>
            </w:r>
          </w:hyperlink>
        </w:p>
        <w:p w14:paraId="35A25D06"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0998" w:history="1">
            <w:r w:rsidRPr="00391C98">
              <w:rPr>
                <w:rStyle w:val="a5"/>
                <w:rFonts w:asciiTheme="minorBidi" w:hAnsiTheme="minorBidi" w:cstheme="minorBidi"/>
                <w:noProof/>
              </w:rPr>
              <w:t>7.3 Evaluation Criteria and Benchmarks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16</w:t>
            </w:r>
            <w:r w:rsidRPr="00391C98">
              <w:rPr>
                <w:rFonts w:asciiTheme="minorBidi" w:hAnsiTheme="minorBidi" w:cstheme="minorBidi"/>
                <w:noProof/>
              </w:rPr>
              <w:fldChar w:fldCharType="end"/>
            </w:r>
          </w:hyperlink>
        </w:p>
        <w:p w14:paraId="30D77923"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0999" w:history="1">
            <w:r w:rsidRPr="00391C98">
              <w:rPr>
                <w:rStyle w:val="a5"/>
                <w:rFonts w:asciiTheme="minorBidi" w:hAnsiTheme="minorBidi" w:cstheme="minorBidi"/>
                <w:noProof/>
              </w:rPr>
              <w:t>7.3.1 Contact Quotas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_Toc240900999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16</w:t>
            </w:r>
            <w:r w:rsidRPr="00391C98">
              <w:rPr>
                <w:rFonts w:asciiTheme="minorBidi" w:hAnsiTheme="minorBidi" w:cstheme="minorBidi"/>
                <w:noProof/>
              </w:rPr>
              <w:fldChar w:fldCharType="end"/>
            </w:r>
          </w:hyperlink>
        </w:p>
        <w:p w14:paraId="554EF1E8"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00" w:history="1">
            <w:r w:rsidRPr="00391C98">
              <w:rPr>
                <w:rStyle w:val="a5"/>
                <w:rFonts w:asciiTheme="minorBidi" w:hAnsiTheme="minorBidi" w:cstheme="minorBidi"/>
                <w:noProof/>
              </w:rPr>
              <w:t>7.3.2 Pedagogy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16</w:t>
            </w:r>
            <w:r w:rsidRPr="00391C98">
              <w:rPr>
                <w:rFonts w:asciiTheme="minorBidi" w:hAnsiTheme="minorBidi" w:cstheme="minorBidi"/>
                <w:noProof/>
              </w:rPr>
              <w:fldChar w:fldCharType="end"/>
            </w:r>
          </w:hyperlink>
        </w:p>
        <w:p w14:paraId="50A321FA"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01" w:history="1">
            <w:r w:rsidRPr="00391C98">
              <w:rPr>
                <w:rStyle w:val="a5"/>
                <w:rFonts w:asciiTheme="minorBidi" w:hAnsiTheme="minorBidi" w:cstheme="minorBidi"/>
                <w:noProof/>
              </w:rPr>
              <w:t>7.3.3 Responsiveness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16</w:t>
            </w:r>
            <w:r w:rsidRPr="00391C98">
              <w:rPr>
                <w:rFonts w:asciiTheme="minorBidi" w:hAnsiTheme="minorBidi" w:cstheme="minorBidi"/>
                <w:noProof/>
              </w:rPr>
              <w:fldChar w:fldCharType="end"/>
            </w:r>
          </w:hyperlink>
        </w:p>
        <w:p w14:paraId="1D5B65B7"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02" w:history="1">
            <w:r w:rsidRPr="00391C98">
              <w:rPr>
                <w:rStyle w:val="a5"/>
                <w:rFonts w:asciiTheme="minorBidi" w:hAnsiTheme="minorBidi" w:cstheme="minorBidi"/>
                <w:noProof/>
              </w:rPr>
              <w:t>7.4 Verification Methods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16</w:t>
            </w:r>
            <w:r w:rsidRPr="00391C98">
              <w:rPr>
                <w:rFonts w:asciiTheme="minorBidi" w:hAnsiTheme="minorBidi" w:cstheme="minorBidi"/>
                <w:noProof/>
              </w:rPr>
              <w:fldChar w:fldCharType="end"/>
            </w:r>
          </w:hyperlink>
        </w:p>
        <w:p w14:paraId="5659D48D"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03" w:history="1">
            <w:r w:rsidRPr="00391C98">
              <w:rPr>
                <w:rStyle w:val="a5"/>
                <w:rFonts w:asciiTheme="minorBidi" w:hAnsiTheme="minorBidi" w:cstheme="minorBidi"/>
                <w:noProof/>
              </w:rPr>
              <w:t>7.5 Interpreting SET Scores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4F3C1278"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04" w:history="1">
            <w:r w:rsidRPr="00391C98">
              <w:rPr>
                <w:rStyle w:val="a5"/>
                <w:rFonts w:asciiTheme="minorBidi" w:hAnsiTheme="minorBidi" w:cstheme="minorBidi"/>
                <w:noProof/>
              </w:rPr>
              <w:t>8. Core Pillar II: Research and Scholarly Activity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4E9D58FD"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05" w:history="1">
            <w:r w:rsidRPr="00391C98">
              <w:rPr>
                <w:rStyle w:val="a5"/>
                <w:rFonts w:asciiTheme="minorBidi" w:hAnsiTheme="minorBidi" w:cstheme="minorBidi"/>
                <w:noProof/>
              </w:rPr>
              <w:t>8.1 Objective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056BC21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06" w:history="1">
            <w:r w:rsidRPr="00391C98">
              <w:rPr>
                <w:rStyle w:val="a5"/>
                <w:rFonts w:asciiTheme="minorBidi" w:hAnsiTheme="minorBidi" w:cstheme="minorBidi"/>
                <w:noProof/>
              </w:rPr>
              <w:t>8.2 Scope of Recognized Activity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1202DB6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07" w:history="1">
            <w:r w:rsidRPr="00391C98">
              <w:rPr>
                <w:rStyle w:val="a5"/>
                <w:rFonts w:asciiTheme="minorBidi" w:hAnsiTheme="minorBidi" w:cstheme="minorBidi"/>
                <w:noProof/>
              </w:rPr>
              <w:t>8.3 Evaluation Criteria and Benchmarks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12A8DF55"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08" w:history="1">
            <w:r w:rsidRPr="00391C98">
              <w:rPr>
                <w:rStyle w:val="a5"/>
                <w:rFonts w:asciiTheme="minorBidi" w:hAnsiTheme="minorBidi" w:cstheme="minorBidi"/>
                <w:noProof/>
              </w:rPr>
              <w:t>8.3.1 Time Allocation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17</w:t>
            </w:r>
            <w:r w:rsidRPr="00391C98">
              <w:rPr>
                <w:rFonts w:asciiTheme="minorBidi" w:hAnsiTheme="minorBidi" w:cstheme="minorBidi"/>
                <w:noProof/>
              </w:rPr>
              <w:fldChar w:fldCharType="end"/>
            </w:r>
          </w:hyperlink>
        </w:p>
        <w:p w14:paraId="738C8795"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09" w:history="1">
            <w:r w:rsidRPr="00391C98">
              <w:rPr>
                <w:rStyle w:val="a5"/>
                <w:rFonts w:asciiTheme="minorBidi" w:hAnsiTheme="minorBidi" w:cstheme="minorBidi"/>
                <w:noProof/>
              </w:rPr>
              <w:t>8.3.2 Outputs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_Toc240901009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18</w:t>
            </w:r>
            <w:r w:rsidRPr="00391C98">
              <w:rPr>
                <w:rFonts w:asciiTheme="minorBidi" w:hAnsiTheme="minorBidi" w:cstheme="minorBidi"/>
                <w:noProof/>
              </w:rPr>
              <w:fldChar w:fldCharType="end"/>
            </w:r>
          </w:hyperlink>
        </w:p>
        <w:p w14:paraId="713A58CF"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10" w:history="1">
            <w:r w:rsidRPr="00391C98">
              <w:rPr>
                <w:rStyle w:val="a5"/>
                <w:rFonts w:asciiTheme="minorBidi" w:hAnsiTheme="minorBidi" w:cstheme="minorBidi"/>
                <w:noProof/>
              </w:rPr>
              <w:t>8.3.3 Curriculum Translation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18</w:t>
            </w:r>
            <w:r w:rsidRPr="00391C98">
              <w:rPr>
                <w:rFonts w:asciiTheme="minorBidi" w:hAnsiTheme="minorBidi" w:cstheme="minorBidi"/>
                <w:noProof/>
              </w:rPr>
              <w:fldChar w:fldCharType="end"/>
            </w:r>
          </w:hyperlink>
        </w:p>
        <w:p w14:paraId="666DFCCD"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11" w:history="1">
            <w:r w:rsidRPr="00391C98">
              <w:rPr>
                <w:rStyle w:val="a5"/>
                <w:rFonts w:asciiTheme="minorBidi" w:hAnsiTheme="minorBidi" w:cstheme="minorBidi"/>
                <w:noProof/>
              </w:rPr>
              <w:t>8.4 Verification Methods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18</w:t>
            </w:r>
            <w:r w:rsidRPr="00391C98">
              <w:rPr>
                <w:rFonts w:asciiTheme="minorBidi" w:hAnsiTheme="minorBidi" w:cstheme="minorBidi"/>
                <w:noProof/>
              </w:rPr>
              <w:fldChar w:fldCharType="end"/>
            </w:r>
          </w:hyperlink>
        </w:p>
        <w:p w14:paraId="24882B34"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12" w:history="1">
            <w:r w:rsidRPr="00391C98">
              <w:rPr>
                <w:rStyle w:val="a5"/>
                <w:rFonts w:asciiTheme="minorBidi" w:hAnsiTheme="minorBidi" w:cstheme="minorBidi"/>
                <w:noProof/>
              </w:rPr>
              <w:t>8.5 Research Leave and Sabbatical Interaction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18</w:t>
            </w:r>
            <w:r w:rsidRPr="00391C98">
              <w:rPr>
                <w:rFonts w:asciiTheme="minorBidi" w:hAnsiTheme="minorBidi" w:cstheme="minorBidi"/>
                <w:noProof/>
              </w:rPr>
              <w:fldChar w:fldCharType="end"/>
            </w:r>
          </w:hyperlink>
        </w:p>
        <w:p w14:paraId="16EE1E7E"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13" w:history="1">
            <w:r w:rsidRPr="00391C98">
              <w:rPr>
                <w:rStyle w:val="a5"/>
                <w:rFonts w:asciiTheme="minorBidi" w:hAnsiTheme="minorBidi" w:cstheme="minorBidi"/>
                <w:noProof/>
              </w:rPr>
              <w:t>9. Core Pillar III: Service, Administration, and Student Support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18</w:t>
            </w:r>
            <w:r w:rsidRPr="00391C98">
              <w:rPr>
                <w:rFonts w:asciiTheme="minorBidi" w:hAnsiTheme="minorBidi" w:cstheme="minorBidi"/>
                <w:noProof/>
              </w:rPr>
              <w:fldChar w:fldCharType="end"/>
            </w:r>
          </w:hyperlink>
        </w:p>
        <w:p w14:paraId="48148EE1"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14" w:history="1">
            <w:r w:rsidRPr="00391C98">
              <w:rPr>
                <w:rStyle w:val="a5"/>
                <w:rFonts w:asciiTheme="minorBidi" w:hAnsiTheme="minorBidi" w:cstheme="minorBidi"/>
                <w:noProof/>
              </w:rPr>
              <w:t>9.1 Objective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57BA360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15" w:history="1">
            <w:r w:rsidRPr="00391C98">
              <w:rPr>
                <w:rStyle w:val="a5"/>
                <w:rFonts w:asciiTheme="minorBidi" w:hAnsiTheme="minorBidi" w:cstheme="minorBidi"/>
                <w:noProof/>
              </w:rPr>
              <w:t>9.2 Rank-Specific Mentoring and Service Components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1DB7F17B"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16" w:history="1">
            <w:r w:rsidRPr="00391C98">
              <w:rPr>
                <w:rStyle w:val="a5"/>
                <w:rFonts w:asciiTheme="minorBidi" w:hAnsiTheme="minorBidi" w:cstheme="minorBidi"/>
                <w:noProof/>
              </w:rPr>
              <w:t>9.2.1 Professors: Doctoral Supervision and Advanced Guidance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34B7B8FA"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17" w:history="1">
            <w:r w:rsidRPr="00391C98">
              <w:rPr>
                <w:rStyle w:val="a5"/>
                <w:rFonts w:asciiTheme="minorBidi" w:hAnsiTheme="minorBidi" w:cstheme="minorBidi"/>
                <w:noProof/>
              </w:rPr>
              <w:t>9.2.2 Associate Professors: Master's Thesis Supervision and Program Advising</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074018A1"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18" w:history="1">
            <w:r w:rsidRPr="00391C98">
              <w:rPr>
                <w:rStyle w:val="a5"/>
                <w:rFonts w:asciiTheme="minorBidi" w:hAnsiTheme="minorBidi" w:cstheme="minorBidi"/>
                <w:noProof/>
              </w:rPr>
              <w:t>9.2.3 Lecturers and Assistants: Foundational Tutorials and Laboratory Support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40FD88BE" w14:textId="77777777" w:rsidR="00E64E4C" w:rsidRPr="00391C98" w:rsidRDefault="00E64E4C" w:rsidP="00E64E4C">
          <w:pPr>
            <w:pStyle w:val="30"/>
            <w:tabs>
              <w:tab w:val="right" w:leader="dot" w:pos="9530"/>
            </w:tabs>
            <w:jc w:val="both"/>
            <w:rPr>
              <w:rFonts w:asciiTheme="minorBidi" w:hAnsiTheme="minorBidi" w:cstheme="minorBidi"/>
              <w:noProof/>
            </w:rPr>
          </w:pPr>
          <w:hyperlink w:anchor="_Toc240901019" w:history="1">
            <w:r w:rsidRPr="00391C98">
              <w:rPr>
                <w:rStyle w:val="a5"/>
                <w:rFonts w:asciiTheme="minorBidi" w:hAnsiTheme="minorBidi" w:cstheme="minorBidi"/>
                <w:noProof/>
              </w:rPr>
              <w:t>9.2.4 Heads of Department / Program Directors: Strategic Leadership, QA, Peer Review, and Faculty Mentoring</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_Toc240901019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19</w:t>
            </w:r>
            <w:r w:rsidRPr="00391C98">
              <w:rPr>
                <w:rFonts w:asciiTheme="minorBidi" w:hAnsiTheme="minorBidi" w:cstheme="minorBidi"/>
                <w:noProof/>
              </w:rPr>
              <w:fldChar w:fldCharType="end"/>
            </w:r>
          </w:hyperlink>
        </w:p>
        <w:p w14:paraId="5973B9F6"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0" w:history="1">
            <w:r w:rsidRPr="00391C98">
              <w:rPr>
                <w:rStyle w:val="a5"/>
                <w:rFonts w:asciiTheme="minorBidi" w:hAnsiTheme="minorBidi" w:cstheme="minorBidi"/>
                <w:noProof/>
              </w:rPr>
              <w:t>9.3 Verification Methods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20</w:t>
            </w:r>
            <w:r w:rsidRPr="00391C98">
              <w:rPr>
                <w:rFonts w:asciiTheme="minorBidi" w:hAnsiTheme="minorBidi" w:cstheme="minorBidi"/>
                <w:noProof/>
              </w:rPr>
              <w:fldChar w:fldCharType="end"/>
            </w:r>
          </w:hyperlink>
        </w:p>
        <w:p w14:paraId="47B2038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1" w:history="1">
            <w:r w:rsidRPr="00391C98">
              <w:rPr>
                <w:rStyle w:val="a5"/>
                <w:rFonts w:asciiTheme="minorBidi" w:hAnsiTheme="minorBidi" w:cstheme="minorBidi"/>
                <w:noProof/>
              </w:rPr>
              <w:t>9.4 Quality Assurance as a Shared Institutional Obligation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20</w:t>
            </w:r>
            <w:r w:rsidRPr="00391C98">
              <w:rPr>
                <w:rFonts w:asciiTheme="minorBidi" w:hAnsiTheme="minorBidi" w:cstheme="minorBidi"/>
                <w:noProof/>
              </w:rPr>
              <w:fldChar w:fldCharType="end"/>
            </w:r>
          </w:hyperlink>
        </w:p>
        <w:p w14:paraId="133D76B5"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22" w:history="1">
            <w:r w:rsidRPr="00391C98">
              <w:rPr>
                <w:rStyle w:val="a5"/>
                <w:rFonts w:asciiTheme="minorBidi" w:hAnsiTheme="minorBidi" w:cstheme="minorBidi"/>
                <w:noProof/>
              </w:rPr>
              <w:t>10. Consolidated Evaluation Criteria and Verification Methods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20</w:t>
            </w:r>
            <w:r w:rsidRPr="00391C98">
              <w:rPr>
                <w:rFonts w:asciiTheme="minorBidi" w:hAnsiTheme="minorBidi" w:cstheme="minorBidi"/>
                <w:noProof/>
              </w:rPr>
              <w:fldChar w:fldCharType="end"/>
            </w:r>
          </w:hyperlink>
        </w:p>
        <w:p w14:paraId="37FFC77C"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23" w:history="1">
            <w:r w:rsidRPr="00391C98">
              <w:rPr>
                <w:rStyle w:val="a5"/>
                <w:rFonts w:asciiTheme="minorBidi" w:hAnsiTheme="minorBidi" w:cstheme="minorBidi"/>
                <w:noProof/>
              </w:rPr>
              <w:t>11. Workload Planning Process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21</w:t>
            </w:r>
            <w:r w:rsidRPr="00391C98">
              <w:rPr>
                <w:rFonts w:asciiTheme="minorBidi" w:hAnsiTheme="minorBidi" w:cstheme="minorBidi"/>
                <w:noProof/>
              </w:rPr>
              <w:fldChar w:fldCharType="end"/>
            </w:r>
          </w:hyperlink>
        </w:p>
        <w:p w14:paraId="6A94AFB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4" w:history="1">
            <w:r w:rsidRPr="00391C98">
              <w:rPr>
                <w:rStyle w:val="a5"/>
                <w:rFonts w:asciiTheme="minorBidi" w:hAnsiTheme="minorBidi" w:cstheme="minorBidi"/>
                <w:noProof/>
              </w:rPr>
              <w:t>11.1 Preparation of the Individual Workload Plan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21</w:t>
            </w:r>
            <w:r w:rsidRPr="00391C98">
              <w:rPr>
                <w:rFonts w:asciiTheme="minorBidi" w:hAnsiTheme="minorBidi" w:cstheme="minorBidi"/>
                <w:noProof/>
              </w:rPr>
              <w:fldChar w:fldCharType="end"/>
            </w:r>
          </w:hyperlink>
        </w:p>
        <w:p w14:paraId="65251CB9"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5" w:history="1">
            <w:r w:rsidRPr="00391C98">
              <w:rPr>
                <w:rStyle w:val="a5"/>
                <w:rFonts w:asciiTheme="minorBidi" w:hAnsiTheme="minorBidi" w:cstheme="minorBidi"/>
                <w:noProof/>
              </w:rPr>
              <w:t>11.2 Staff Member Review and Sign-Off</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5BCBD5F9"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6" w:history="1">
            <w:r w:rsidRPr="00391C98">
              <w:rPr>
                <w:rStyle w:val="a5"/>
                <w:rFonts w:asciiTheme="minorBidi" w:hAnsiTheme="minorBidi" w:cstheme="minorBidi"/>
                <w:noProof/>
              </w:rPr>
              <w:t>11.3 Faculty-Level Consolidation and Approval</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35DC9975"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7" w:history="1">
            <w:r w:rsidRPr="00391C98">
              <w:rPr>
                <w:rStyle w:val="a5"/>
                <w:rFonts w:asciiTheme="minorBidi" w:hAnsiTheme="minorBidi" w:cstheme="minorBidi"/>
                <w:noProof/>
              </w:rPr>
              <w:t>11.4 Mid-Year Review</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6AF7FBD6"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28" w:history="1">
            <w:r w:rsidRPr="00391C98">
              <w:rPr>
                <w:rStyle w:val="a5"/>
                <w:rFonts w:asciiTheme="minorBidi" w:hAnsiTheme="minorBidi" w:cstheme="minorBidi"/>
                <w:noProof/>
              </w:rPr>
              <w:t>12. Documentation and Evidence Management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468534E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29" w:history="1">
            <w:r w:rsidRPr="00391C98">
              <w:rPr>
                <w:rStyle w:val="a5"/>
                <w:rFonts w:asciiTheme="minorBidi" w:hAnsiTheme="minorBidi" w:cstheme="minorBidi"/>
                <w:noProof/>
              </w:rPr>
              <w:t>12.1 Recordkeeping Responsibility</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_Toc240901029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7F4A8A8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0" w:history="1">
            <w:r w:rsidRPr="00391C98">
              <w:rPr>
                <w:rStyle w:val="a5"/>
                <w:rFonts w:asciiTheme="minorBidi" w:hAnsiTheme="minorBidi" w:cstheme="minorBidi"/>
                <w:noProof/>
              </w:rPr>
              <w:t>12.2 Retention Period</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22</w:t>
            </w:r>
            <w:r w:rsidRPr="00391C98">
              <w:rPr>
                <w:rFonts w:asciiTheme="minorBidi" w:hAnsiTheme="minorBidi" w:cstheme="minorBidi"/>
                <w:noProof/>
              </w:rPr>
              <w:fldChar w:fldCharType="end"/>
            </w:r>
          </w:hyperlink>
        </w:p>
        <w:p w14:paraId="69B25C39"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1" w:history="1">
            <w:r w:rsidRPr="00391C98">
              <w:rPr>
                <w:rStyle w:val="a5"/>
                <w:rFonts w:asciiTheme="minorBidi" w:hAnsiTheme="minorBidi" w:cstheme="minorBidi"/>
                <w:noProof/>
              </w:rPr>
              <w:t>12.3 Digital Recordkeeping and Data Protection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23</w:t>
            </w:r>
            <w:r w:rsidRPr="00391C98">
              <w:rPr>
                <w:rFonts w:asciiTheme="minorBidi" w:hAnsiTheme="minorBidi" w:cstheme="minorBidi"/>
                <w:noProof/>
              </w:rPr>
              <w:fldChar w:fldCharType="end"/>
            </w:r>
          </w:hyperlink>
        </w:p>
        <w:p w14:paraId="7A88F39C"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32" w:history="1">
            <w:r w:rsidRPr="00391C98">
              <w:rPr>
                <w:rStyle w:val="a5"/>
                <w:rFonts w:asciiTheme="minorBidi" w:hAnsiTheme="minorBidi" w:cstheme="minorBidi"/>
                <w:noProof/>
              </w:rPr>
              <w:t>13. Annual Performance Appraisal Process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23</w:t>
            </w:r>
            <w:r w:rsidRPr="00391C98">
              <w:rPr>
                <w:rFonts w:asciiTheme="minorBidi" w:hAnsiTheme="minorBidi" w:cstheme="minorBidi"/>
                <w:noProof/>
              </w:rPr>
              <w:fldChar w:fldCharType="end"/>
            </w:r>
          </w:hyperlink>
        </w:p>
        <w:p w14:paraId="72F6A001"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3" w:history="1">
            <w:r w:rsidRPr="00391C98">
              <w:rPr>
                <w:rStyle w:val="a5"/>
                <w:rFonts w:asciiTheme="minorBidi" w:hAnsiTheme="minorBidi" w:cstheme="minorBidi"/>
                <w:noProof/>
              </w:rPr>
              <w:t>13.1 Appraisal Cycle and Timeline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23</w:t>
            </w:r>
            <w:r w:rsidRPr="00391C98">
              <w:rPr>
                <w:rFonts w:asciiTheme="minorBidi" w:hAnsiTheme="minorBidi" w:cstheme="minorBidi"/>
                <w:noProof/>
              </w:rPr>
              <w:fldChar w:fldCharType="end"/>
            </w:r>
          </w:hyperlink>
        </w:p>
        <w:p w14:paraId="7A653BC6"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4" w:history="1">
            <w:r w:rsidRPr="00391C98">
              <w:rPr>
                <w:rStyle w:val="a5"/>
                <w:rFonts w:asciiTheme="minorBidi" w:hAnsiTheme="minorBidi" w:cstheme="minorBidi"/>
                <w:noProof/>
              </w:rPr>
              <w:t>13.2 Self-Assessment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23</w:t>
            </w:r>
            <w:r w:rsidRPr="00391C98">
              <w:rPr>
                <w:rFonts w:asciiTheme="minorBidi" w:hAnsiTheme="minorBidi" w:cstheme="minorBidi"/>
                <w:noProof/>
              </w:rPr>
              <w:fldChar w:fldCharType="end"/>
            </w:r>
          </w:hyperlink>
        </w:p>
        <w:p w14:paraId="18B30D0C"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5" w:history="1">
            <w:r w:rsidRPr="00391C98">
              <w:rPr>
                <w:rStyle w:val="a5"/>
                <w:rFonts w:asciiTheme="minorBidi" w:hAnsiTheme="minorBidi" w:cstheme="minorBidi"/>
                <w:noProof/>
              </w:rPr>
              <w:t>13.3 Head of Department Assessment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23</w:t>
            </w:r>
            <w:r w:rsidRPr="00391C98">
              <w:rPr>
                <w:rFonts w:asciiTheme="minorBidi" w:hAnsiTheme="minorBidi" w:cstheme="minorBidi"/>
                <w:noProof/>
              </w:rPr>
              <w:fldChar w:fldCharType="end"/>
            </w:r>
          </w:hyperlink>
        </w:p>
        <w:p w14:paraId="2808516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6" w:history="1">
            <w:r w:rsidRPr="00391C98">
              <w:rPr>
                <w:rStyle w:val="a5"/>
                <w:rFonts w:asciiTheme="minorBidi" w:hAnsiTheme="minorBidi" w:cstheme="minorBidi"/>
                <w:noProof/>
              </w:rPr>
              <w:t>13.4 Faculty Performance Review Committee Determination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622810F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7" w:history="1">
            <w:r w:rsidRPr="00391C98">
              <w:rPr>
                <w:rStyle w:val="a5"/>
                <w:rFonts w:asciiTheme="minorBidi" w:hAnsiTheme="minorBidi" w:cstheme="minorBidi"/>
                <w:noProof/>
              </w:rPr>
              <w:t>13.5 Rating Categories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3620D709"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38" w:history="1">
            <w:r w:rsidRPr="00391C98">
              <w:rPr>
                <w:rStyle w:val="a5"/>
                <w:rFonts w:asciiTheme="minorBidi" w:hAnsiTheme="minorBidi" w:cstheme="minorBidi"/>
                <w:noProof/>
              </w:rPr>
              <w:t>13.6 Use of Appraisal Outcomes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24E64A4A"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39" w:history="1">
            <w:r w:rsidRPr="00391C98">
              <w:rPr>
                <w:rStyle w:val="a5"/>
                <w:rFonts w:asciiTheme="minorBidi" w:hAnsiTheme="minorBidi" w:cstheme="minorBidi"/>
                <w:noProof/>
              </w:rPr>
              <w:t>14. Workload Adjustments and Exceptional Circumstances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_Toc240901039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31BCC071"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0" w:history="1">
            <w:r w:rsidRPr="00391C98">
              <w:rPr>
                <w:rStyle w:val="a5"/>
                <w:rFonts w:asciiTheme="minorBidi" w:hAnsiTheme="minorBidi" w:cstheme="minorBidi"/>
                <w:noProof/>
              </w:rPr>
              <w:t>14.1 Leave and Absence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312F747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1" w:history="1">
            <w:r w:rsidRPr="00391C98">
              <w:rPr>
                <w:rStyle w:val="a5"/>
                <w:rFonts w:asciiTheme="minorBidi" w:hAnsiTheme="minorBidi" w:cstheme="minorBidi"/>
                <w:noProof/>
              </w:rPr>
              <w:t>14.2 Verified Overload</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24</w:t>
            </w:r>
            <w:r w:rsidRPr="00391C98">
              <w:rPr>
                <w:rFonts w:asciiTheme="minorBidi" w:hAnsiTheme="minorBidi" w:cstheme="minorBidi"/>
                <w:noProof/>
              </w:rPr>
              <w:fldChar w:fldCharType="end"/>
            </w:r>
          </w:hyperlink>
        </w:p>
        <w:p w14:paraId="0492A7C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2" w:history="1">
            <w:r w:rsidRPr="00391C98">
              <w:rPr>
                <w:rStyle w:val="a5"/>
                <w:rFonts w:asciiTheme="minorBidi" w:hAnsiTheme="minorBidi" w:cstheme="minorBidi"/>
                <w:noProof/>
              </w:rPr>
              <w:t>14.3 Underload and Reassignment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093C6FB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3" w:history="1">
            <w:r w:rsidRPr="00391C98">
              <w:rPr>
                <w:rStyle w:val="a5"/>
                <w:rFonts w:asciiTheme="minorBidi" w:hAnsiTheme="minorBidi" w:cstheme="minorBidi"/>
                <w:noProof/>
              </w:rPr>
              <w:t>14.4 Mid-Cycle Plan Amendment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6E9780B2"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44" w:history="1">
            <w:r w:rsidRPr="00391C98">
              <w:rPr>
                <w:rStyle w:val="a5"/>
                <w:rFonts w:asciiTheme="minorBidi" w:hAnsiTheme="minorBidi" w:cstheme="minorBidi"/>
                <w:noProof/>
              </w:rPr>
              <w:t>15. Roles and Responsibilities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4531211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5" w:history="1">
            <w:r w:rsidRPr="00391C98">
              <w:rPr>
                <w:rStyle w:val="a5"/>
                <w:rFonts w:asciiTheme="minorBidi" w:hAnsiTheme="minorBidi" w:cstheme="minorBidi"/>
                <w:noProof/>
              </w:rPr>
              <w:t>15.1 Academic Staff Member</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08CFC6C7"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6" w:history="1">
            <w:r w:rsidRPr="00391C98">
              <w:rPr>
                <w:rStyle w:val="a5"/>
                <w:rFonts w:asciiTheme="minorBidi" w:hAnsiTheme="minorBidi" w:cstheme="minorBidi"/>
                <w:noProof/>
              </w:rPr>
              <w:t>15.2 Head of Department / Program Director</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26097C16"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7" w:history="1">
            <w:r w:rsidRPr="00391C98">
              <w:rPr>
                <w:rStyle w:val="a5"/>
                <w:rFonts w:asciiTheme="minorBidi" w:hAnsiTheme="minorBidi" w:cstheme="minorBidi"/>
                <w:noProof/>
              </w:rPr>
              <w:t>15.3 Dean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25</w:t>
            </w:r>
            <w:r w:rsidRPr="00391C98">
              <w:rPr>
                <w:rFonts w:asciiTheme="minorBidi" w:hAnsiTheme="minorBidi" w:cstheme="minorBidi"/>
                <w:noProof/>
              </w:rPr>
              <w:fldChar w:fldCharType="end"/>
            </w:r>
          </w:hyperlink>
        </w:p>
        <w:p w14:paraId="54EA2FE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8" w:history="1">
            <w:r w:rsidRPr="00391C98">
              <w:rPr>
                <w:rStyle w:val="a5"/>
                <w:rFonts w:asciiTheme="minorBidi" w:hAnsiTheme="minorBidi" w:cstheme="minorBidi"/>
                <w:noProof/>
              </w:rPr>
              <w:t>15.4 Faculty Performance Review Committee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373BCD6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49" w:history="1">
            <w:r w:rsidRPr="00391C98">
              <w:rPr>
                <w:rStyle w:val="a5"/>
                <w:rFonts w:asciiTheme="minorBidi" w:hAnsiTheme="minorBidi" w:cstheme="minorBidi"/>
                <w:noProof/>
              </w:rPr>
              <w:t>15.5 Office of the Provost and Human Resources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_Toc240901049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0C442CF5"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0" w:history="1">
            <w:r w:rsidRPr="00391C98">
              <w:rPr>
                <w:rStyle w:val="a5"/>
                <w:rFonts w:asciiTheme="minorBidi" w:hAnsiTheme="minorBidi" w:cstheme="minorBidi"/>
                <w:noProof/>
              </w:rPr>
              <w:t>15.6 Quality Assurance Office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2E7D777D"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51" w:history="1">
            <w:r w:rsidRPr="00391C98">
              <w:rPr>
                <w:rStyle w:val="a5"/>
                <w:rFonts w:asciiTheme="minorBidi" w:hAnsiTheme="minorBidi" w:cstheme="minorBidi"/>
                <w:noProof/>
              </w:rPr>
              <w:t>16. Appeals and Grievance Procedures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1E5DD10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2" w:history="1">
            <w:r w:rsidRPr="00391C98">
              <w:rPr>
                <w:rStyle w:val="a5"/>
                <w:rFonts w:asciiTheme="minorBidi" w:hAnsiTheme="minorBidi" w:cstheme="minorBidi"/>
                <w:noProof/>
              </w:rPr>
              <w:t>16.1 Informal Resolution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1027B7A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3" w:history="1">
            <w:r w:rsidRPr="00391C98">
              <w:rPr>
                <w:rStyle w:val="a5"/>
                <w:rFonts w:asciiTheme="minorBidi" w:hAnsiTheme="minorBidi" w:cstheme="minorBidi"/>
                <w:noProof/>
              </w:rPr>
              <w:t>16.2 Formal Appeal to the Faculty Performance Review Committee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26</w:t>
            </w:r>
            <w:r w:rsidRPr="00391C98">
              <w:rPr>
                <w:rFonts w:asciiTheme="minorBidi" w:hAnsiTheme="minorBidi" w:cstheme="minorBidi"/>
                <w:noProof/>
              </w:rPr>
              <w:fldChar w:fldCharType="end"/>
            </w:r>
          </w:hyperlink>
        </w:p>
        <w:p w14:paraId="5EBC7207"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4" w:history="1">
            <w:r w:rsidRPr="00391C98">
              <w:rPr>
                <w:rStyle w:val="a5"/>
                <w:rFonts w:asciiTheme="minorBidi" w:hAnsiTheme="minorBidi" w:cstheme="minorBidi"/>
                <w:noProof/>
              </w:rPr>
              <w:t>16.3 Escalation to the Dean and Provost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7E6F6EE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5" w:history="1">
            <w:r w:rsidRPr="00391C98">
              <w:rPr>
                <w:rStyle w:val="a5"/>
                <w:rFonts w:asciiTheme="minorBidi" w:hAnsiTheme="minorBidi" w:cstheme="minorBidi"/>
                <w:noProof/>
              </w:rPr>
              <w:t>16.4 Non-Retaliation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13FD7CA4"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56" w:history="1">
            <w:r w:rsidRPr="00391C98">
              <w:rPr>
                <w:rStyle w:val="a5"/>
                <w:rFonts w:asciiTheme="minorBidi" w:hAnsiTheme="minorBidi" w:cstheme="minorBidi"/>
                <w:noProof/>
              </w:rPr>
              <w:t>17. Monitoring, Reporting, and Continuous Improvement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7EA35D64"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7" w:history="1">
            <w:r w:rsidRPr="00391C98">
              <w:rPr>
                <w:rStyle w:val="a5"/>
                <w:rFonts w:asciiTheme="minorBidi" w:hAnsiTheme="minorBidi" w:cstheme="minorBidi"/>
                <w:noProof/>
              </w:rPr>
              <w:t>17.1 Faculty-Level Reporting</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5C42BFE9"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8" w:history="1">
            <w:r w:rsidRPr="00391C98">
              <w:rPr>
                <w:rStyle w:val="a5"/>
                <w:rFonts w:asciiTheme="minorBidi" w:hAnsiTheme="minorBidi" w:cstheme="minorBidi"/>
                <w:noProof/>
              </w:rPr>
              <w:t>17.2 Institutional Dashboard and Trend Analysis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07C92DC8"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59" w:history="1">
            <w:r w:rsidRPr="00391C98">
              <w:rPr>
                <w:rStyle w:val="a5"/>
                <w:rFonts w:asciiTheme="minorBidi" w:hAnsiTheme="minorBidi" w:cstheme="minorBidi"/>
                <w:noProof/>
              </w:rPr>
              <w:t>17.3 Integration with Institutional Accreditation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_Toc240901059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27</w:t>
            </w:r>
            <w:r w:rsidRPr="00391C98">
              <w:rPr>
                <w:rFonts w:asciiTheme="minorBidi" w:hAnsiTheme="minorBidi" w:cstheme="minorBidi"/>
                <w:noProof/>
              </w:rPr>
              <w:fldChar w:fldCharType="end"/>
            </w:r>
          </w:hyperlink>
        </w:p>
        <w:p w14:paraId="4BEE06DB"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60" w:history="1">
            <w:r w:rsidRPr="00391C98">
              <w:rPr>
                <w:rStyle w:val="a5"/>
                <w:rFonts w:asciiTheme="minorBidi" w:hAnsiTheme="minorBidi" w:cstheme="minorBidi"/>
                <w:noProof/>
              </w:rPr>
              <w:t>18. Policy Review and Amendment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0589D80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61" w:history="1">
            <w:r w:rsidRPr="00391C98">
              <w:rPr>
                <w:rStyle w:val="a5"/>
                <w:rFonts w:asciiTheme="minorBidi" w:hAnsiTheme="minorBidi" w:cstheme="minorBidi"/>
                <w:noProof/>
              </w:rPr>
              <w:t>18.1 Standard Review Cycle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1432320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62" w:history="1">
            <w:r w:rsidRPr="00391C98">
              <w:rPr>
                <w:rStyle w:val="a5"/>
                <w:rFonts w:asciiTheme="minorBidi" w:hAnsiTheme="minorBidi" w:cstheme="minorBidi"/>
                <w:noProof/>
              </w:rPr>
              <w:t>18.2 Interim Amendment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64B719ED"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63" w:history="1">
            <w:r w:rsidRPr="00391C98">
              <w:rPr>
                <w:rStyle w:val="a5"/>
                <w:rFonts w:asciiTheme="minorBidi" w:hAnsiTheme="minorBidi" w:cstheme="minorBidi"/>
                <w:noProof/>
              </w:rPr>
              <w:t>18.3 Approval and Effective Date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5F6A86F1"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64" w:history="1">
            <w:r w:rsidRPr="00391C98">
              <w:rPr>
                <w:rStyle w:val="a5"/>
                <w:rFonts w:asciiTheme="minorBidi" w:hAnsiTheme="minorBidi" w:cstheme="minorBidi"/>
                <w:noProof/>
              </w:rPr>
              <w:t>18A. Staff Wellbeing and Sustainable Workload</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14C7B055"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65" w:history="1">
            <w:r w:rsidRPr="00391C98">
              <w:rPr>
                <w:rStyle w:val="a5"/>
                <w:rFonts w:asciiTheme="minorBidi" w:hAnsiTheme="minorBidi" w:cstheme="minorBidi"/>
                <w:noProof/>
              </w:rPr>
              <w:t>18A.1 Early Warning Indicators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28</w:t>
            </w:r>
            <w:r w:rsidRPr="00391C98">
              <w:rPr>
                <w:rFonts w:asciiTheme="minorBidi" w:hAnsiTheme="minorBidi" w:cstheme="minorBidi"/>
                <w:noProof/>
              </w:rPr>
              <w:fldChar w:fldCharType="end"/>
            </w:r>
          </w:hyperlink>
        </w:p>
        <w:p w14:paraId="4BC46C1E"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66" w:history="1">
            <w:r w:rsidRPr="00391C98">
              <w:rPr>
                <w:rStyle w:val="a5"/>
                <w:rFonts w:asciiTheme="minorBidi" w:hAnsiTheme="minorBidi" w:cstheme="minorBidi"/>
                <w:noProof/>
              </w:rPr>
              <w:t>18A.2 Support Resources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29</w:t>
            </w:r>
            <w:r w:rsidRPr="00391C98">
              <w:rPr>
                <w:rFonts w:asciiTheme="minorBidi" w:hAnsiTheme="minorBidi" w:cstheme="minorBidi"/>
                <w:noProof/>
              </w:rPr>
              <w:fldChar w:fldCharType="end"/>
            </w:r>
          </w:hyperlink>
        </w:p>
        <w:p w14:paraId="4974A06D"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67" w:history="1">
            <w:r w:rsidRPr="00391C98">
              <w:rPr>
                <w:rStyle w:val="a5"/>
                <w:rFonts w:asciiTheme="minorBidi" w:hAnsiTheme="minorBidi" w:cstheme="minorBidi"/>
                <w:noProof/>
              </w:rPr>
              <w:t>19. Implementation and Transitional Arrangements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29</w:t>
            </w:r>
            <w:r w:rsidRPr="00391C98">
              <w:rPr>
                <w:rFonts w:asciiTheme="minorBidi" w:hAnsiTheme="minorBidi" w:cstheme="minorBidi"/>
                <w:noProof/>
              </w:rPr>
              <w:fldChar w:fldCharType="end"/>
            </w:r>
          </w:hyperlink>
        </w:p>
        <w:p w14:paraId="1A3B5429"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68" w:history="1">
            <w:r w:rsidRPr="00391C98">
              <w:rPr>
                <w:rStyle w:val="a5"/>
                <w:rFonts w:asciiTheme="minorBidi" w:hAnsiTheme="minorBidi" w:cstheme="minorBidi"/>
                <w:noProof/>
              </w:rPr>
              <w:t>Annex A: Summary of Rank-Specific Workload Benchmarks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29</w:t>
            </w:r>
            <w:r w:rsidRPr="00391C98">
              <w:rPr>
                <w:rFonts w:asciiTheme="minorBidi" w:hAnsiTheme="minorBidi" w:cstheme="minorBidi"/>
                <w:noProof/>
              </w:rPr>
              <w:fldChar w:fldCharType="end"/>
            </w:r>
          </w:hyperlink>
        </w:p>
        <w:p w14:paraId="71186536"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69" w:history="1">
            <w:r w:rsidRPr="00391C98">
              <w:rPr>
                <w:rStyle w:val="a5"/>
                <w:rFonts w:asciiTheme="minorBidi" w:hAnsiTheme="minorBidi" w:cstheme="minorBidi"/>
                <w:noProof/>
              </w:rPr>
              <w:t>Annex B: Workload Plan Template — Required Fields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_Toc240901069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30</w:t>
            </w:r>
            <w:r w:rsidRPr="00391C98">
              <w:rPr>
                <w:rFonts w:asciiTheme="minorBidi" w:hAnsiTheme="minorBidi" w:cstheme="minorBidi"/>
                <w:noProof/>
              </w:rPr>
              <w:fldChar w:fldCharType="end"/>
            </w:r>
          </w:hyperlink>
        </w:p>
        <w:p w14:paraId="4FEFAAEC"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70" w:history="1">
            <w:r w:rsidRPr="00391C98">
              <w:rPr>
                <w:rStyle w:val="a5"/>
                <w:rFonts w:asciiTheme="minorBidi" w:hAnsiTheme="minorBidi" w:cstheme="minorBidi"/>
                <w:noProof/>
              </w:rPr>
              <w:t>Annex C: Frequently Asked Questions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30</w:t>
            </w:r>
            <w:r w:rsidRPr="00391C98">
              <w:rPr>
                <w:rFonts w:asciiTheme="minorBidi" w:hAnsiTheme="minorBidi" w:cstheme="minorBidi"/>
                <w:noProof/>
              </w:rPr>
              <w:fldChar w:fldCharType="end"/>
            </w:r>
          </w:hyperlink>
        </w:p>
        <w:p w14:paraId="387D0590"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1" w:history="1">
            <w:r w:rsidRPr="00391C98">
              <w:rPr>
                <w:rStyle w:val="a5"/>
                <w:rFonts w:asciiTheme="minorBidi" w:hAnsiTheme="minorBidi" w:cstheme="minorBidi"/>
                <w:noProof/>
              </w:rPr>
              <w:t>Does the 1,000-hour standard include annual leave?</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_Toc240901071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30</w:t>
            </w:r>
            <w:r w:rsidRPr="00391C98">
              <w:rPr>
                <w:rFonts w:asciiTheme="minorBidi" w:hAnsiTheme="minorBidi" w:cstheme="minorBidi"/>
                <w:noProof/>
              </w:rPr>
              <w:fldChar w:fldCharType="end"/>
            </w:r>
          </w:hyperlink>
        </w:p>
        <w:p w14:paraId="2F4B3962"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2" w:history="1">
            <w:r w:rsidRPr="00391C98">
              <w:rPr>
                <w:rStyle w:val="a5"/>
                <w:rFonts w:asciiTheme="minorBidi" w:hAnsiTheme="minorBidi" w:cstheme="minorBidi"/>
                <w:noProof/>
              </w:rPr>
              <w:t>What happens if my Workload Plan cannot be finalized before the start of the academic year?</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_Toc240901072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73E536CC"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3" w:history="1">
            <w:r w:rsidRPr="00391C98">
              <w:rPr>
                <w:rStyle w:val="a5"/>
                <w:rFonts w:asciiTheme="minorBidi" w:hAnsiTheme="minorBidi" w:cstheme="minorBidi"/>
                <w:noProof/>
              </w:rPr>
              <w:t>How are joint appointments across two departments handled?</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_Toc240901073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3B7413EA"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4" w:history="1">
            <w:r w:rsidRPr="00391C98">
              <w:rPr>
                <w:rStyle w:val="a5"/>
                <w:rFonts w:asciiTheme="minorBidi" w:hAnsiTheme="minorBidi" w:cstheme="minorBidi"/>
                <w:noProof/>
              </w:rPr>
              <w:t>Can research hours be carried forward from one year to the next?</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_Toc240901074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6F2CCFBF"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5" w:history="1">
            <w:r w:rsidRPr="00391C98">
              <w:rPr>
                <w:rStyle w:val="a5"/>
                <w:rFonts w:asciiTheme="minorBidi" w:hAnsiTheme="minorBidi" w:cstheme="minorBidi"/>
                <w:noProof/>
              </w:rPr>
              <w:t>Who decides which pillar an activity that spans two pillars is counted under?</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_Toc240901075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252AC721"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6" w:history="1">
            <w:r w:rsidRPr="00391C98">
              <w:rPr>
                <w:rStyle w:val="a5"/>
                <w:rFonts w:asciiTheme="minorBidi" w:hAnsiTheme="minorBidi" w:cstheme="minorBidi"/>
                <w:noProof/>
              </w:rPr>
              <w:t>How does this Guideline apply to a newly hired staff member joining mid-year?</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_Toc240901076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7525F076"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7" w:history="1">
            <w:r w:rsidRPr="00391C98">
              <w:rPr>
                <w:rStyle w:val="a5"/>
                <w:rFonts w:asciiTheme="minorBidi" w:hAnsiTheme="minorBidi" w:cstheme="minorBidi"/>
                <w:noProof/>
              </w:rPr>
              <w:t>What if a Head of Department and a staff member cannot agree on a Workload Plan?</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_Toc240901077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31</w:t>
            </w:r>
            <w:r w:rsidRPr="00391C98">
              <w:rPr>
                <w:rFonts w:asciiTheme="minorBidi" w:hAnsiTheme="minorBidi" w:cstheme="minorBidi"/>
                <w:noProof/>
              </w:rPr>
              <w:fldChar w:fldCharType="end"/>
            </w:r>
          </w:hyperlink>
        </w:p>
        <w:p w14:paraId="4B86D6E7" w14:textId="77777777" w:rsidR="00E64E4C" w:rsidRPr="00391C98" w:rsidRDefault="00E64E4C" w:rsidP="00E64E4C">
          <w:pPr>
            <w:pStyle w:val="20"/>
            <w:tabs>
              <w:tab w:val="right" w:leader="dot" w:pos="9530"/>
            </w:tabs>
            <w:jc w:val="both"/>
            <w:rPr>
              <w:rFonts w:asciiTheme="minorBidi" w:hAnsiTheme="minorBidi" w:cstheme="minorBidi"/>
              <w:noProof/>
            </w:rPr>
          </w:pPr>
          <w:hyperlink w:anchor="_Toc240901078" w:history="1">
            <w:r w:rsidRPr="00391C98">
              <w:rPr>
                <w:rStyle w:val="a5"/>
                <w:rFonts w:asciiTheme="minorBidi" w:hAnsiTheme="minorBidi" w:cstheme="minorBidi"/>
                <w:noProof/>
              </w:rPr>
              <w:t>Does exceeding the research benchmark offset a shortfall in teaching hours?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_Toc240901078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32</w:t>
            </w:r>
            <w:r w:rsidRPr="00391C98">
              <w:rPr>
                <w:rFonts w:asciiTheme="minorBidi" w:hAnsiTheme="minorBidi" w:cstheme="minorBidi"/>
                <w:noProof/>
              </w:rPr>
              <w:fldChar w:fldCharType="end"/>
            </w:r>
          </w:hyperlink>
        </w:p>
        <w:p w14:paraId="0EEF3576"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79" w:history="1">
            <w:r w:rsidRPr="00391C98">
              <w:rPr>
                <w:rStyle w:val="a5"/>
                <w:rFonts w:asciiTheme="minorBidi" w:hAnsiTheme="minorBidi" w:cstheme="minorBidi"/>
                <w:noProof/>
              </w:rPr>
              <w:t>Annex D: Document Control</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_Toc240901079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32</w:t>
            </w:r>
            <w:r w:rsidRPr="00391C98">
              <w:rPr>
                <w:rFonts w:asciiTheme="minorBidi" w:hAnsiTheme="minorBidi" w:cstheme="minorBidi"/>
                <w:noProof/>
              </w:rPr>
              <w:fldChar w:fldCharType="end"/>
            </w:r>
          </w:hyperlink>
        </w:p>
        <w:p w14:paraId="09E2A5AB" w14:textId="77777777" w:rsidR="00E64E4C" w:rsidRPr="00391C98" w:rsidRDefault="00E64E4C" w:rsidP="00E64E4C">
          <w:pPr>
            <w:pStyle w:val="11"/>
            <w:tabs>
              <w:tab w:val="right" w:leader="dot" w:pos="9530"/>
            </w:tabs>
            <w:jc w:val="both"/>
            <w:rPr>
              <w:rFonts w:asciiTheme="minorBidi" w:hAnsiTheme="minorBidi" w:cstheme="minorBidi"/>
              <w:noProof/>
            </w:rPr>
          </w:pPr>
          <w:hyperlink w:anchor="_Toc240901080" w:history="1">
            <w:r w:rsidRPr="00391C98">
              <w:rPr>
                <w:rStyle w:val="a5"/>
                <w:rFonts w:asciiTheme="minorBidi" w:hAnsiTheme="minorBidi" w:cstheme="minorBidi"/>
                <w:noProof/>
              </w:rPr>
              <w:t>Annex E: Glossary of Acronyms</w:t>
            </w:r>
            <w:r w:rsidRPr="00391C98">
              <w:rPr>
                <w:rFonts w:asciiTheme="minorBidi" w:hAnsiTheme="minorBidi" w:cstheme="minorBidi"/>
                <w:noProof/>
              </w:rPr>
              <w:tab/>
            </w:r>
            <w:r w:rsidRPr="00391C98">
              <w:rPr>
                <w:rFonts w:asciiTheme="minorBidi" w:hAnsiTheme="minorBidi" w:cstheme="minorBidi"/>
                <w:noProof/>
              </w:rPr>
              <w:fldChar w:fldCharType="begin"/>
            </w:r>
            <w:r w:rsidRPr="00391C98">
              <w:rPr>
                <w:rFonts w:asciiTheme="minorBidi" w:hAnsiTheme="minorBidi" w:cstheme="minorBidi"/>
                <w:noProof/>
              </w:rPr>
              <w:instrText xml:space="preserve"> PAGEREF _Toc240901080 \h </w:instrText>
            </w:r>
            <w:r w:rsidRPr="00391C98">
              <w:rPr>
                <w:rFonts w:asciiTheme="minorBidi" w:hAnsiTheme="minorBidi" w:cstheme="minorBidi"/>
                <w:noProof/>
              </w:rPr>
            </w:r>
            <w:r w:rsidRPr="00391C98">
              <w:rPr>
                <w:rFonts w:asciiTheme="minorBidi" w:hAnsiTheme="minorBidi" w:cstheme="minorBidi"/>
                <w:noProof/>
              </w:rPr>
              <w:fldChar w:fldCharType="separate"/>
            </w:r>
            <w:r w:rsidRPr="00391C98">
              <w:rPr>
                <w:rFonts w:asciiTheme="minorBidi" w:hAnsiTheme="minorBidi" w:cstheme="minorBidi"/>
                <w:noProof/>
              </w:rPr>
              <w:t>32</w:t>
            </w:r>
            <w:r w:rsidRPr="00391C98">
              <w:rPr>
                <w:rFonts w:asciiTheme="minorBidi" w:hAnsiTheme="minorBidi" w:cstheme="minorBidi"/>
                <w:noProof/>
              </w:rPr>
              <w:fldChar w:fldCharType="end"/>
            </w:r>
          </w:hyperlink>
        </w:p>
        <w:p w14:paraId="56FA54A1"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fldChar w:fldCharType="end"/>
          </w:r>
        </w:p>
      </w:sdtContent>
    </w:sdt>
    <w:p w14:paraId="5C8D9794"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rPr>
        <w:br w:type="page"/>
      </w:r>
    </w:p>
    <w:p w14:paraId="3EFCE29B" w14:textId="77777777" w:rsidR="00267268" w:rsidRPr="00391C98" w:rsidRDefault="00000000" w:rsidP="00E64E4C">
      <w:pPr>
        <w:pStyle w:val="1"/>
        <w:jc w:val="both"/>
        <w:rPr>
          <w:rFonts w:asciiTheme="minorBidi" w:hAnsiTheme="minorBidi" w:cstheme="minorBidi"/>
        </w:rPr>
      </w:pPr>
      <w:bookmarkStart w:id="1" w:name="_Toc240900972"/>
      <w:r w:rsidRPr="00391C98">
        <w:rPr>
          <w:rFonts w:asciiTheme="minorBidi" w:hAnsiTheme="minorBidi" w:cstheme="minorBidi"/>
        </w:rPr>
        <w:lastRenderedPageBreak/>
        <w:t>Executive Summary</w:t>
      </w:r>
      <w:bookmarkEnd w:id="1"/>
    </w:p>
    <w:p w14:paraId="068E25F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establishes a single, holistic annual workload standard of 1,000 hours for full-time academic staff, distributed across three Core Pillars — Teaching and Instruction; Research and Scholarly Activity; and Service, Administration, and Student Support — in proportions that vary systematically by academic rank.</w:t>
      </w:r>
    </w:p>
    <w:p w14:paraId="1653E793"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Heads of Department and Program Directors allocate 350 hours (35%) to teaching, 450 hours (45%) to research, and 200 hours (20%) to strategic leadership, quality assurance, and faculty mentoring. Professors allocate 350 hours (35%) to teaching, 500 hours (50%) to research, and 150 hours (15%) to doctoral supervision and advanced guidance. Associate Professors allocate 400 hours (40%) to teaching, 450 hours (45%) to research, and 150 hours (15%) to master's thesis supervision and program advising. Senior Lecturers, Lecturers, and Assistants allocate 450–500 hours (45–50%) to teaching, 350–400 hours (35–40%) to research, and 150 hours (15%) to foundational tutorials, laboratory support, and introductory advising.</w:t>
      </w:r>
    </w:p>
    <w:p w14:paraId="2BE7C0A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pillar is paired with a defined objective, a specific set of evaluation criteria, and a corresponding set of documentary Verification Methods — including teaching logs, Student Evaluation of Teaching scores, publication and grant records, and supervision and committee documentation — that together form the evidentiary basis for the University's annual performance appraisal process, described in full in Section 13.</w:t>
      </w:r>
    </w:p>
    <w:p w14:paraId="74D5AC3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Guideline further sets out the process for annual Workload Planning, the treatment of leave, overload, and underload, the roles and responsibilities of academic staff, Heads of Department, Deans, and Faculty Performance Review Committees, the appeals procedure available to staff who dispute a workload or appraisal determination, and the institutional mechanisms for monitoring, reporting, and periodically reviewing the Guideline itself.</w:t>
      </w:r>
    </w:p>
    <w:p w14:paraId="443D9280" w14:textId="77777777" w:rsidR="00267268" w:rsidRPr="00391C98" w:rsidRDefault="00000000" w:rsidP="00E64E4C">
      <w:pPr>
        <w:pStyle w:val="1"/>
        <w:jc w:val="both"/>
        <w:rPr>
          <w:rFonts w:asciiTheme="minorBidi" w:hAnsiTheme="minorBidi" w:cstheme="minorBidi"/>
        </w:rPr>
      </w:pPr>
      <w:bookmarkStart w:id="2" w:name="_Toc240900973"/>
      <w:r w:rsidRPr="00391C98">
        <w:rPr>
          <w:rFonts w:asciiTheme="minorBidi" w:hAnsiTheme="minorBidi" w:cstheme="minorBidi"/>
        </w:rPr>
        <w:t>Background and Institutional Context</w:t>
      </w:r>
      <w:bookmarkEnd w:id="2"/>
    </w:p>
    <w:p w14:paraId="092A1989"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Universities have historically struggled to express academic work in terms that are simultaneously fair, comparable, and sensitive to genuine differences in role and discipline. Teaching-hours-only workload models, still common across the sector, tend to undervalue research and service, creating perverse incentives that can erode both the currency of the curriculum and the institution's research standing over time. Purely output-based research metrics, applied without regard to teaching and service obligations, risk the opposite distortion, encouraging staff to minimize instructional engagement in ways that ultimately harm student outcomes.</w:t>
      </w:r>
    </w:p>
    <w:p w14:paraId="2F2258D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This Guideline was developed in response to those known shortcomings, and reflects a deliberate institutional choice to treat teaching, research, and service as co-equal, mutually reinforcing dimensions of academic practice rather than competing claims on a fixed pool of time. The 1,000-hour standard should be understood in that spirit: not as an accounting exercise, but as an explicit </w:t>
      </w:r>
      <w:r w:rsidRPr="00391C98">
        <w:rPr>
          <w:rFonts w:asciiTheme="minorBidi" w:hAnsiTheme="minorBidi" w:cstheme="minorBidi"/>
        </w:rPr>
        <w:lastRenderedPageBreak/>
        <w:t>statement of the University's expectations of what a full, balanced academic career looks like at each stage of seniority.</w:t>
      </w:r>
    </w:p>
    <w:p w14:paraId="53B7E3A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framework set out in this document was informed by comparable workload frameworks in use at peer institutions, by consultation with Deans, Heads of Department, and staff representative bodies during its drafting, and by the University's own accreditation and quality assurance obligations, which increasingly require institutions to demonstrate — with verifiable evidence — how academic effort is planned, distributed, and evaluated.</w:t>
      </w:r>
    </w:p>
    <w:p w14:paraId="50A6A2C4" w14:textId="77777777" w:rsidR="00267268" w:rsidRPr="00391C98" w:rsidRDefault="00000000" w:rsidP="00E64E4C">
      <w:pPr>
        <w:pStyle w:val="1"/>
        <w:jc w:val="both"/>
        <w:rPr>
          <w:rFonts w:asciiTheme="minorBidi" w:hAnsiTheme="minorBidi" w:cstheme="minorBidi"/>
        </w:rPr>
      </w:pPr>
      <w:bookmarkStart w:id="3" w:name="_Toc240900974"/>
      <w:r w:rsidRPr="00391C98">
        <w:rPr>
          <w:rFonts w:asciiTheme="minorBidi" w:hAnsiTheme="minorBidi" w:cstheme="minorBidi"/>
        </w:rPr>
        <w:t>Foreword</w:t>
      </w:r>
      <w:bookmarkEnd w:id="3"/>
    </w:p>
    <w:p w14:paraId="23BF0C2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University Guideline on Faculty Standard Workload and Performance Metrics establishes a unified, transparent, and equitable framework for defining, distributing, documenting, and evaluating the professional workload of academic staff across all faculties, schools, departments, and programs of the University. It is issued in recognition of the fact that the academic mission of a modern research university rests on three interdependent activities — teaching, research, and institutional service — and that the long-term health of the institution depends on protecting adequate, defensible, and rank-appropriate time for each.</w:t>
      </w:r>
    </w:p>
    <w:p w14:paraId="7341EA9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Guideline replaces informal, department-specific conventions for allocating teaching loads, research time, and administrative duties with a single institution-wide standard expressed in annual hours. It is designed to be sufficiently precise to support fair comparison across departments and sufficiently flexible to accommodate the genuine differences in mission and emphasis that distinguish a Head of Department from a newly appointed Assistant, or a laboratory-based discipline from a purely theoretical one.</w:t>
      </w:r>
    </w:p>
    <w:p w14:paraId="42D0919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document should be read by every member of the academic staff, every Head of Department and Program Director, every Dean, and every member of a Faculty Performance Review Committee. It is intended to be a living document: it will be reviewed on a regular cycle (see Section 18) and revised as the University's strategic priorities, accreditation requirements, and collective bargaining arrangements evolve.</w:t>
      </w:r>
    </w:p>
    <w:p w14:paraId="566D603C" w14:textId="77777777" w:rsidR="00267268" w:rsidRPr="00391C98" w:rsidRDefault="00000000" w:rsidP="00E64E4C">
      <w:pPr>
        <w:pStyle w:val="1"/>
        <w:jc w:val="both"/>
        <w:rPr>
          <w:rFonts w:asciiTheme="minorBidi" w:hAnsiTheme="minorBidi" w:cstheme="minorBidi"/>
        </w:rPr>
      </w:pPr>
      <w:bookmarkStart w:id="4" w:name="_Toc240900975"/>
      <w:r w:rsidRPr="00391C98">
        <w:rPr>
          <w:rFonts w:asciiTheme="minorBidi" w:hAnsiTheme="minorBidi" w:cstheme="minorBidi"/>
        </w:rPr>
        <w:t>1. Purpose and Objectives</w:t>
      </w:r>
      <w:bookmarkEnd w:id="4"/>
    </w:p>
    <w:p w14:paraId="3D11C19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purpose of this Guideline is to codify, in a single authoritative reference, the standard annual workload expected of academic staff at each rank, the methodology by which that workload is distributed across the three core pillars of academic practice, and the criteria and evidentiary methods used to verify and appraise performance against that standard.</w:t>
      </w:r>
    </w:p>
    <w:p w14:paraId="6D3D08AF" w14:textId="77777777" w:rsidR="00267268" w:rsidRPr="00391C98" w:rsidRDefault="00000000" w:rsidP="00E64E4C">
      <w:pPr>
        <w:pStyle w:val="2"/>
        <w:spacing w:before="240" w:after="160"/>
        <w:jc w:val="both"/>
        <w:rPr>
          <w:rFonts w:asciiTheme="minorBidi" w:hAnsiTheme="minorBidi" w:cstheme="minorBidi"/>
        </w:rPr>
      </w:pPr>
      <w:bookmarkStart w:id="5" w:name="_Toc240900976"/>
      <w:r w:rsidRPr="00391C98">
        <w:rPr>
          <w:rFonts w:asciiTheme="minorBidi" w:hAnsiTheme="minorBidi" w:cstheme="minorBidi"/>
        </w:rPr>
        <w:t>1.1 Objectives</w:t>
      </w:r>
      <w:bookmarkEnd w:id="5"/>
    </w:p>
    <w:p w14:paraId="5983165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is designed to achieve the following institutional objectives:</w:t>
      </w:r>
    </w:p>
    <w:p w14:paraId="14FBD4E8"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lastRenderedPageBreak/>
        <w:t>Establish a single, holistic annual workload benchmark of 1,000 hours applicable to all academic ranks, ensuring institution-wide consistency while allowing rank-specific differentiation.</w:t>
      </w:r>
    </w:p>
    <w:p w14:paraId="1C237398"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Protect balanced and defensible time allocations across Teaching and Instruction, Research and Scholarly Activity, and Service, Administration, and Student Support, so that no single pillar is systematically neglected in favor of another.</w:t>
      </w:r>
    </w:p>
    <w:p w14:paraId="1716413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Provide Heads of Department, Deans, and members of Faculty Performance Review Committees with an objective, evidence-based methodology for annual performance appraisal.</w:t>
      </w:r>
    </w:p>
    <w:p w14:paraId="4BD1DC1D"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Ensure that workload expectations are transparent to academic staff prior to the start of each academic year, thereby supporting effective personal and departmental planning.</w:t>
      </w:r>
    </w:p>
    <w:p w14:paraId="4CF6104A"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Support the University's institutional accreditation and quality assurance obligations by documenting, in a verifiable and auditable manner, how academic effort is distributed and evaluated.</w:t>
      </w:r>
    </w:p>
    <w:p w14:paraId="16DBB2DD"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Provide a consistent basis for resource planning, staffing decisions, promotion review, and merit-based recognition across the University.</w:t>
      </w:r>
    </w:p>
    <w:p w14:paraId="056982C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Safeguard the wellbeing of academic staff by preventing unsustainable or unstructured accumulation of duties beyond the standard annual allocation, and by providing a mechanism for formally recognizing and compensating verified overload.</w:t>
      </w:r>
    </w:p>
    <w:p w14:paraId="3BCBED5B" w14:textId="77777777" w:rsidR="00267268" w:rsidRPr="00391C98" w:rsidRDefault="00000000" w:rsidP="00E64E4C">
      <w:pPr>
        <w:pStyle w:val="1"/>
        <w:jc w:val="both"/>
        <w:rPr>
          <w:rFonts w:asciiTheme="minorBidi" w:hAnsiTheme="minorBidi" w:cstheme="minorBidi"/>
        </w:rPr>
      </w:pPr>
      <w:bookmarkStart w:id="6" w:name="_Toc240900977"/>
      <w:r w:rsidRPr="00391C98">
        <w:rPr>
          <w:rFonts w:asciiTheme="minorBidi" w:hAnsiTheme="minorBidi" w:cstheme="minorBidi"/>
        </w:rPr>
        <w:t>2. Scope and Applicability</w:t>
      </w:r>
      <w:bookmarkEnd w:id="6"/>
    </w:p>
    <w:p w14:paraId="195D91B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applies to all full-time academic staff holding a substantive appointment at the University, including but not limited to the following ranks: Heads of Department and Program Directors, Professors, Associate Professors, Senior Lecturers, Lecturers, and Assistants. It applies uniformly across all faculties, schools, institutes, and departments, subject to the discipline-specific adjustments described in Section 8.5.</w:t>
      </w:r>
    </w:p>
    <w:p w14:paraId="35AB717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Guideline governs the academic year as defined in the University Academic Calendar, and workload calculations described herein are expressed as annual totals unless otherwise specified. Where an academic staff member holds a joint, part-time, or fractional appointment, the 1,000-hour standard and its component benchmarks are prorated in direct proportion to the percentage of full-time equivalent (FTE) employment specified in the staff member's contract.</w:t>
      </w:r>
    </w:p>
    <w:p w14:paraId="0D2CE29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does not, by itself, govern the terms of employment, salary scales, disciplinary procedures, or grievance mechanisms unrelated to workload and performance appraisal; those matters remain governed by the University's Human Resources Policy, the applicable Collective Employment Agreement, and any Faculty-specific bylaws, except where those instruments expressly incorporate this Guideline by reference.</w:t>
      </w:r>
    </w:p>
    <w:p w14:paraId="0DFD4DB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Visiting faculty, adjunct faculty, emeritus faculty engaged on a contractual basis, and postdoctoral researchers are governed by separate, tailored workload arrangements that may reference this Guideline for structural guidance but are not bound by its rank-specific hour allocations unless their appointment letter states otherwise.</w:t>
      </w:r>
    </w:p>
    <w:p w14:paraId="499C1CCF" w14:textId="77777777" w:rsidR="00267268" w:rsidRPr="00391C98" w:rsidRDefault="00000000" w:rsidP="00E64E4C">
      <w:pPr>
        <w:pStyle w:val="1"/>
        <w:jc w:val="both"/>
        <w:rPr>
          <w:rFonts w:asciiTheme="minorBidi" w:hAnsiTheme="minorBidi" w:cstheme="minorBidi"/>
        </w:rPr>
      </w:pPr>
      <w:bookmarkStart w:id="7" w:name="_Toc240900978"/>
      <w:r w:rsidRPr="00391C98">
        <w:rPr>
          <w:rFonts w:asciiTheme="minorBidi" w:hAnsiTheme="minorBidi" w:cstheme="minorBidi"/>
        </w:rPr>
        <w:t>3. Definitions and Key Terms</w:t>
      </w:r>
      <w:bookmarkEnd w:id="7"/>
    </w:p>
    <w:p w14:paraId="050A002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For the purposes of this Guideline, the following terms shall have the meanings set out below. Where a term is used elsewhere in University policy with a different meaning, the definition given here governs solely for the interpretation of this document.</w:t>
      </w:r>
    </w:p>
    <w:p w14:paraId="6BB5830E"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Annual Standard Workload:  </w:t>
      </w:r>
      <w:r w:rsidRPr="00391C98">
        <w:rPr>
          <w:rFonts w:asciiTheme="minorBidi" w:hAnsiTheme="minorBidi" w:cstheme="minorBidi"/>
        </w:rPr>
        <w:t>The total professional effort expected of a full-time academic staff member over one academic year, fixed at 1,000 hours for the purposes of this Guideline, and distributed across the three Core Pillars in rank-specific proportions.</w:t>
      </w:r>
    </w:p>
    <w:p w14:paraId="2D719F95"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Core Pillar:  </w:t>
      </w:r>
      <w:r w:rsidRPr="00391C98">
        <w:rPr>
          <w:rFonts w:asciiTheme="minorBidi" w:hAnsiTheme="minorBidi" w:cstheme="minorBidi"/>
        </w:rPr>
        <w:t>One of the three major domains of academic activity recognized by this Guideline: (I) Teaching and Instruction, (II) Research and Scholarly Activity, and (III) Service, Administration, and Student Support (including mentoring and quality assurance).</w:t>
      </w:r>
    </w:p>
    <w:p w14:paraId="7B03D564"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Contact Hours:  </w:t>
      </w:r>
      <w:r w:rsidRPr="00391C98">
        <w:rPr>
          <w:rFonts w:asciiTheme="minorBidi" w:hAnsiTheme="minorBidi" w:cstheme="minorBidi"/>
        </w:rPr>
        <w:t>Scheduled, timetabled hours during which an academic staff member is directly engaged in delivering instruction to students, including lectures, seminars, laboratory sessions, studio instruction, clinical supervision, and formally scheduled office hours.</w:t>
      </w:r>
    </w:p>
    <w:p w14:paraId="5D1E5B5B"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Rank-Specific Benchmark:  </w:t>
      </w:r>
      <w:r w:rsidRPr="00391C98">
        <w:rPr>
          <w:rFonts w:asciiTheme="minorBidi" w:hAnsiTheme="minorBidi" w:cstheme="minorBidi"/>
        </w:rPr>
        <w:t>The fixed or ranged number of hours, expressed both in absolute hours and as a percentage of the 1,000-hour standard, that a given academic rank is expected to allocate to each Core Pillar.</w:t>
      </w:r>
    </w:p>
    <w:p w14:paraId="70A39FFA"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Verification Method:  </w:t>
      </w:r>
      <w:r w:rsidRPr="00391C98">
        <w:rPr>
          <w:rFonts w:asciiTheme="minorBidi" w:hAnsiTheme="minorBidi" w:cstheme="minorBidi"/>
        </w:rPr>
        <w:t>Any documentary or systemic evidence — such as teaching logs, publication records, or committee minutes — accepted by the University as valid proof that a stated activity, and the hours associated with it, actually occurred.</w:t>
      </w:r>
    </w:p>
    <w:p w14:paraId="503D2591"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Student Evaluation of Teaching (SET):  </w:t>
      </w:r>
      <w:r w:rsidRPr="00391C98">
        <w:rPr>
          <w:rFonts w:asciiTheme="minorBidi" w:hAnsiTheme="minorBidi" w:cstheme="minorBidi"/>
        </w:rPr>
        <w:t>The standardized instrument administered to students at the end of each teaching period to gather structured feedback on instructional quality, used as one component of the evidence base for Pillar I.</w:t>
      </w:r>
    </w:p>
    <w:p w14:paraId="54D70D4E"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Full-Time Equivalent (FTE):  </w:t>
      </w:r>
      <w:r w:rsidRPr="00391C98">
        <w:rPr>
          <w:rFonts w:asciiTheme="minorBidi" w:hAnsiTheme="minorBidi" w:cstheme="minorBidi"/>
        </w:rPr>
        <w:t>A standardized unit expressing the proportion of a full-time annual workload (1,000 hours) that a given appointment represents; an academic staff member employed at 0.5 FTE is expected to complete 500 standard hours, distributed proportionally across the three pillars according to their rank.</w:t>
      </w:r>
    </w:p>
    <w:p w14:paraId="59265D2D"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Workload Plan:  </w:t>
      </w:r>
      <w:r w:rsidRPr="00391C98">
        <w:rPr>
          <w:rFonts w:asciiTheme="minorBidi" w:hAnsiTheme="minorBidi" w:cstheme="minorBidi"/>
        </w:rPr>
        <w:t>The individualized, department-approved document prepared at the start of each academic year that allocates a staff member's 1,000 standard hours across specific courses, research projects, and service or mentoring duties.</w:t>
      </w:r>
    </w:p>
    <w:p w14:paraId="2FD15A25"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lastRenderedPageBreak/>
        <w:t xml:space="preserve">Verified Overload:  </w:t>
      </w:r>
      <w:r w:rsidRPr="00391C98">
        <w:rPr>
          <w:rFonts w:asciiTheme="minorBidi" w:hAnsiTheme="minorBidi" w:cstheme="minorBidi"/>
        </w:rPr>
        <w:t>Hours of academic activity performed beyond the 1,000-hour annual standard that have been documented, approved in advance where required, and confirmed through the applicable Verification Methods.</w:t>
      </w:r>
    </w:p>
    <w:p w14:paraId="0D7C0C45"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Faculty Performance Review Committee (FPRC):  </w:t>
      </w:r>
      <w:r w:rsidRPr="00391C98">
        <w:rPr>
          <w:rFonts w:asciiTheme="minorBidi" w:hAnsiTheme="minorBidi" w:cstheme="minorBidi"/>
        </w:rPr>
        <w:t>The body constituted at faculty or departmental level, chaired by the Dean or delegate, responsible for reviewing workload plans, appraising annual performance against this Guideline, and adjudicating workload-related appeals in the first instance.</w:t>
      </w:r>
    </w:p>
    <w:p w14:paraId="6AEF69D6"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Quality Assurance (QA) Activity:  </w:t>
      </w:r>
      <w:r w:rsidRPr="00391C98">
        <w:rPr>
          <w:rFonts w:asciiTheme="minorBidi" w:hAnsiTheme="minorBidi" w:cstheme="minorBidi"/>
        </w:rPr>
        <w:t>Institutional processes — including curriculum review, program accreditation self-studies, peer observation of teaching, and external examiner liaison — through which the University verifies and improves the standards of its academic programs.</w:t>
      </w:r>
    </w:p>
    <w:p w14:paraId="7DBC2E79" w14:textId="77777777" w:rsidR="00267268" w:rsidRPr="00391C98" w:rsidRDefault="00000000" w:rsidP="00E64E4C">
      <w:pPr>
        <w:pStyle w:val="1"/>
        <w:jc w:val="both"/>
        <w:rPr>
          <w:rFonts w:asciiTheme="minorBidi" w:hAnsiTheme="minorBidi" w:cstheme="minorBidi"/>
        </w:rPr>
      </w:pPr>
      <w:bookmarkStart w:id="8" w:name="_Toc240900979"/>
      <w:r w:rsidRPr="00391C98">
        <w:rPr>
          <w:rFonts w:asciiTheme="minorBidi" w:hAnsiTheme="minorBidi" w:cstheme="minorBidi"/>
        </w:rPr>
        <w:t>4. Guiding Principles</w:t>
      </w:r>
      <w:bookmarkEnd w:id="8"/>
    </w:p>
    <w:p w14:paraId="374FE25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rests on a small number of foundational principles that govern how it should be interpreted and applied by Deans, Heads of Department, and members of Faculty Performance Review Committees whenever a specific case is not explicitly addressed by the rules below.</w:t>
      </w:r>
    </w:p>
    <w:p w14:paraId="0EAB5D0E" w14:textId="77777777" w:rsidR="00267268" w:rsidRPr="00391C98" w:rsidRDefault="00000000" w:rsidP="00E64E4C">
      <w:pPr>
        <w:pStyle w:val="2"/>
        <w:spacing w:before="240" w:after="160"/>
        <w:jc w:val="both"/>
        <w:rPr>
          <w:rFonts w:asciiTheme="minorBidi" w:hAnsiTheme="minorBidi" w:cstheme="minorBidi"/>
        </w:rPr>
      </w:pPr>
      <w:bookmarkStart w:id="9" w:name="_Toc240900980"/>
      <w:r w:rsidRPr="00391C98">
        <w:rPr>
          <w:rFonts w:asciiTheme="minorBidi" w:hAnsiTheme="minorBidi" w:cstheme="minorBidi"/>
        </w:rPr>
        <w:t>4.1 Holistic Assessment</w:t>
      </w:r>
      <w:bookmarkEnd w:id="9"/>
    </w:p>
    <w:p w14:paraId="5F1DAB1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No single Core Pillar may be used in isolation to determine an academic staff member's overall performance rating. Appraisal is holistic: a staff member's annual performance is assessed as a composite of their contribution across all three pillars, weighted according to their rank-specific benchmarks, and no exceptional performance in one pillar may be used to excuse a substantive and unexplained shortfall in another without the documented approval described in Section 15.</w:t>
      </w:r>
    </w:p>
    <w:p w14:paraId="103881DF" w14:textId="77777777" w:rsidR="00267268" w:rsidRPr="00391C98" w:rsidRDefault="00000000" w:rsidP="00E64E4C">
      <w:pPr>
        <w:pStyle w:val="2"/>
        <w:spacing w:before="240" w:after="160"/>
        <w:jc w:val="both"/>
        <w:rPr>
          <w:rFonts w:asciiTheme="minorBidi" w:hAnsiTheme="minorBidi" w:cstheme="minorBidi"/>
        </w:rPr>
      </w:pPr>
      <w:bookmarkStart w:id="10" w:name="_Toc240900981"/>
      <w:r w:rsidRPr="00391C98">
        <w:rPr>
          <w:rFonts w:asciiTheme="minorBidi" w:hAnsiTheme="minorBidi" w:cstheme="minorBidi"/>
        </w:rPr>
        <w:t>4.2 Protected and Balanced Time</w:t>
      </w:r>
      <w:bookmarkEnd w:id="10"/>
    </w:p>
    <w:p w14:paraId="62DB018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1,000-hour annual ceiling is a protective mechanism as much as an accountability mechanism. Heads of Department and Deans are responsible for ensuring that departmental scheduling, committee assignments, and administrative requests do not cause academic staff to exceed their standard workload without either formal overload recognition or a corresponding reduction elsewhere in their workload plan.</w:t>
      </w:r>
    </w:p>
    <w:p w14:paraId="06D7919C" w14:textId="77777777" w:rsidR="00267268" w:rsidRPr="00391C98" w:rsidRDefault="00000000" w:rsidP="00E64E4C">
      <w:pPr>
        <w:pStyle w:val="2"/>
        <w:spacing w:before="240" w:after="160"/>
        <w:jc w:val="both"/>
        <w:rPr>
          <w:rFonts w:asciiTheme="minorBidi" w:hAnsiTheme="minorBidi" w:cstheme="minorBidi"/>
        </w:rPr>
      </w:pPr>
      <w:bookmarkStart w:id="11" w:name="_Toc240900982"/>
      <w:r w:rsidRPr="00391C98">
        <w:rPr>
          <w:rFonts w:asciiTheme="minorBidi" w:hAnsiTheme="minorBidi" w:cstheme="minorBidi"/>
        </w:rPr>
        <w:t>4.3 Rank-Appropriate Differentiation</w:t>
      </w:r>
      <w:bookmarkEnd w:id="11"/>
    </w:p>
    <w:p w14:paraId="16F9CC2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University recognizes that the balance of teaching, research, and service responsibilities appropriately shifts across an academic career. Leadership roles carry a reduced teaching load in exchange for strategic and governance responsibilities; senior research-active ranks carry an increased research allocation in exchange for advanced supervisory duties; and entry-level instructional ranks carry a higher proportion of direct student contact in exchange for a correspondingly lighter, though still substantive, research expectation. These differentiated benchmarks are described in full in Section 8.</w:t>
      </w:r>
    </w:p>
    <w:p w14:paraId="081A2D78" w14:textId="77777777" w:rsidR="00267268" w:rsidRPr="00391C98" w:rsidRDefault="00000000" w:rsidP="00E64E4C">
      <w:pPr>
        <w:pStyle w:val="2"/>
        <w:spacing w:before="240" w:after="160"/>
        <w:jc w:val="both"/>
        <w:rPr>
          <w:rFonts w:asciiTheme="minorBidi" w:hAnsiTheme="minorBidi" w:cstheme="minorBidi"/>
        </w:rPr>
      </w:pPr>
      <w:bookmarkStart w:id="12" w:name="_Toc240900983"/>
      <w:r w:rsidRPr="00391C98">
        <w:rPr>
          <w:rFonts w:asciiTheme="minorBidi" w:hAnsiTheme="minorBidi" w:cstheme="minorBidi"/>
        </w:rPr>
        <w:lastRenderedPageBreak/>
        <w:t>4.4 Transparency and Advance Notice</w:t>
      </w:r>
      <w:bookmarkEnd w:id="12"/>
    </w:p>
    <w:p w14:paraId="6F4F0FA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Every academic staff member is entitled to know, before the start of the academic year, what is expected of them under this Guideline, and to have their individual Workload Plan formally approved and documented before teaching assignments are finalized. Retroactive changes to an approved Workload Plan are permitted only under the exceptional circumstances described in Section 14.</w:t>
      </w:r>
    </w:p>
    <w:p w14:paraId="4717BF26" w14:textId="77777777" w:rsidR="00267268" w:rsidRPr="00391C98" w:rsidRDefault="00000000" w:rsidP="00E64E4C">
      <w:pPr>
        <w:pStyle w:val="2"/>
        <w:spacing w:before="240" w:after="160"/>
        <w:jc w:val="both"/>
        <w:rPr>
          <w:rFonts w:asciiTheme="minorBidi" w:hAnsiTheme="minorBidi" w:cstheme="minorBidi"/>
        </w:rPr>
      </w:pPr>
      <w:bookmarkStart w:id="13" w:name="_Toc240900984"/>
      <w:r w:rsidRPr="00391C98">
        <w:rPr>
          <w:rFonts w:asciiTheme="minorBidi" w:hAnsiTheme="minorBidi" w:cstheme="minorBidi"/>
        </w:rPr>
        <w:t>4.5 Evidence-Based Verification</w:t>
      </w:r>
      <w:bookmarkEnd w:id="13"/>
    </w:p>
    <w:p w14:paraId="750CF409"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Every hour claimed under any of the three Core Pillars must be capable of verification through one or more of the documentary methods described in Section 12. Self-reported hours that cannot be corroborated by teaching logs, publication records, committee minutes, or an equivalent institutional record are not counted toward fulfillment of the standard workload for appraisal purposes.</w:t>
      </w:r>
    </w:p>
    <w:p w14:paraId="0CFAF84E" w14:textId="77777777" w:rsidR="00267268" w:rsidRPr="00391C98" w:rsidRDefault="00000000" w:rsidP="00E64E4C">
      <w:pPr>
        <w:pStyle w:val="2"/>
        <w:spacing w:before="240" w:after="160"/>
        <w:jc w:val="both"/>
        <w:rPr>
          <w:rFonts w:asciiTheme="minorBidi" w:hAnsiTheme="minorBidi" w:cstheme="minorBidi"/>
        </w:rPr>
      </w:pPr>
      <w:bookmarkStart w:id="14" w:name="_Toc240900985"/>
      <w:r w:rsidRPr="00391C98">
        <w:rPr>
          <w:rFonts w:asciiTheme="minorBidi" w:hAnsiTheme="minorBidi" w:cstheme="minorBidi"/>
        </w:rPr>
        <w:t>4.6 Proportionality and Fairness</w:t>
      </w:r>
      <w:bookmarkEnd w:id="14"/>
    </w:p>
    <w:p w14:paraId="131485B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Deviations from the standard benchmarks — whether due to part-time appointment, approved research leave, parental or medical leave, discipline-specific teaching intensity, or externally funded project obligations — must be addressed through explicit, documented proration or adjustment rather than through informal tolerance. This ensures that comparisons of performance across staff members, departments, and appraisal cycles remain meaningful and fair.</w:t>
      </w:r>
    </w:p>
    <w:p w14:paraId="155A1B2B" w14:textId="77777777" w:rsidR="00267268" w:rsidRPr="00391C98" w:rsidRDefault="00000000" w:rsidP="00E64E4C">
      <w:pPr>
        <w:pStyle w:val="1"/>
        <w:jc w:val="both"/>
        <w:rPr>
          <w:rFonts w:asciiTheme="minorBidi" w:hAnsiTheme="minorBidi" w:cstheme="minorBidi"/>
        </w:rPr>
      </w:pPr>
      <w:bookmarkStart w:id="15" w:name="_Toc240900986"/>
      <w:r w:rsidRPr="00391C98">
        <w:rPr>
          <w:rFonts w:asciiTheme="minorBidi" w:hAnsiTheme="minorBidi" w:cstheme="minorBidi"/>
        </w:rPr>
        <w:t>5. The 1,000-Hour Standard Workload Framework</w:t>
      </w:r>
      <w:bookmarkEnd w:id="15"/>
    </w:p>
    <w:p w14:paraId="3CD0ECC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cornerstone of this Guideline is a single, university-wide annual workload standard of 1,000 hours for a full-time academic staff member, distributed across the three Core Pillars described in Section 6. This figure represents the University's formal definition of a full academic year of professional effort and is the denominator against which all rank-specific benchmarks, all overload calculations, and all proration adjustments are made.</w:t>
      </w:r>
    </w:p>
    <w:p w14:paraId="3617816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1,000-hour figure is deliberately holistic. It is not a minimum floor beneath which staff are expected to work additional uncompensated hours, nor is it a ceiling that staff are expected to reach exactly to the hour; it is a planning and appraisal standard describing the University's expectation of a balanced full-time academic contribution across an academic year, ordinarily spanning the equivalent of two semesters or three trimesters inclusive of the examination and assessment periods, but exclusive of approved annual leave.</w:t>
      </w:r>
    </w:p>
    <w:p w14:paraId="3ECD203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Three features distinguish this framework from a simple teaching-hours quota system. First, it is comprehensive: it accounts for research and service activity with the same rigor traditionally reserved for classroom contact hours. Second, it is differentiated by rank: the proportion of the 1,000 hours allocated to each pillar shifts systematically as an academic staff member progresses from an entry-level instructional rank toward a Professorship or departmental leadership role. Third, it is verifiable: each pillar is paired with specific, auditable Verification Methods, described in Section </w:t>
      </w:r>
      <w:r w:rsidRPr="00391C98">
        <w:rPr>
          <w:rFonts w:asciiTheme="minorBidi" w:hAnsiTheme="minorBidi" w:cstheme="minorBidi"/>
        </w:rPr>
        <w:lastRenderedPageBreak/>
        <w:t>12, so that the standard can be defended in accreditation reviews, promotion cases, and, where necessary, formal grievance proceedings.</w:t>
      </w:r>
    </w:p>
    <w:p w14:paraId="5E59D437" w14:textId="77777777" w:rsidR="00267268" w:rsidRPr="00391C98" w:rsidRDefault="00000000" w:rsidP="00E64E4C">
      <w:pPr>
        <w:pStyle w:val="2"/>
        <w:spacing w:before="240" w:after="160"/>
        <w:jc w:val="both"/>
        <w:rPr>
          <w:rFonts w:asciiTheme="minorBidi" w:hAnsiTheme="minorBidi" w:cstheme="minorBidi"/>
        </w:rPr>
      </w:pPr>
      <w:bookmarkStart w:id="16" w:name="_Toc240900987"/>
      <w:r w:rsidRPr="00391C98">
        <w:rPr>
          <w:rFonts w:asciiTheme="minorBidi" w:hAnsiTheme="minorBidi" w:cstheme="minorBidi"/>
        </w:rPr>
        <w:t>5.1 The Three Core Pillars</w:t>
      </w:r>
      <w:bookmarkEnd w:id="16"/>
    </w:p>
    <w:p w14:paraId="372F33F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All academic activity recognized under this Guideline is classified into exactly one of three Core Pillars. Where an activity plausibly spans more than one pillar — for example, a research-informed capstone course that also involves formal student mentoring — the Head of Department shall, at the Workload Planning stage described in Section 13, determine and document the pillar to which the hours are attributed, in consultation with the staff member, in order to avoid double-counting.</w:t>
      </w:r>
    </w:p>
    <w:p w14:paraId="28E8AF52"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 — Teaching and Instruction: the delivery of contact hours, course design and preparation, direct student engagement, and the assessment of learning outcomes.</w:t>
      </w:r>
    </w:p>
    <w:p w14:paraId="019A9F8E"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II — Research and Scholarly Activity: disciplinary inquiry, publication, grant acquisition, conference participation, and the translation of research findings into curriculum content.</w:t>
      </w:r>
    </w:p>
    <w:p w14:paraId="23E7B7F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III — Service, Administration, and Student Support: institutional leadership and governance, quality assurance, formal student mentoring and supervision, and academic advising.</w:t>
      </w:r>
    </w:p>
    <w:p w14:paraId="0B8A67F7" w14:textId="77777777" w:rsidR="00267268" w:rsidRPr="00391C98" w:rsidRDefault="00000000" w:rsidP="00E64E4C">
      <w:pPr>
        <w:pStyle w:val="2"/>
        <w:spacing w:before="240" w:after="160"/>
        <w:jc w:val="both"/>
        <w:rPr>
          <w:rFonts w:asciiTheme="minorBidi" w:hAnsiTheme="minorBidi" w:cstheme="minorBidi"/>
        </w:rPr>
      </w:pPr>
      <w:bookmarkStart w:id="17" w:name="_Toc240900988"/>
      <w:r w:rsidRPr="00391C98">
        <w:rPr>
          <w:rFonts w:asciiTheme="minorBidi" w:hAnsiTheme="minorBidi" w:cstheme="minorBidi"/>
        </w:rPr>
        <w:t>5.2 Relationship to Other University Instruments</w:t>
      </w:r>
      <w:bookmarkEnd w:id="17"/>
    </w:p>
    <w:p w14:paraId="57C321C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operates alongside, and does not supersede, the University's Academic Promotion Policy, Research Output Policy, and Collective Employment Agreement. Where a conflict arises between the workload benchmarks described in this Guideline and a specific contractual entitlement of an individual staff member, the contractual entitlement prevails, and the Office of the Provost shall be notified so that the conflict can be resolved at the next scheduled review of this Guideline.</w:t>
      </w:r>
    </w:p>
    <w:p w14:paraId="73F44DA2" w14:textId="77777777" w:rsidR="00267268" w:rsidRPr="00391C98" w:rsidRDefault="00000000" w:rsidP="00E64E4C">
      <w:pPr>
        <w:pStyle w:val="1"/>
        <w:jc w:val="both"/>
        <w:rPr>
          <w:rFonts w:asciiTheme="minorBidi" w:hAnsiTheme="minorBidi" w:cstheme="minorBidi"/>
        </w:rPr>
      </w:pPr>
      <w:bookmarkStart w:id="18" w:name="_Toc240900989"/>
      <w:r w:rsidRPr="00391C98">
        <w:rPr>
          <w:rFonts w:asciiTheme="minorBidi" w:hAnsiTheme="minorBidi" w:cstheme="minorBidi"/>
        </w:rPr>
        <w:t>6. Rank-Specific Workload Allocation: Overview</w:t>
      </w:r>
      <w:bookmarkEnd w:id="18"/>
    </w:p>
    <w:p w14:paraId="7E53431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section sets out, for each recognized academic rank, the specific distribution of the 1,000 annual standard hours across the three Core Pillars. The rationale for each distribution reflects the characteristic responsibilities of the rank: leadership and governance for Heads of Department, advanced research and doctoral supervision for Professors, balanced research and thesis supervision for Associate Professors, and concentrated instructional delivery for Senior Lecturers, Lecturers, and Assistants. A consolidated summary table appears at the end of this section for ease of reference; the subsections that follow provide the full narrative rationale for each rank.</w:t>
      </w:r>
    </w:p>
    <w:p w14:paraId="5B430574" w14:textId="77777777" w:rsidR="00267268" w:rsidRPr="00391C98" w:rsidRDefault="00000000" w:rsidP="00E64E4C">
      <w:pPr>
        <w:pStyle w:val="2"/>
        <w:spacing w:before="240" w:after="160"/>
        <w:jc w:val="both"/>
        <w:rPr>
          <w:rFonts w:asciiTheme="minorBidi" w:hAnsiTheme="minorBidi" w:cstheme="minorBidi"/>
        </w:rPr>
      </w:pPr>
      <w:bookmarkStart w:id="19" w:name="_Toc240900990"/>
      <w:r w:rsidRPr="00391C98">
        <w:rPr>
          <w:rFonts w:asciiTheme="minorBidi" w:hAnsiTheme="minorBidi" w:cstheme="minorBidi"/>
        </w:rPr>
        <w:t>6.1 Heads of Department / Program Directors</w:t>
      </w:r>
      <w:bookmarkEnd w:id="19"/>
    </w:p>
    <w:p w14:paraId="3535237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Heads of Department and Program Directors carry institutional leadership responsibilities that necessarily reduce the time available for direct classroom delivery. Their standard workload is therefore structured to reflect a reduced, though still substantive, teaching commitment, balanced </w:t>
      </w:r>
      <w:r w:rsidRPr="00391C98">
        <w:rPr>
          <w:rFonts w:asciiTheme="minorBidi" w:hAnsiTheme="minorBidi" w:cstheme="minorBidi"/>
        </w:rPr>
        <w:lastRenderedPageBreak/>
        <w:t>by a significant allocation to strategic administration and mentoring, and a research allocation that remains the largest single component of their annual effort.</w:t>
      </w:r>
    </w:p>
    <w:p w14:paraId="529E240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Under this Guideline, Heads of Department and Program Directors are expected to allocate 350 hours (35%) to Teaching and Instruction, 200 hours (20%) to Service, Administration, and Student Support — encompassing strategic departmental leadership, curriculum governance, quality assurance, and faculty mentoring — and 450 hours (45%) to Research and Scholarly Activity.</w:t>
      </w:r>
    </w:p>
    <w:p w14:paraId="17DA242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reduced teaching load recognizes that departmental leadership is itself a form of institutional service with direct pedagogical consequences: curriculum governance, program accreditation stewardship, and the mentoring of junior faculty collectively shape the quality of instruction delivered across the department far beyond what the Head's own individual contact hours could achieve. The relatively high research allocation — the largest of the three pillars for this rank — reflects the University's expectation that departmental leaders remain active, credible scholars whose own research standing lends authority to the strategic and academic judgments they are called upon to make on behalf of their department.</w:t>
      </w:r>
    </w:p>
    <w:p w14:paraId="26A99156" w14:textId="77777777" w:rsidR="00267268" w:rsidRPr="00391C98" w:rsidRDefault="00000000" w:rsidP="00E64E4C">
      <w:pPr>
        <w:pStyle w:val="2"/>
        <w:spacing w:before="240" w:after="160"/>
        <w:jc w:val="both"/>
        <w:rPr>
          <w:rFonts w:asciiTheme="minorBidi" w:hAnsiTheme="minorBidi" w:cstheme="minorBidi"/>
        </w:rPr>
      </w:pPr>
      <w:bookmarkStart w:id="20" w:name="_Toc240900991"/>
      <w:r w:rsidRPr="00391C98">
        <w:rPr>
          <w:rFonts w:asciiTheme="minorBidi" w:hAnsiTheme="minorBidi" w:cstheme="minorBidi"/>
        </w:rPr>
        <w:t>6.2 Professors</w:t>
      </w:r>
      <w:bookmarkEnd w:id="20"/>
    </w:p>
    <w:p w14:paraId="5239475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Professors represent the University's most senior research-active academic rank, and their standard workload allocation reflects an expectation of leadership in disciplinary research and advanced student supervision, balanced by a substantial and non-negligible classroom teaching commitment.</w:t>
      </w:r>
    </w:p>
    <w:p w14:paraId="7A71B54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Professors are expected to allocate 500 hours (50%) to Research and Scholarly Activity, 150 hours (15%) to specialized student mentoring — most notably doctoral supervision and other advanced postgraduate guidance — and 350 hours (35%) to rigorous classroom delivery.</w:t>
      </w:r>
    </w:p>
    <w:p w14:paraId="77456B1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50% research allocation is the single largest proportional commitment assigned to any rank under this Guideline and reflects the University's expectation that Professors sustain an internationally visible program of scholarly output, secure external research funding where applicable to their discipline, and provide the doctoral supervision capacity on which the University's postgraduate research mission depends. The 150-hour mentoring allocation is intentionally distinct from the general student-advising component assigned to other ranks: it is reserved specifically for advanced, individualized supervisory relationships — principally doctoral candidates, though it may also include postdoctoral mentoring where relevant — in recognition of the substantially greater time investment such supervision requires per student relative to undergraduate advising.</w:t>
      </w:r>
    </w:p>
    <w:p w14:paraId="3D2A5801" w14:textId="77777777" w:rsidR="00267268" w:rsidRPr="00391C98" w:rsidRDefault="00000000" w:rsidP="00E64E4C">
      <w:pPr>
        <w:pStyle w:val="2"/>
        <w:spacing w:before="240" w:after="160"/>
        <w:jc w:val="both"/>
        <w:rPr>
          <w:rFonts w:asciiTheme="minorBidi" w:hAnsiTheme="minorBidi" w:cstheme="minorBidi"/>
        </w:rPr>
      </w:pPr>
      <w:bookmarkStart w:id="21" w:name="_Toc240900992"/>
      <w:r w:rsidRPr="00391C98">
        <w:rPr>
          <w:rFonts w:asciiTheme="minorBidi" w:hAnsiTheme="minorBidi" w:cstheme="minorBidi"/>
        </w:rPr>
        <w:t>6.3 Associate Professors</w:t>
      </w:r>
      <w:bookmarkEnd w:id="21"/>
    </w:p>
    <w:p w14:paraId="1C7EE19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Associate Professors occupy a position of balance between the research-intensive profile of the Professor rank and the teaching-intensive profile of the Senior Lecturer and Lecturer ranks. Their standard workload allocation is correspondingly the most evenly distributed of any rank recognized under this Guideline.</w:t>
      </w:r>
    </w:p>
    <w:p w14:paraId="4AA09B9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Associate Professors are expected to allocate 400 hours (40%) to Teaching and Instruction, 450 hours (45%) to Research and Scholarly Activity, and 150 hours (15%) to master's thesis supervision and program-level academic advising.</w:t>
      </w:r>
    </w:p>
    <w:p w14:paraId="0E7EE6B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balanced distribution reflects the characteristic responsibilities of academic staff at this rank, who are typically building an independent and increasingly recognized research profile while simultaneously carrying a full and substantive teaching load, and who are frequently the primary supervisors of master's-level dissertation and thesis students. The 150-hour mentoring allocation for this rank is explicitly distinguished from the doctoral-focused mentoring allocation assigned to Professors: it is oriented toward master's-level thesis supervision and toward program-level academic advising responsibilities, such as serving as an undergraduate or master's program coordinator, that are commonly delegated to Associate Professors within department governance structures.</w:t>
      </w:r>
    </w:p>
    <w:p w14:paraId="35661762" w14:textId="77777777" w:rsidR="00267268" w:rsidRPr="00391C98" w:rsidRDefault="00000000" w:rsidP="00E64E4C">
      <w:pPr>
        <w:pStyle w:val="2"/>
        <w:spacing w:before="240" w:after="160"/>
        <w:jc w:val="both"/>
        <w:rPr>
          <w:rFonts w:asciiTheme="minorBidi" w:hAnsiTheme="minorBidi" w:cstheme="minorBidi"/>
        </w:rPr>
      </w:pPr>
      <w:bookmarkStart w:id="22" w:name="_Toc240900993"/>
      <w:r w:rsidRPr="00391C98">
        <w:rPr>
          <w:rFonts w:asciiTheme="minorBidi" w:hAnsiTheme="minorBidi" w:cstheme="minorBidi"/>
        </w:rPr>
        <w:t>6.4 Senior Lecturers, Lecturers, and Assistants</w:t>
      </w:r>
      <w:bookmarkEnd w:id="22"/>
    </w:p>
    <w:p w14:paraId="289BCBB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Senior Lecturers, Lecturers, and Assistants form the instructional backbone of the University's teaching mission, and their standard workload allocation reflects a primary emphasis on student-centered contact hours and instructional delivery, balanced by an active, though comparatively smaller, disciplinary research commitment and a foundational student-support responsibility.</w:t>
      </w:r>
    </w:p>
    <w:p w14:paraId="7BE2FF6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Staff at these ranks are expected to allocate between 450 and 500 hours (45%–50%) to student-centered contact hours and instructional delivery, between 350 and 400 hours (35%–40%) to active disciplinary research — ensuring that their pedagogy remains research-informed even where their primary responsibility is instructional — and 150 hours (15%) to foundational student support, including tutorials, laboratory support, and introductory academic advising.</w:t>
      </w:r>
    </w:p>
    <w:p w14:paraId="4E6CD6A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ranged benchmark for Teaching and Instruction and for Research and Scholarly Activity at these ranks (45–50% and 35–40% respectively) allows Heads of Department a degree of principled flexibility when constructing individual Workload Plans within this group: a Lecturer newly appointed with a strong research trajectory may be assigned toward the lower end of the teaching range and the upper end of the research range, while a Senior Lecturer whose primary institutional value lies in large-enrollment core course delivery may be assigned toward the upper end of the teaching range. In all cases, the sum of the Teaching and Research allocations for a given individual, together with the fixed 150-hour Student Support allocation, must equal exactly 1,000 hours (or the prorated equivalent for part-time appointments), and any departure from the ranges specified above requires the documented justification described in Section 8.5.</w:t>
      </w:r>
    </w:p>
    <w:p w14:paraId="407496F8" w14:textId="77777777" w:rsidR="00267268" w:rsidRPr="00391C98" w:rsidRDefault="00000000" w:rsidP="00E64E4C">
      <w:pPr>
        <w:pStyle w:val="2"/>
        <w:spacing w:before="240" w:after="160"/>
        <w:jc w:val="both"/>
        <w:rPr>
          <w:rFonts w:asciiTheme="minorBidi" w:hAnsiTheme="minorBidi" w:cstheme="minorBidi"/>
        </w:rPr>
      </w:pPr>
      <w:bookmarkStart w:id="23" w:name="_Toc240900994"/>
      <w:r w:rsidRPr="00391C98">
        <w:rPr>
          <w:rFonts w:asciiTheme="minorBidi" w:hAnsiTheme="minorBidi" w:cstheme="minorBidi"/>
        </w:rPr>
        <w:t>6.5 Discipline-Specific and Individual Adjustments</w:t>
      </w:r>
      <w:bookmarkEnd w:id="23"/>
    </w:p>
    <w:p w14:paraId="53D0860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The benchmarks described in Sections 6.1 through 6.4 represent the University-wide default. Deans may approve documented, discipline-specific adjustments to the internal composition of a pillar — for example, recognizing that laboratory-based disciplines require additional contact-hour-equivalent time for practical class preparation and supervision, or that clinical disciplines require </w:t>
      </w:r>
      <w:r w:rsidRPr="00391C98">
        <w:rPr>
          <w:rFonts w:asciiTheme="minorBidi" w:hAnsiTheme="minorBidi" w:cstheme="minorBidi"/>
        </w:rPr>
        <w:lastRenderedPageBreak/>
        <w:t>placement supervision hours to be counted within Pillar I — provided that the overall 1,000-hour standard and the overall percentage allocated to each of the three Core Pillars for the relevant rank remain unchanged. Any such adjustment must be documented in the Faculty's approved workload procedures and communicated to the affected staff member in writing prior to the commencement of the academic year to which it applies.</w:t>
      </w:r>
    </w:p>
    <w:p w14:paraId="01B39863"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Individual adjustments to a specific staff member's Workload Plan — as distinct from a discipline-wide adjustment — are addressed through the exceptional-circumstances process described in Section 14, and require the approval of both the Head of Department and the Dean.</w:t>
      </w:r>
    </w:p>
    <w:tbl>
      <w:tblPr>
        <w:tblW w:w="10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00"/>
        <w:gridCol w:w="1750"/>
        <w:gridCol w:w="1750"/>
        <w:gridCol w:w="1750"/>
        <w:gridCol w:w="2450"/>
      </w:tblGrid>
      <w:tr w:rsidR="00267268" w:rsidRPr="00391C98" w14:paraId="6585EC08" w14:textId="77777777">
        <w:tblPrEx>
          <w:tblCellMar>
            <w:top w:w="0" w:type="dxa"/>
            <w:bottom w:w="0" w:type="dxa"/>
          </w:tblCellMar>
        </w:tblPrEx>
        <w:trPr>
          <w:tblHeader/>
        </w:trPr>
        <w:tc>
          <w:tcPr>
            <w:tcW w:w="2300" w:type="dxa"/>
            <w:shd w:val="clear" w:color="auto" w:fill="1F3864"/>
            <w:tcMar>
              <w:top w:w="100" w:type="dxa"/>
              <w:left w:w="120" w:type="dxa"/>
              <w:bottom w:w="100" w:type="dxa"/>
              <w:right w:w="120" w:type="dxa"/>
            </w:tcMar>
            <w:vAlign w:val="center"/>
          </w:tcPr>
          <w:p w14:paraId="61E9C483"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Academic Rank</w:t>
            </w:r>
          </w:p>
        </w:tc>
        <w:tc>
          <w:tcPr>
            <w:tcW w:w="1750" w:type="dxa"/>
            <w:shd w:val="clear" w:color="auto" w:fill="1F3864"/>
            <w:tcMar>
              <w:top w:w="100" w:type="dxa"/>
              <w:left w:w="120" w:type="dxa"/>
              <w:bottom w:w="100" w:type="dxa"/>
              <w:right w:w="120" w:type="dxa"/>
            </w:tcMar>
            <w:vAlign w:val="center"/>
          </w:tcPr>
          <w:p w14:paraId="6024B86C"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Teaching &amp; Instruction</w:t>
            </w:r>
          </w:p>
        </w:tc>
        <w:tc>
          <w:tcPr>
            <w:tcW w:w="1750" w:type="dxa"/>
            <w:shd w:val="clear" w:color="auto" w:fill="1F3864"/>
            <w:tcMar>
              <w:top w:w="100" w:type="dxa"/>
              <w:left w:w="120" w:type="dxa"/>
              <w:bottom w:w="100" w:type="dxa"/>
              <w:right w:w="120" w:type="dxa"/>
            </w:tcMar>
            <w:vAlign w:val="center"/>
          </w:tcPr>
          <w:p w14:paraId="7BC3E81D"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Research &amp; Scholarly Activity</w:t>
            </w:r>
          </w:p>
        </w:tc>
        <w:tc>
          <w:tcPr>
            <w:tcW w:w="1750" w:type="dxa"/>
            <w:shd w:val="clear" w:color="auto" w:fill="1F3864"/>
            <w:tcMar>
              <w:top w:w="100" w:type="dxa"/>
              <w:left w:w="120" w:type="dxa"/>
              <w:bottom w:w="100" w:type="dxa"/>
              <w:right w:w="120" w:type="dxa"/>
            </w:tcMar>
            <w:vAlign w:val="center"/>
          </w:tcPr>
          <w:p w14:paraId="25AC9B6B"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Service / Support / Mentoring</w:t>
            </w:r>
          </w:p>
        </w:tc>
        <w:tc>
          <w:tcPr>
            <w:tcW w:w="2450" w:type="dxa"/>
            <w:shd w:val="clear" w:color="auto" w:fill="1F3864"/>
            <w:tcMar>
              <w:top w:w="100" w:type="dxa"/>
              <w:left w:w="120" w:type="dxa"/>
              <w:bottom w:w="100" w:type="dxa"/>
              <w:right w:w="120" w:type="dxa"/>
            </w:tcMar>
            <w:vAlign w:val="center"/>
          </w:tcPr>
          <w:p w14:paraId="69D32D83"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Pillar III Focus</w:t>
            </w:r>
          </w:p>
        </w:tc>
      </w:tr>
      <w:tr w:rsidR="00267268" w:rsidRPr="00391C98" w14:paraId="4A2C97A4"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5DBCC8E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Heads of Department / Program Directors</w:t>
            </w:r>
          </w:p>
        </w:tc>
        <w:tc>
          <w:tcPr>
            <w:tcW w:w="1750" w:type="dxa"/>
            <w:shd w:val="clear" w:color="auto" w:fill="F2F2F2"/>
            <w:tcMar>
              <w:top w:w="100" w:type="dxa"/>
              <w:left w:w="120" w:type="dxa"/>
              <w:bottom w:w="100" w:type="dxa"/>
              <w:right w:w="120" w:type="dxa"/>
            </w:tcMar>
            <w:vAlign w:val="center"/>
          </w:tcPr>
          <w:p w14:paraId="2E73D8C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 hrs (35%)</w:t>
            </w:r>
          </w:p>
        </w:tc>
        <w:tc>
          <w:tcPr>
            <w:tcW w:w="1750" w:type="dxa"/>
            <w:shd w:val="clear" w:color="auto" w:fill="F2F2F2"/>
            <w:tcMar>
              <w:top w:w="100" w:type="dxa"/>
              <w:left w:w="120" w:type="dxa"/>
              <w:bottom w:w="100" w:type="dxa"/>
              <w:right w:w="120" w:type="dxa"/>
            </w:tcMar>
            <w:vAlign w:val="center"/>
          </w:tcPr>
          <w:p w14:paraId="2D51019F"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 hrs (45%)</w:t>
            </w:r>
          </w:p>
        </w:tc>
        <w:tc>
          <w:tcPr>
            <w:tcW w:w="1750" w:type="dxa"/>
            <w:shd w:val="clear" w:color="auto" w:fill="F2F2F2"/>
            <w:tcMar>
              <w:top w:w="100" w:type="dxa"/>
              <w:left w:w="120" w:type="dxa"/>
              <w:bottom w:w="100" w:type="dxa"/>
              <w:right w:w="120" w:type="dxa"/>
            </w:tcMar>
            <w:vAlign w:val="center"/>
          </w:tcPr>
          <w:p w14:paraId="17B7FFB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200 hrs (20%)</w:t>
            </w:r>
          </w:p>
        </w:tc>
        <w:tc>
          <w:tcPr>
            <w:tcW w:w="2450" w:type="dxa"/>
            <w:shd w:val="clear" w:color="auto" w:fill="F2F2F2"/>
            <w:tcMar>
              <w:top w:w="100" w:type="dxa"/>
              <w:left w:w="120" w:type="dxa"/>
              <w:bottom w:w="100" w:type="dxa"/>
              <w:right w:w="120" w:type="dxa"/>
            </w:tcMar>
            <w:vAlign w:val="center"/>
          </w:tcPr>
          <w:p w14:paraId="08DABA60"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Strategic leadership, curriculum governance, QA, faculty mentoring</w:t>
            </w:r>
          </w:p>
        </w:tc>
      </w:tr>
      <w:tr w:rsidR="00267268" w:rsidRPr="00391C98" w14:paraId="2AA73698" w14:textId="77777777">
        <w:tblPrEx>
          <w:tblCellMar>
            <w:top w:w="0" w:type="dxa"/>
            <w:bottom w:w="0" w:type="dxa"/>
          </w:tblCellMar>
        </w:tblPrEx>
        <w:tc>
          <w:tcPr>
            <w:tcW w:w="2300" w:type="dxa"/>
            <w:tcMar>
              <w:top w:w="100" w:type="dxa"/>
              <w:left w:w="120" w:type="dxa"/>
              <w:bottom w:w="100" w:type="dxa"/>
              <w:right w:w="120" w:type="dxa"/>
            </w:tcMar>
            <w:vAlign w:val="center"/>
          </w:tcPr>
          <w:p w14:paraId="2BC2533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Professors</w:t>
            </w:r>
          </w:p>
        </w:tc>
        <w:tc>
          <w:tcPr>
            <w:tcW w:w="1750" w:type="dxa"/>
            <w:tcMar>
              <w:top w:w="100" w:type="dxa"/>
              <w:left w:w="120" w:type="dxa"/>
              <w:bottom w:w="100" w:type="dxa"/>
              <w:right w:w="120" w:type="dxa"/>
            </w:tcMar>
            <w:vAlign w:val="center"/>
          </w:tcPr>
          <w:p w14:paraId="58FEEFE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 hrs (35%)</w:t>
            </w:r>
          </w:p>
        </w:tc>
        <w:tc>
          <w:tcPr>
            <w:tcW w:w="1750" w:type="dxa"/>
            <w:tcMar>
              <w:top w:w="100" w:type="dxa"/>
              <w:left w:w="120" w:type="dxa"/>
              <w:bottom w:w="100" w:type="dxa"/>
              <w:right w:w="120" w:type="dxa"/>
            </w:tcMar>
            <w:vAlign w:val="center"/>
          </w:tcPr>
          <w:p w14:paraId="4746F82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500 hrs (50%)</w:t>
            </w:r>
          </w:p>
        </w:tc>
        <w:tc>
          <w:tcPr>
            <w:tcW w:w="1750" w:type="dxa"/>
            <w:tcMar>
              <w:top w:w="100" w:type="dxa"/>
              <w:left w:w="120" w:type="dxa"/>
              <w:bottom w:w="100" w:type="dxa"/>
              <w:right w:w="120" w:type="dxa"/>
            </w:tcMar>
            <w:vAlign w:val="center"/>
          </w:tcPr>
          <w:p w14:paraId="08AA5AE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tcMar>
              <w:top w:w="100" w:type="dxa"/>
              <w:left w:w="120" w:type="dxa"/>
              <w:bottom w:w="100" w:type="dxa"/>
              <w:right w:w="120" w:type="dxa"/>
            </w:tcMar>
            <w:vAlign w:val="center"/>
          </w:tcPr>
          <w:p w14:paraId="0A6DA031"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Doctoral supervision &amp; advanced guidance</w:t>
            </w:r>
          </w:p>
        </w:tc>
      </w:tr>
      <w:tr w:rsidR="00267268" w:rsidRPr="00391C98" w14:paraId="40B6B365"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6BE620EF"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Associate Professors</w:t>
            </w:r>
          </w:p>
        </w:tc>
        <w:tc>
          <w:tcPr>
            <w:tcW w:w="1750" w:type="dxa"/>
            <w:shd w:val="clear" w:color="auto" w:fill="F2F2F2"/>
            <w:tcMar>
              <w:top w:w="100" w:type="dxa"/>
              <w:left w:w="120" w:type="dxa"/>
              <w:bottom w:w="100" w:type="dxa"/>
              <w:right w:w="120" w:type="dxa"/>
            </w:tcMar>
            <w:vAlign w:val="center"/>
          </w:tcPr>
          <w:p w14:paraId="768A681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400 hrs (40%)</w:t>
            </w:r>
          </w:p>
        </w:tc>
        <w:tc>
          <w:tcPr>
            <w:tcW w:w="1750" w:type="dxa"/>
            <w:shd w:val="clear" w:color="auto" w:fill="F2F2F2"/>
            <w:tcMar>
              <w:top w:w="100" w:type="dxa"/>
              <w:left w:w="120" w:type="dxa"/>
              <w:bottom w:w="100" w:type="dxa"/>
              <w:right w:w="120" w:type="dxa"/>
            </w:tcMar>
            <w:vAlign w:val="center"/>
          </w:tcPr>
          <w:p w14:paraId="36C8DA9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 hrs (45%)</w:t>
            </w:r>
          </w:p>
        </w:tc>
        <w:tc>
          <w:tcPr>
            <w:tcW w:w="1750" w:type="dxa"/>
            <w:shd w:val="clear" w:color="auto" w:fill="F2F2F2"/>
            <w:tcMar>
              <w:top w:w="100" w:type="dxa"/>
              <w:left w:w="120" w:type="dxa"/>
              <w:bottom w:w="100" w:type="dxa"/>
              <w:right w:w="120" w:type="dxa"/>
            </w:tcMar>
            <w:vAlign w:val="center"/>
          </w:tcPr>
          <w:p w14:paraId="52773D7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shd w:val="clear" w:color="auto" w:fill="F2F2F2"/>
            <w:tcMar>
              <w:top w:w="100" w:type="dxa"/>
              <w:left w:w="120" w:type="dxa"/>
              <w:bottom w:w="100" w:type="dxa"/>
              <w:right w:w="120" w:type="dxa"/>
            </w:tcMar>
            <w:vAlign w:val="center"/>
          </w:tcPr>
          <w:p w14:paraId="437D807A"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Master's thesis supervision &amp; program-level advising</w:t>
            </w:r>
          </w:p>
        </w:tc>
      </w:tr>
      <w:tr w:rsidR="00267268" w:rsidRPr="00391C98" w14:paraId="615BD1C6" w14:textId="77777777">
        <w:tblPrEx>
          <w:tblCellMar>
            <w:top w:w="0" w:type="dxa"/>
            <w:bottom w:w="0" w:type="dxa"/>
          </w:tblCellMar>
        </w:tblPrEx>
        <w:tc>
          <w:tcPr>
            <w:tcW w:w="2300" w:type="dxa"/>
            <w:tcMar>
              <w:top w:w="100" w:type="dxa"/>
              <w:left w:w="120" w:type="dxa"/>
              <w:bottom w:w="100" w:type="dxa"/>
              <w:right w:w="120" w:type="dxa"/>
            </w:tcMar>
            <w:vAlign w:val="center"/>
          </w:tcPr>
          <w:p w14:paraId="3C0CF2D2"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Senior Lecturers, Lecturers &amp; Assistants</w:t>
            </w:r>
          </w:p>
        </w:tc>
        <w:tc>
          <w:tcPr>
            <w:tcW w:w="1750" w:type="dxa"/>
            <w:tcMar>
              <w:top w:w="100" w:type="dxa"/>
              <w:left w:w="120" w:type="dxa"/>
              <w:bottom w:w="100" w:type="dxa"/>
              <w:right w:w="120" w:type="dxa"/>
            </w:tcMar>
            <w:vAlign w:val="center"/>
          </w:tcPr>
          <w:p w14:paraId="57CC46E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450–500 hrs (45–50%)</w:t>
            </w:r>
          </w:p>
        </w:tc>
        <w:tc>
          <w:tcPr>
            <w:tcW w:w="1750" w:type="dxa"/>
            <w:tcMar>
              <w:top w:w="100" w:type="dxa"/>
              <w:left w:w="120" w:type="dxa"/>
              <w:bottom w:w="100" w:type="dxa"/>
              <w:right w:w="120" w:type="dxa"/>
            </w:tcMar>
            <w:vAlign w:val="center"/>
          </w:tcPr>
          <w:p w14:paraId="52C97D09"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350–400 hrs (35–40%)</w:t>
            </w:r>
          </w:p>
        </w:tc>
        <w:tc>
          <w:tcPr>
            <w:tcW w:w="1750" w:type="dxa"/>
            <w:tcMar>
              <w:top w:w="100" w:type="dxa"/>
              <w:left w:w="120" w:type="dxa"/>
              <w:bottom w:w="100" w:type="dxa"/>
              <w:right w:w="120" w:type="dxa"/>
            </w:tcMar>
            <w:vAlign w:val="center"/>
          </w:tcPr>
          <w:p w14:paraId="16CEB00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tcMar>
              <w:top w:w="100" w:type="dxa"/>
              <w:left w:w="120" w:type="dxa"/>
              <w:bottom w:w="100" w:type="dxa"/>
              <w:right w:w="120" w:type="dxa"/>
            </w:tcMar>
            <w:vAlign w:val="center"/>
          </w:tcPr>
          <w:p w14:paraId="12444D72"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Foundational tutorials &amp; laboratory support</w:t>
            </w:r>
          </w:p>
        </w:tc>
      </w:tr>
    </w:tbl>
    <w:p w14:paraId="1A8B7E16" w14:textId="77777777" w:rsidR="00267268" w:rsidRPr="00391C98" w:rsidRDefault="00000000" w:rsidP="00E64E4C">
      <w:pPr>
        <w:pStyle w:val="1"/>
        <w:jc w:val="both"/>
        <w:rPr>
          <w:rFonts w:asciiTheme="minorBidi" w:hAnsiTheme="minorBidi" w:cstheme="minorBidi"/>
        </w:rPr>
      </w:pPr>
      <w:bookmarkStart w:id="24" w:name="_Toc240900995"/>
      <w:r w:rsidRPr="00391C98">
        <w:rPr>
          <w:rFonts w:asciiTheme="minorBidi" w:hAnsiTheme="minorBidi" w:cstheme="minorBidi"/>
        </w:rPr>
        <w:t>7. Core Pillar I: Teaching and Instruction</w:t>
      </w:r>
      <w:bookmarkEnd w:id="24"/>
    </w:p>
    <w:p w14:paraId="7470CDB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Pillar I governs the evaluation of student-centered delivery: the effective, high-quality provision of contact hours, active student engagement, and demonstrable adherence to approved curriculum learning outcomes. It is the pillar most directly visible to students and is, for most ranks, the largest single component of the standard annual workload.</w:t>
      </w:r>
    </w:p>
    <w:p w14:paraId="2690900B" w14:textId="77777777" w:rsidR="00267268" w:rsidRPr="00391C98" w:rsidRDefault="00000000" w:rsidP="00E64E4C">
      <w:pPr>
        <w:pStyle w:val="2"/>
        <w:spacing w:before="240" w:after="160"/>
        <w:jc w:val="both"/>
        <w:rPr>
          <w:rFonts w:asciiTheme="minorBidi" w:hAnsiTheme="minorBidi" w:cstheme="minorBidi"/>
        </w:rPr>
      </w:pPr>
      <w:bookmarkStart w:id="25" w:name="_Toc240900996"/>
      <w:r w:rsidRPr="00391C98">
        <w:rPr>
          <w:rFonts w:asciiTheme="minorBidi" w:hAnsiTheme="minorBidi" w:cstheme="minorBidi"/>
        </w:rPr>
        <w:t>7.1 Objective</w:t>
      </w:r>
      <w:bookmarkEnd w:id="25"/>
    </w:p>
    <w:p w14:paraId="12F2B01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objective of Pillar I is to evaluate the effective, high-quality delivery of contact hours, active student engagement, and adherence to approved curriculum learning outcomes. This objective extends beyond the simple fulfillment of scheduled hours: it requires demonstrable evidence that the time spent in front of, and in dialogue with, students translates into the learning outcomes specified in the approved course syllabus.</w:t>
      </w:r>
    </w:p>
    <w:p w14:paraId="03594D41" w14:textId="77777777" w:rsidR="00267268" w:rsidRPr="00391C98" w:rsidRDefault="00000000" w:rsidP="00E64E4C">
      <w:pPr>
        <w:pStyle w:val="2"/>
        <w:spacing w:before="240" w:after="160"/>
        <w:jc w:val="both"/>
        <w:rPr>
          <w:rFonts w:asciiTheme="minorBidi" w:hAnsiTheme="minorBidi" w:cstheme="minorBidi"/>
        </w:rPr>
      </w:pPr>
      <w:bookmarkStart w:id="26" w:name="_Toc240900997"/>
      <w:r w:rsidRPr="00391C98">
        <w:rPr>
          <w:rFonts w:asciiTheme="minorBidi" w:hAnsiTheme="minorBidi" w:cstheme="minorBidi"/>
        </w:rPr>
        <w:t>7.2 Scope of Recognized Activity</w:t>
      </w:r>
      <w:bookmarkEnd w:id="26"/>
    </w:p>
    <w:p w14:paraId="13F5584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Activities recognized and countable under Pillar I include, without limitation, the delivery of lectures, seminars, tutorials, laboratory and studio sessions, clinical or field supervision directly tied to a </w:t>
      </w:r>
      <w:r w:rsidRPr="00391C98">
        <w:rPr>
          <w:rFonts w:asciiTheme="minorBidi" w:hAnsiTheme="minorBidi" w:cstheme="minorBidi"/>
        </w:rPr>
        <w:lastRenderedPageBreak/>
        <w:t>credit-bearing course, the design and revision of course syllabi and learning materials, the preparation and delivery of formative and summative assessments, the marking and moderation of student work, and formally scheduled office hours held for the purpose of academic consultation with enrolled students.</w:t>
      </w:r>
    </w:p>
    <w:p w14:paraId="4647A4C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Activities that principally serve an advising, mentoring, or supervisory function outside the context of a specific credit-bearing course — including doctoral supervision, master's thesis supervision, and general program-level academic advising — are recognized instead under Pillar III, as described in Section 9, in order to avoid double-counting between the two pillars.</w:t>
      </w:r>
    </w:p>
    <w:p w14:paraId="458A61F4" w14:textId="77777777" w:rsidR="00267268" w:rsidRPr="00391C98" w:rsidRDefault="00000000" w:rsidP="00E64E4C">
      <w:pPr>
        <w:pStyle w:val="2"/>
        <w:spacing w:before="240" w:after="160"/>
        <w:jc w:val="both"/>
        <w:rPr>
          <w:rFonts w:asciiTheme="minorBidi" w:hAnsiTheme="minorBidi" w:cstheme="minorBidi"/>
        </w:rPr>
      </w:pPr>
      <w:bookmarkStart w:id="27" w:name="_Toc240900998"/>
      <w:r w:rsidRPr="00391C98">
        <w:rPr>
          <w:rFonts w:asciiTheme="minorBidi" w:hAnsiTheme="minorBidi" w:cstheme="minorBidi"/>
        </w:rPr>
        <w:t>7.3 Evaluation Criteria and Benchmarks</w:t>
      </w:r>
      <w:bookmarkEnd w:id="27"/>
    </w:p>
    <w:p w14:paraId="68DCB5C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Performance under Pillar I is assessed against three evaluation criteria, applied cumulatively.</w:t>
      </w:r>
    </w:p>
    <w:p w14:paraId="7636F2A7" w14:textId="77777777" w:rsidR="00267268" w:rsidRPr="00391C98" w:rsidRDefault="00000000" w:rsidP="00E64E4C">
      <w:pPr>
        <w:pStyle w:val="3"/>
        <w:spacing w:before="240" w:after="160"/>
        <w:jc w:val="both"/>
        <w:rPr>
          <w:rFonts w:asciiTheme="minorBidi" w:hAnsiTheme="minorBidi" w:cstheme="minorBidi"/>
        </w:rPr>
      </w:pPr>
      <w:bookmarkStart w:id="28" w:name="_Toc240900999"/>
      <w:r w:rsidRPr="00391C98">
        <w:rPr>
          <w:rFonts w:asciiTheme="minorBidi" w:hAnsiTheme="minorBidi" w:cstheme="minorBidi"/>
        </w:rPr>
        <w:t>7.3.1 Contact Quotas</w:t>
      </w:r>
      <w:bookmarkEnd w:id="28"/>
    </w:p>
    <w:p w14:paraId="3507DC9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primary criterion is full fulfillment of the rank-specific contact-hour benchmark, ranging from 350 to 500 hours depending on rank as set out in Section 6. Fulfillment is assessed against the approved Workload Plan and the departmental timetable, and any material shortfall against the approved plan must be explained and, where appropriate, remediated within the same appraisal cycle or formally carried forward with the Head of Department's written approval.</w:t>
      </w:r>
    </w:p>
    <w:p w14:paraId="09A56FBC" w14:textId="77777777" w:rsidR="00267268" w:rsidRPr="00391C98" w:rsidRDefault="00000000" w:rsidP="00E64E4C">
      <w:pPr>
        <w:pStyle w:val="3"/>
        <w:spacing w:before="240" w:after="160"/>
        <w:jc w:val="both"/>
        <w:rPr>
          <w:rFonts w:asciiTheme="minorBidi" w:hAnsiTheme="minorBidi" w:cstheme="minorBidi"/>
        </w:rPr>
      </w:pPr>
      <w:bookmarkStart w:id="29" w:name="_Toc240901000"/>
      <w:r w:rsidRPr="00391C98">
        <w:rPr>
          <w:rFonts w:asciiTheme="minorBidi" w:hAnsiTheme="minorBidi" w:cstheme="minorBidi"/>
        </w:rPr>
        <w:t>7.3.2 Pedagogy</w:t>
      </w:r>
      <w:bookmarkEnd w:id="29"/>
    </w:p>
    <w:p w14:paraId="2ABC369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second criterion concerns the quality, not merely the quantity, of instructional delivery: the execution of inclusive, interactive, and student-centered learning methodologies. Reviewers assess whether course delivery reflects contemporary, evidence-based pedagogical practice — for example, active learning techniques, formative feedback loops, and accessible course design — rather than a purely didactic, one-directional mode of instruction.</w:t>
      </w:r>
    </w:p>
    <w:p w14:paraId="11874102" w14:textId="77777777" w:rsidR="00267268" w:rsidRPr="00391C98" w:rsidRDefault="00000000" w:rsidP="00E64E4C">
      <w:pPr>
        <w:pStyle w:val="3"/>
        <w:spacing w:before="240" w:after="160"/>
        <w:jc w:val="both"/>
        <w:rPr>
          <w:rFonts w:asciiTheme="minorBidi" w:hAnsiTheme="minorBidi" w:cstheme="minorBidi"/>
        </w:rPr>
      </w:pPr>
      <w:bookmarkStart w:id="30" w:name="_Toc240901001"/>
      <w:r w:rsidRPr="00391C98">
        <w:rPr>
          <w:rFonts w:asciiTheme="minorBidi" w:hAnsiTheme="minorBidi" w:cstheme="minorBidi"/>
        </w:rPr>
        <w:t>7.3.3 Responsiveness</w:t>
      </w:r>
      <w:bookmarkEnd w:id="30"/>
    </w:p>
    <w:p w14:paraId="0CD5B0C3"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third criterion concerns the staff member's active engagement with students beyond scheduled contact hours: attendance during published office hours, timely and constructive delivery of formative and summative assessment feedback, and availability for academic consultations. Responsiveness is a required, not optional, component of the Teaching and Instruction pillar, and is weighted alongside contact-hour fulfillment and pedagogical quality in the overall Pillar I rating.</w:t>
      </w:r>
    </w:p>
    <w:p w14:paraId="7CEAE3CE" w14:textId="77777777" w:rsidR="00267268" w:rsidRPr="00391C98" w:rsidRDefault="00000000" w:rsidP="00E64E4C">
      <w:pPr>
        <w:pStyle w:val="2"/>
        <w:spacing w:before="240" w:after="160"/>
        <w:jc w:val="both"/>
        <w:rPr>
          <w:rFonts w:asciiTheme="minorBidi" w:hAnsiTheme="minorBidi" w:cstheme="minorBidi"/>
        </w:rPr>
      </w:pPr>
      <w:bookmarkStart w:id="31" w:name="_Toc240901002"/>
      <w:r w:rsidRPr="00391C98">
        <w:rPr>
          <w:rFonts w:asciiTheme="minorBidi" w:hAnsiTheme="minorBidi" w:cstheme="minorBidi"/>
        </w:rPr>
        <w:t>7.4 Verification Methods</w:t>
      </w:r>
      <w:bookmarkEnd w:id="31"/>
    </w:p>
    <w:p w14:paraId="5A32542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Performance under Pillar I is verified through the following documentary evidence, each of which must be maintained and made available for departmental and faculty review on request:</w:t>
      </w:r>
    </w:p>
    <w:p w14:paraId="57D3B2B0"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Teaching logs and official timetables, confirming that scheduled contact hours were in fact delivered as planned.</w:t>
      </w:r>
    </w:p>
    <w:p w14:paraId="6F7AE533"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Student attendance records, confirming the operation and monitoring of scheduled sessions.</w:t>
      </w:r>
    </w:p>
    <w:p w14:paraId="58B7B882"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lastRenderedPageBreak/>
        <w:t>Course syllabi, confirming alignment between delivered content and approved learning outcomes.</w:t>
      </w:r>
    </w:p>
    <w:p w14:paraId="1B2E2B1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Student Evaluation of Teaching (SET) scores, providing structured, standardized student feedback on instructional quality, collected at the end of each teaching period through the University's official evaluation instrument.</w:t>
      </w:r>
    </w:p>
    <w:p w14:paraId="5538FA36" w14:textId="77777777" w:rsidR="00267268" w:rsidRPr="00391C98" w:rsidRDefault="00000000" w:rsidP="00E64E4C">
      <w:pPr>
        <w:pStyle w:val="2"/>
        <w:spacing w:before="240" w:after="160"/>
        <w:jc w:val="both"/>
        <w:rPr>
          <w:rFonts w:asciiTheme="minorBidi" w:hAnsiTheme="minorBidi" w:cstheme="minorBidi"/>
        </w:rPr>
      </w:pPr>
      <w:bookmarkStart w:id="32" w:name="_Toc240901003"/>
      <w:r w:rsidRPr="00391C98">
        <w:rPr>
          <w:rFonts w:asciiTheme="minorBidi" w:hAnsiTheme="minorBidi" w:cstheme="minorBidi"/>
        </w:rPr>
        <w:t>7.5 Interpreting SET Scores</w:t>
      </w:r>
      <w:bookmarkEnd w:id="32"/>
    </w:p>
    <w:p w14:paraId="05E3BB1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Student Evaluation of Teaching scores are one input among several and must never be used in isolation to determine a staff member's overall Pillar I rating. Reviewers should consider class size, course level, mandatory versus elective enrollment status, and known cohort-level response patterns when interpreting SET results, and should give particular weight to written qualitative comments where available, alongside the quantitative score.</w:t>
      </w:r>
    </w:p>
    <w:p w14:paraId="0C8C3FAA" w14:textId="77777777" w:rsidR="00267268" w:rsidRPr="00391C98" w:rsidRDefault="00000000" w:rsidP="00E64E4C">
      <w:pPr>
        <w:pStyle w:val="1"/>
        <w:jc w:val="both"/>
        <w:rPr>
          <w:rFonts w:asciiTheme="minorBidi" w:hAnsiTheme="minorBidi" w:cstheme="minorBidi"/>
        </w:rPr>
      </w:pPr>
      <w:bookmarkStart w:id="33" w:name="_Toc240901004"/>
      <w:r w:rsidRPr="00391C98">
        <w:rPr>
          <w:rFonts w:asciiTheme="minorBidi" w:hAnsiTheme="minorBidi" w:cstheme="minorBidi"/>
        </w:rPr>
        <w:t>8. Core Pillar II: Research and Scholarly Activity</w:t>
      </w:r>
      <w:bookmarkEnd w:id="33"/>
    </w:p>
    <w:p w14:paraId="7B7310F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Pillar II governs the evaluation of active participation in disciplinary research and scientific inquiry, undertaken with the explicit institutional purpose of ensuring that the University's study programs remain scientifically rigorous, current, and internationally credible.</w:t>
      </w:r>
    </w:p>
    <w:p w14:paraId="085F5E2E" w14:textId="77777777" w:rsidR="00267268" w:rsidRPr="00391C98" w:rsidRDefault="00000000" w:rsidP="00E64E4C">
      <w:pPr>
        <w:pStyle w:val="2"/>
        <w:spacing w:before="240" w:after="160"/>
        <w:jc w:val="both"/>
        <w:rPr>
          <w:rFonts w:asciiTheme="minorBidi" w:hAnsiTheme="minorBidi" w:cstheme="minorBidi"/>
        </w:rPr>
      </w:pPr>
      <w:bookmarkStart w:id="34" w:name="_Toc240901005"/>
      <w:r w:rsidRPr="00391C98">
        <w:rPr>
          <w:rFonts w:asciiTheme="minorBidi" w:hAnsiTheme="minorBidi" w:cstheme="minorBidi"/>
        </w:rPr>
        <w:t>8.1 Objective</w:t>
      </w:r>
      <w:bookmarkEnd w:id="34"/>
    </w:p>
    <w:p w14:paraId="4DACBAE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objective of Pillar II is to assess active participation in disciplinary research and scientific inquiry, ensuring study programs remain scientifically rigorous and up to date. Research activity under this Guideline is valued not as an activity separate from teaching, but as the foundation that keeps teaching current, evidence-based, and connected to the evolving frontier of each discipline.</w:t>
      </w:r>
    </w:p>
    <w:p w14:paraId="768A8ECC" w14:textId="77777777" w:rsidR="00267268" w:rsidRPr="00391C98" w:rsidRDefault="00000000" w:rsidP="00E64E4C">
      <w:pPr>
        <w:pStyle w:val="2"/>
        <w:spacing w:before="240" w:after="160"/>
        <w:jc w:val="both"/>
        <w:rPr>
          <w:rFonts w:asciiTheme="minorBidi" w:hAnsiTheme="minorBidi" w:cstheme="minorBidi"/>
        </w:rPr>
      </w:pPr>
      <w:bookmarkStart w:id="35" w:name="_Toc240901006"/>
      <w:r w:rsidRPr="00391C98">
        <w:rPr>
          <w:rFonts w:asciiTheme="minorBidi" w:hAnsiTheme="minorBidi" w:cstheme="minorBidi"/>
        </w:rPr>
        <w:t>8.2 Scope of Recognized Activity</w:t>
      </w:r>
      <w:bookmarkEnd w:id="35"/>
    </w:p>
    <w:p w14:paraId="3C951D5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Activities recognized under Pillar II include, without limitation, the design and conduct of original research, the preparation and submission of manuscripts for peer-reviewed publication, the preparation and submission of grant and funding applications, participation in and presentation at academic conferences and symposia, service as a peer reviewer or journal editor, collaborative research with external partners and other institutions, and the applied translation of recent research findings into lecture and laboratory content.</w:t>
      </w:r>
    </w:p>
    <w:p w14:paraId="3F94A9B1" w14:textId="77777777" w:rsidR="00267268" w:rsidRPr="00391C98" w:rsidRDefault="00000000" w:rsidP="00E64E4C">
      <w:pPr>
        <w:pStyle w:val="2"/>
        <w:spacing w:before="240" w:after="160"/>
        <w:jc w:val="both"/>
        <w:rPr>
          <w:rFonts w:asciiTheme="minorBidi" w:hAnsiTheme="minorBidi" w:cstheme="minorBidi"/>
        </w:rPr>
      </w:pPr>
      <w:bookmarkStart w:id="36" w:name="_Toc240901007"/>
      <w:r w:rsidRPr="00391C98">
        <w:rPr>
          <w:rFonts w:asciiTheme="minorBidi" w:hAnsiTheme="minorBidi" w:cstheme="minorBidi"/>
        </w:rPr>
        <w:t>8.3 Evaluation Criteria and Benchmarks</w:t>
      </w:r>
      <w:bookmarkEnd w:id="36"/>
    </w:p>
    <w:p w14:paraId="453EBF8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Performance under Pillar II is assessed against three evaluation criteria, applied cumulatively.</w:t>
      </w:r>
    </w:p>
    <w:p w14:paraId="13463174" w14:textId="77777777" w:rsidR="00267268" w:rsidRPr="00391C98" w:rsidRDefault="00000000" w:rsidP="00E64E4C">
      <w:pPr>
        <w:pStyle w:val="3"/>
        <w:spacing w:before="240" w:after="160"/>
        <w:jc w:val="both"/>
        <w:rPr>
          <w:rFonts w:asciiTheme="minorBidi" w:hAnsiTheme="minorBidi" w:cstheme="minorBidi"/>
        </w:rPr>
      </w:pPr>
      <w:bookmarkStart w:id="37" w:name="_Toc240901008"/>
      <w:r w:rsidRPr="00391C98">
        <w:rPr>
          <w:rFonts w:asciiTheme="minorBidi" w:hAnsiTheme="minorBidi" w:cstheme="minorBidi"/>
        </w:rPr>
        <w:t>8.3.1 Time Allocation</w:t>
      </w:r>
      <w:bookmarkEnd w:id="37"/>
    </w:p>
    <w:p w14:paraId="06E3E45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The primary criterion is verification that the staff member has in fact dedicated the rank-specific proportion of their annual standard hours — ranging from 35% to 50%, or 350 to 500 hours — to </w:t>
      </w:r>
      <w:r w:rsidRPr="00391C98">
        <w:rPr>
          <w:rFonts w:asciiTheme="minorBidi" w:hAnsiTheme="minorBidi" w:cstheme="minorBidi"/>
        </w:rPr>
        <w:lastRenderedPageBreak/>
        <w:t>research activity, as documented through research activity logs and the other Verification Methods described in Section 8.4.</w:t>
      </w:r>
    </w:p>
    <w:p w14:paraId="6FBBB618" w14:textId="77777777" w:rsidR="00267268" w:rsidRPr="00391C98" w:rsidRDefault="00000000" w:rsidP="00E64E4C">
      <w:pPr>
        <w:pStyle w:val="3"/>
        <w:spacing w:before="240" w:after="160"/>
        <w:jc w:val="both"/>
        <w:rPr>
          <w:rFonts w:asciiTheme="minorBidi" w:hAnsiTheme="minorBidi" w:cstheme="minorBidi"/>
        </w:rPr>
      </w:pPr>
      <w:bookmarkStart w:id="38" w:name="_Toc240901009"/>
      <w:r w:rsidRPr="00391C98">
        <w:rPr>
          <w:rFonts w:asciiTheme="minorBidi" w:hAnsiTheme="minorBidi" w:cstheme="minorBidi"/>
        </w:rPr>
        <w:t>8.3.2 Outputs</w:t>
      </w:r>
      <w:bookmarkEnd w:id="38"/>
    </w:p>
    <w:p w14:paraId="0F45A46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second criterion concerns the tangible products of research effort: engagement in disciplinary inquiry, peer-reviewed publishing, and, where applicable to the discipline and the individual's role, external grant acquisition. Faculty Performance Review Committees should apply discipline-appropriate norms when assessing output volume and venue — publication conventions, typical output timelines, and funding landscapes vary substantially across disciplines — and should consult the University's separate Research Output Policy for detailed, discipline-specific output expectations, which this Guideline does not attempt to replicate in full.</w:t>
      </w:r>
    </w:p>
    <w:p w14:paraId="7DC14D59" w14:textId="77777777" w:rsidR="00267268" w:rsidRPr="00391C98" w:rsidRDefault="00000000" w:rsidP="00E64E4C">
      <w:pPr>
        <w:pStyle w:val="3"/>
        <w:spacing w:before="240" w:after="160"/>
        <w:jc w:val="both"/>
        <w:rPr>
          <w:rFonts w:asciiTheme="minorBidi" w:hAnsiTheme="minorBidi" w:cstheme="minorBidi"/>
        </w:rPr>
      </w:pPr>
      <w:bookmarkStart w:id="39" w:name="_Toc240901010"/>
      <w:r w:rsidRPr="00391C98">
        <w:rPr>
          <w:rFonts w:asciiTheme="minorBidi" w:hAnsiTheme="minorBidi" w:cstheme="minorBidi"/>
        </w:rPr>
        <w:t>8.3.3 Curriculum Translation</w:t>
      </w:r>
      <w:bookmarkEnd w:id="39"/>
    </w:p>
    <w:p w14:paraId="7BC13D2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third criterion, distinctive to this Guideline, concerns the practical integration of recent scientific findings into lectures and laboratory exercises. This criterion operationalizes the stated purpose of Pillar II: research activity is evaluated not only on its own scholarly merit, but on the demonstrable pathway by which it enriches and updates the curriculum delivered under Pillar I. Evidence of curriculum translation may include updated syllabi citing recent staff-authored or third-party research, laboratory exercises redesigned around current methods, or case studies drawn from the staff member's own research program.</w:t>
      </w:r>
    </w:p>
    <w:p w14:paraId="3F54CC47" w14:textId="77777777" w:rsidR="00267268" w:rsidRPr="00391C98" w:rsidRDefault="00000000" w:rsidP="00E64E4C">
      <w:pPr>
        <w:pStyle w:val="2"/>
        <w:spacing w:before="240" w:after="160"/>
        <w:jc w:val="both"/>
        <w:rPr>
          <w:rFonts w:asciiTheme="minorBidi" w:hAnsiTheme="minorBidi" w:cstheme="minorBidi"/>
        </w:rPr>
      </w:pPr>
      <w:bookmarkStart w:id="40" w:name="_Toc240901011"/>
      <w:r w:rsidRPr="00391C98">
        <w:rPr>
          <w:rFonts w:asciiTheme="minorBidi" w:hAnsiTheme="minorBidi" w:cstheme="minorBidi"/>
        </w:rPr>
        <w:t>8.4 Verification Methods</w:t>
      </w:r>
      <w:bookmarkEnd w:id="40"/>
    </w:p>
    <w:p w14:paraId="332D8D0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Performance under Pillar II is verified through the following documentary evidence:</w:t>
      </w:r>
    </w:p>
    <w:p w14:paraId="7588C33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Research activity logs, recording time dedicated to specific research projects across the appraisal period.</w:t>
      </w:r>
    </w:p>
    <w:p w14:paraId="1AB74971"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Publication records, including accepted, in-press, and published peer-reviewed outputs, along with other recognized scholarly outputs appropriate to the discipline.</w:t>
      </w:r>
    </w:p>
    <w:p w14:paraId="048929C7"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Grant documentation, including submitted and awarded funding applications and associated reporting.</w:t>
      </w:r>
    </w:p>
    <w:p w14:paraId="1D1473D6"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Conference participation records, including presentations, keynote addresses, and organizational roles at recognized academic conferences.</w:t>
      </w:r>
    </w:p>
    <w:p w14:paraId="34ACA997" w14:textId="77777777" w:rsidR="00267268" w:rsidRPr="00391C98" w:rsidRDefault="00000000" w:rsidP="00E64E4C">
      <w:pPr>
        <w:pStyle w:val="2"/>
        <w:spacing w:before="240" w:after="160"/>
        <w:jc w:val="both"/>
        <w:rPr>
          <w:rFonts w:asciiTheme="minorBidi" w:hAnsiTheme="minorBidi" w:cstheme="minorBidi"/>
        </w:rPr>
      </w:pPr>
      <w:bookmarkStart w:id="41" w:name="_Toc240901012"/>
      <w:r w:rsidRPr="00391C98">
        <w:rPr>
          <w:rFonts w:asciiTheme="minorBidi" w:hAnsiTheme="minorBidi" w:cstheme="minorBidi"/>
        </w:rPr>
        <w:t>8.5 Research Leave and Sabbatical Interaction</w:t>
      </w:r>
      <w:bookmarkEnd w:id="41"/>
    </w:p>
    <w:p w14:paraId="5EF2DF5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a staff member is on approved research leave or sabbatical for part or all of an appraisal period, the Pillar II benchmark for that period is adjusted in accordance with the University's Research Leave Policy, and the Teaching and Service pillars are correspondingly reduced or reassigned for the duration of the leave. Workload Plans for staff returning from extended research leave should reflect a reasonable transitional period for the resumption of full teaching and service duties, as agreed with the Head of Department.</w:t>
      </w:r>
    </w:p>
    <w:p w14:paraId="266E21FC" w14:textId="77777777" w:rsidR="00267268" w:rsidRPr="00391C98" w:rsidRDefault="00000000" w:rsidP="00E64E4C">
      <w:pPr>
        <w:pStyle w:val="1"/>
        <w:jc w:val="both"/>
        <w:rPr>
          <w:rFonts w:asciiTheme="minorBidi" w:hAnsiTheme="minorBidi" w:cstheme="minorBidi"/>
        </w:rPr>
      </w:pPr>
      <w:bookmarkStart w:id="42" w:name="_Toc240901013"/>
      <w:r w:rsidRPr="00391C98">
        <w:rPr>
          <w:rFonts w:asciiTheme="minorBidi" w:hAnsiTheme="minorBidi" w:cstheme="minorBidi"/>
        </w:rPr>
        <w:lastRenderedPageBreak/>
        <w:t>9. Core Pillar III: Service, Administration, and Student Support</w:t>
      </w:r>
      <w:bookmarkEnd w:id="42"/>
    </w:p>
    <w:p w14:paraId="6A1A882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Pillar III governs the evaluation of faculty dedication to advanced student guidance, developmental mentorship, academic advising, institutional governance, and quality assurance. It is the pillar in which rank-specific differentiation is most pronounced, reflecting the different institutional roles that different ranks are expected to play in supporting students and safeguarding academic standards.</w:t>
      </w:r>
    </w:p>
    <w:p w14:paraId="16E71911" w14:textId="77777777" w:rsidR="00267268" w:rsidRPr="00391C98" w:rsidRDefault="00000000" w:rsidP="00E64E4C">
      <w:pPr>
        <w:pStyle w:val="2"/>
        <w:spacing w:before="240" w:after="160"/>
        <w:jc w:val="both"/>
        <w:rPr>
          <w:rFonts w:asciiTheme="minorBidi" w:hAnsiTheme="minorBidi" w:cstheme="minorBidi"/>
        </w:rPr>
      </w:pPr>
      <w:bookmarkStart w:id="43" w:name="_Toc240901014"/>
      <w:r w:rsidRPr="00391C98">
        <w:rPr>
          <w:rFonts w:asciiTheme="minorBidi" w:hAnsiTheme="minorBidi" w:cstheme="minorBidi"/>
        </w:rPr>
        <w:t>9.1 Objective</w:t>
      </w:r>
      <w:bookmarkEnd w:id="43"/>
    </w:p>
    <w:p w14:paraId="3AB9582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objective of Pillar III is to measure faculty dedication to advanced student guidance, developmental mentorship, academic advising, and quality assurance. This pillar recognizes that a University's academic quality depends not only on what is taught in the classroom and produced in the laboratory, but on the institutional structures — supervision, advising, governance, and continuous review — that surround and support both students and the academic programs themselves.</w:t>
      </w:r>
    </w:p>
    <w:p w14:paraId="73787642" w14:textId="77777777" w:rsidR="00267268" w:rsidRPr="00391C98" w:rsidRDefault="00000000" w:rsidP="00E64E4C">
      <w:pPr>
        <w:pStyle w:val="2"/>
        <w:spacing w:before="240" w:after="160"/>
        <w:jc w:val="both"/>
        <w:rPr>
          <w:rFonts w:asciiTheme="minorBidi" w:hAnsiTheme="minorBidi" w:cstheme="minorBidi"/>
        </w:rPr>
      </w:pPr>
      <w:bookmarkStart w:id="44" w:name="_Toc240901015"/>
      <w:r w:rsidRPr="00391C98">
        <w:rPr>
          <w:rFonts w:asciiTheme="minorBidi" w:hAnsiTheme="minorBidi" w:cstheme="minorBidi"/>
        </w:rPr>
        <w:t>9.2 Rank-Specific Mentoring and Service Components</w:t>
      </w:r>
      <w:bookmarkEnd w:id="44"/>
    </w:p>
    <w:p w14:paraId="6F5DBFD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Unlike Pillars I and II, whose evaluation criteria are largely uniform across ranks, Pillar III is structured around distinct, rank-specific mentoring and service responsibilities, each carrying its own characteristic set of duties within the common 150-hour (or, for Heads of Department, 200-hour) allocation.</w:t>
      </w:r>
    </w:p>
    <w:p w14:paraId="7A961463" w14:textId="77777777" w:rsidR="00267268" w:rsidRPr="00391C98" w:rsidRDefault="00000000" w:rsidP="00E64E4C">
      <w:pPr>
        <w:pStyle w:val="3"/>
        <w:spacing w:before="240" w:after="160"/>
        <w:jc w:val="both"/>
        <w:rPr>
          <w:rFonts w:asciiTheme="minorBidi" w:hAnsiTheme="minorBidi" w:cstheme="minorBidi"/>
        </w:rPr>
      </w:pPr>
      <w:bookmarkStart w:id="45" w:name="_Toc240901016"/>
      <w:r w:rsidRPr="00391C98">
        <w:rPr>
          <w:rFonts w:asciiTheme="minorBidi" w:hAnsiTheme="minorBidi" w:cstheme="minorBidi"/>
        </w:rPr>
        <w:t>9.2.1 Professors: Doctoral Supervision and Advanced Guidance</w:t>
      </w:r>
      <w:bookmarkEnd w:id="45"/>
    </w:p>
    <w:p w14:paraId="6A99267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For Professors, the 150-hour Pillar III allocation is dedicated to doctoral supervision and other forms of advanced postgraduate guidance. This includes the direct supervision of doctoral candidates through proposal development, data collection or fieldwork oversight, dissertation drafting, and examination preparation, as well as service on doctoral supervisory panels and examination committees for candidates supervised by colleagues.</w:t>
      </w:r>
    </w:p>
    <w:p w14:paraId="10652029" w14:textId="77777777" w:rsidR="00267268" w:rsidRPr="00391C98" w:rsidRDefault="00000000" w:rsidP="00E64E4C">
      <w:pPr>
        <w:pStyle w:val="3"/>
        <w:spacing w:before="240" w:after="160"/>
        <w:jc w:val="both"/>
        <w:rPr>
          <w:rFonts w:asciiTheme="minorBidi" w:hAnsiTheme="minorBidi" w:cstheme="minorBidi"/>
        </w:rPr>
      </w:pPr>
      <w:bookmarkStart w:id="46" w:name="_Toc240901017"/>
      <w:r w:rsidRPr="00391C98">
        <w:rPr>
          <w:rFonts w:asciiTheme="minorBidi" w:hAnsiTheme="minorBidi" w:cstheme="minorBidi"/>
        </w:rPr>
        <w:t>9.2.2 Associate Professors: Master's Thesis Supervision and Program Advising</w:t>
      </w:r>
      <w:bookmarkEnd w:id="46"/>
    </w:p>
    <w:p w14:paraId="128F8D9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For Associate Professors, the 150-hour Pillar III allocation is dedicated to master's thesis and dissertation supervision, together with program-level academic advising, which may include service as a program or specialization coordinator, advising on course sequencing and academic progression, and liaison with students on academic pathway decisions.</w:t>
      </w:r>
    </w:p>
    <w:p w14:paraId="28372196" w14:textId="77777777" w:rsidR="00267268" w:rsidRPr="00391C98" w:rsidRDefault="00000000" w:rsidP="00E64E4C">
      <w:pPr>
        <w:pStyle w:val="3"/>
        <w:spacing w:before="240" w:after="160"/>
        <w:jc w:val="both"/>
        <w:rPr>
          <w:rFonts w:asciiTheme="minorBidi" w:hAnsiTheme="minorBidi" w:cstheme="minorBidi"/>
        </w:rPr>
      </w:pPr>
      <w:bookmarkStart w:id="47" w:name="_Toc240901018"/>
      <w:r w:rsidRPr="00391C98">
        <w:rPr>
          <w:rFonts w:asciiTheme="minorBidi" w:hAnsiTheme="minorBidi" w:cstheme="minorBidi"/>
        </w:rPr>
        <w:t>9.2.3 Lecturers and Assistants: Foundational Tutorials and Laboratory Support</w:t>
      </w:r>
      <w:bookmarkEnd w:id="47"/>
    </w:p>
    <w:p w14:paraId="6610418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For Senior Lecturers, Lecturers, and Assistants, the 150-hour Pillar III allocation is dedicated to foundational tutorials and laboratory support, together with introductory academic advising for undergraduate students. This reflects the front-line, high-volume nature of student support typically provided at these ranks, including supplemental instruction sessions, drop-in help sessions, and </w:t>
      </w:r>
      <w:r w:rsidRPr="00391C98">
        <w:rPr>
          <w:rFonts w:asciiTheme="minorBidi" w:hAnsiTheme="minorBidi" w:cstheme="minorBidi"/>
        </w:rPr>
        <w:lastRenderedPageBreak/>
        <w:t>laboratory or practicum supervision that falls outside formally timetabled contact hours already counted under Pillar I.</w:t>
      </w:r>
    </w:p>
    <w:p w14:paraId="18AE76D7" w14:textId="77777777" w:rsidR="00267268" w:rsidRPr="00391C98" w:rsidRDefault="00000000" w:rsidP="00E64E4C">
      <w:pPr>
        <w:pStyle w:val="3"/>
        <w:spacing w:before="240" w:after="160"/>
        <w:jc w:val="both"/>
        <w:rPr>
          <w:rFonts w:asciiTheme="minorBidi" w:hAnsiTheme="minorBidi" w:cstheme="minorBidi"/>
        </w:rPr>
      </w:pPr>
      <w:bookmarkStart w:id="48" w:name="_Toc240901019"/>
      <w:r w:rsidRPr="00391C98">
        <w:rPr>
          <w:rFonts w:asciiTheme="minorBidi" w:hAnsiTheme="minorBidi" w:cstheme="minorBidi"/>
        </w:rPr>
        <w:t>9.2.4 Heads of Department / Program Directors: Strategic Leadership, QA, Peer Review, and Faculty Mentoring</w:t>
      </w:r>
      <w:bookmarkEnd w:id="48"/>
    </w:p>
    <w:p w14:paraId="7811E2A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For Heads of Department and Program Directors, the Pillar III allocation is both larger in absolute terms (200 hours) and broader in scope, encompassing strategic departmental leadership, curriculum governance, quality assurance activity, participation in peer review processes — including peer observation of teaching within the department — and the structured mentoring of junior faculty. This reflects the distinctive institutional role of departmental leadership: rather than mentoring individual students, Heads of Department are principally responsible for mentoring and developing the academic staff who in turn deliver Pillars I and II across the department.</w:t>
      </w:r>
    </w:p>
    <w:p w14:paraId="61321F7A" w14:textId="77777777" w:rsidR="00267268" w:rsidRPr="00391C98" w:rsidRDefault="00000000" w:rsidP="00E64E4C">
      <w:pPr>
        <w:pStyle w:val="2"/>
        <w:spacing w:before="240" w:after="160"/>
        <w:jc w:val="both"/>
        <w:rPr>
          <w:rFonts w:asciiTheme="minorBidi" w:hAnsiTheme="minorBidi" w:cstheme="minorBidi"/>
        </w:rPr>
      </w:pPr>
      <w:bookmarkStart w:id="49" w:name="_Toc240901020"/>
      <w:r w:rsidRPr="00391C98">
        <w:rPr>
          <w:rFonts w:asciiTheme="minorBidi" w:hAnsiTheme="minorBidi" w:cstheme="minorBidi"/>
        </w:rPr>
        <w:t>9.3 Verification Methods</w:t>
      </w:r>
      <w:bookmarkEnd w:id="49"/>
    </w:p>
    <w:p w14:paraId="5AEE654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Performance under Pillar III is verified through the following documentary evidence:</w:t>
      </w:r>
    </w:p>
    <w:p w14:paraId="06B16750"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Supervision logs, recording individual supervisory meetings and milestones for doctoral and master's students.</w:t>
      </w:r>
    </w:p>
    <w:p w14:paraId="5ED512D8"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Advising records, documenting academic advising sessions and outcomes for undergraduate and postgraduate students.</w:t>
      </w:r>
    </w:p>
    <w:p w14:paraId="2F40DDCF"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Departmental committee minutes, evidencing participation in governance, curriculum, and other institutional committees.</w:t>
      </w:r>
    </w:p>
    <w:p w14:paraId="668A12E8"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Quality assurance review documentation, including self-study contributions, peer observation reports, and accreditation-related records.</w:t>
      </w:r>
    </w:p>
    <w:p w14:paraId="5A043DC6" w14:textId="77777777" w:rsidR="00267268" w:rsidRPr="00391C98" w:rsidRDefault="00000000" w:rsidP="00E64E4C">
      <w:pPr>
        <w:pStyle w:val="2"/>
        <w:spacing w:before="240" w:after="160"/>
        <w:jc w:val="both"/>
        <w:rPr>
          <w:rFonts w:asciiTheme="minorBidi" w:hAnsiTheme="minorBidi" w:cstheme="minorBidi"/>
        </w:rPr>
      </w:pPr>
      <w:bookmarkStart w:id="50" w:name="_Toc240901021"/>
      <w:r w:rsidRPr="00391C98">
        <w:rPr>
          <w:rFonts w:asciiTheme="minorBidi" w:hAnsiTheme="minorBidi" w:cstheme="minorBidi"/>
        </w:rPr>
        <w:t>9.4 Quality Assurance as a Shared Institutional Obligation</w:t>
      </w:r>
      <w:bookmarkEnd w:id="50"/>
    </w:p>
    <w:p w14:paraId="6FC2B98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While the Pillar III allocation for Heads of Department places particular emphasis on quality assurance leadership, all academic staff are expected to participate, in proportion to their rank and role, in the QA activities relevant to their programs — including responding to peer observation feedback, contributing to program self-studies, and cooperating with external examiner and accreditation processes. Such participation, where it falls outside a staff member's primary Pillar III allocation, should be documented and, where material in scope, reflected in the staff member's Workload Plan.</w:t>
      </w:r>
    </w:p>
    <w:p w14:paraId="1C557A9E" w14:textId="77777777" w:rsidR="00267268" w:rsidRPr="00391C98" w:rsidRDefault="00000000" w:rsidP="00E64E4C">
      <w:pPr>
        <w:pStyle w:val="1"/>
        <w:jc w:val="both"/>
        <w:rPr>
          <w:rFonts w:asciiTheme="minorBidi" w:hAnsiTheme="minorBidi" w:cstheme="minorBidi"/>
        </w:rPr>
      </w:pPr>
      <w:bookmarkStart w:id="51" w:name="_Toc240901022"/>
      <w:r w:rsidRPr="00391C98">
        <w:rPr>
          <w:rFonts w:asciiTheme="minorBidi" w:hAnsiTheme="minorBidi" w:cstheme="minorBidi"/>
        </w:rPr>
        <w:t>10. Consolidated Evaluation Criteria and Verification Methods</w:t>
      </w:r>
      <w:bookmarkEnd w:id="51"/>
    </w:p>
    <w:p w14:paraId="164DC6F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The table at the end of this section consolidates the objectives, verification methods, and evaluation criteria described in Sections 7 through 9, and constitutes the definitive reference used by Faculty Performance Review Committees during the annual appraisal process described in Section 13. </w:t>
      </w:r>
      <w:r w:rsidRPr="00391C98">
        <w:rPr>
          <w:rFonts w:asciiTheme="minorBidi" w:hAnsiTheme="minorBidi" w:cstheme="minorBidi"/>
        </w:rPr>
        <w:lastRenderedPageBreak/>
        <w:t>Reviewers should read the table in conjunction with the fuller narrative descriptions provided in the preceding sections, particularly when interpreting borderline or discipline-specific cases.</w:t>
      </w:r>
    </w:p>
    <w:tbl>
      <w:tblPr>
        <w:tblW w:w="10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2400"/>
        <w:gridCol w:w="2600"/>
        <w:gridCol w:w="3200"/>
      </w:tblGrid>
      <w:tr w:rsidR="00267268" w:rsidRPr="00391C98" w14:paraId="51F5194E"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40D66A63"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Core Pillar</w:t>
            </w:r>
          </w:p>
        </w:tc>
        <w:tc>
          <w:tcPr>
            <w:tcW w:w="2400" w:type="dxa"/>
            <w:shd w:val="clear" w:color="auto" w:fill="1F3864"/>
            <w:tcMar>
              <w:top w:w="100" w:type="dxa"/>
              <w:left w:w="120" w:type="dxa"/>
              <w:bottom w:w="100" w:type="dxa"/>
              <w:right w:w="120" w:type="dxa"/>
            </w:tcMar>
            <w:vAlign w:val="center"/>
          </w:tcPr>
          <w:p w14:paraId="7CBC3971"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Objective</w:t>
            </w:r>
          </w:p>
        </w:tc>
        <w:tc>
          <w:tcPr>
            <w:tcW w:w="2600" w:type="dxa"/>
            <w:shd w:val="clear" w:color="auto" w:fill="1F3864"/>
            <w:tcMar>
              <w:top w:w="100" w:type="dxa"/>
              <w:left w:w="120" w:type="dxa"/>
              <w:bottom w:w="100" w:type="dxa"/>
              <w:right w:w="120" w:type="dxa"/>
            </w:tcMar>
            <w:vAlign w:val="center"/>
          </w:tcPr>
          <w:p w14:paraId="5BF4B051"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Verification Methods</w:t>
            </w:r>
          </w:p>
        </w:tc>
        <w:tc>
          <w:tcPr>
            <w:tcW w:w="3200" w:type="dxa"/>
            <w:shd w:val="clear" w:color="auto" w:fill="1F3864"/>
            <w:tcMar>
              <w:top w:w="100" w:type="dxa"/>
              <w:left w:w="120" w:type="dxa"/>
              <w:bottom w:w="100" w:type="dxa"/>
              <w:right w:w="120" w:type="dxa"/>
            </w:tcMar>
            <w:vAlign w:val="center"/>
          </w:tcPr>
          <w:p w14:paraId="551CEE76"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Evaluation Criteria &amp; Benchmarks</w:t>
            </w:r>
          </w:p>
        </w:tc>
      </w:tr>
      <w:tr w:rsidR="00267268" w:rsidRPr="00391C98" w14:paraId="0932D6A1"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42D8A98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I. Teaching and Instruction (Student-Centered Delivery)</w:t>
            </w:r>
          </w:p>
        </w:tc>
        <w:tc>
          <w:tcPr>
            <w:tcW w:w="2400" w:type="dxa"/>
            <w:shd w:val="clear" w:color="auto" w:fill="F2F2F2"/>
            <w:tcMar>
              <w:top w:w="100" w:type="dxa"/>
              <w:left w:w="120" w:type="dxa"/>
              <w:bottom w:w="100" w:type="dxa"/>
              <w:right w:w="120" w:type="dxa"/>
            </w:tcMar>
            <w:vAlign w:val="center"/>
          </w:tcPr>
          <w:p w14:paraId="0CEC012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To evaluate the effective, high-quality delivery of contact hours, active student engagement, and adherence to approved curriculum learning outcomes.</w:t>
            </w:r>
          </w:p>
        </w:tc>
        <w:tc>
          <w:tcPr>
            <w:tcW w:w="2600" w:type="dxa"/>
            <w:shd w:val="clear" w:color="auto" w:fill="F2F2F2"/>
            <w:tcMar>
              <w:top w:w="100" w:type="dxa"/>
              <w:left w:w="120" w:type="dxa"/>
              <w:bottom w:w="100" w:type="dxa"/>
              <w:right w:w="120" w:type="dxa"/>
            </w:tcMar>
            <w:vAlign w:val="center"/>
          </w:tcPr>
          <w:p w14:paraId="54F5D51E"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Teaching logs &amp; timetables</w:t>
            </w:r>
          </w:p>
          <w:p w14:paraId="75FDBB7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Student attendance</w:t>
            </w:r>
          </w:p>
          <w:p w14:paraId="220D765C"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Course syllabi</w:t>
            </w:r>
          </w:p>
          <w:p w14:paraId="79826ED3"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Student Evaluation of Teaching (SET) scores</w:t>
            </w:r>
          </w:p>
        </w:tc>
        <w:tc>
          <w:tcPr>
            <w:tcW w:w="3200" w:type="dxa"/>
            <w:shd w:val="clear" w:color="auto" w:fill="F2F2F2"/>
            <w:tcMar>
              <w:top w:w="100" w:type="dxa"/>
              <w:left w:w="120" w:type="dxa"/>
              <w:bottom w:w="100" w:type="dxa"/>
              <w:right w:w="120" w:type="dxa"/>
            </w:tcMar>
            <w:vAlign w:val="center"/>
          </w:tcPr>
          <w:p w14:paraId="1BE298D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Contact Quotas: full fulfillment of rank-specific hours (350–500 hrs).</w:t>
            </w:r>
          </w:p>
          <w:p w14:paraId="5F0DC060"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Pedagogy: inclusive, interactive, student-centered methodologies.</w:t>
            </w:r>
          </w:p>
          <w:p w14:paraId="2D9A0808"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Responsiveness: office hours, assessment feedback, consultations.</w:t>
            </w:r>
          </w:p>
        </w:tc>
      </w:tr>
      <w:tr w:rsidR="00267268" w:rsidRPr="00391C98" w14:paraId="17B6A273" w14:textId="77777777">
        <w:tblPrEx>
          <w:tblCellMar>
            <w:top w:w="0" w:type="dxa"/>
            <w:bottom w:w="0" w:type="dxa"/>
          </w:tblCellMar>
        </w:tblPrEx>
        <w:tc>
          <w:tcPr>
            <w:tcW w:w="1800" w:type="dxa"/>
            <w:tcMar>
              <w:top w:w="100" w:type="dxa"/>
              <w:left w:w="120" w:type="dxa"/>
              <w:bottom w:w="100" w:type="dxa"/>
              <w:right w:w="120" w:type="dxa"/>
            </w:tcMar>
            <w:vAlign w:val="center"/>
          </w:tcPr>
          <w:p w14:paraId="7E60890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II. Research and Scholarly Activity (Research-Informed Teaching)</w:t>
            </w:r>
          </w:p>
        </w:tc>
        <w:tc>
          <w:tcPr>
            <w:tcW w:w="2400" w:type="dxa"/>
            <w:tcMar>
              <w:top w:w="100" w:type="dxa"/>
              <w:left w:w="120" w:type="dxa"/>
              <w:bottom w:w="100" w:type="dxa"/>
              <w:right w:w="120" w:type="dxa"/>
            </w:tcMar>
            <w:vAlign w:val="center"/>
          </w:tcPr>
          <w:p w14:paraId="587671CA"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To assess active participation in disciplinary research and scientific inquiry, ensuring study programs remain scientifically rigorous and up to date.</w:t>
            </w:r>
          </w:p>
        </w:tc>
        <w:tc>
          <w:tcPr>
            <w:tcW w:w="2600" w:type="dxa"/>
            <w:tcMar>
              <w:top w:w="100" w:type="dxa"/>
              <w:left w:w="120" w:type="dxa"/>
              <w:bottom w:w="100" w:type="dxa"/>
              <w:right w:w="120" w:type="dxa"/>
            </w:tcMar>
            <w:vAlign w:val="center"/>
          </w:tcPr>
          <w:p w14:paraId="52F849E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Research activity logs</w:t>
            </w:r>
          </w:p>
          <w:p w14:paraId="1A37A52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Publication records</w:t>
            </w:r>
          </w:p>
          <w:p w14:paraId="63C8275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Grant documentation</w:t>
            </w:r>
          </w:p>
          <w:p w14:paraId="1099B103"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Conference participation</w:t>
            </w:r>
          </w:p>
        </w:tc>
        <w:tc>
          <w:tcPr>
            <w:tcW w:w="3200" w:type="dxa"/>
            <w:tcMar>
              <w:top w:w="100" w:type="dxa"/>
              <w:left w:w="120" w:type="dxa"/>
              <w:bottom w:w="100" w:type="dxa"/>
              <w:right w:w="120" w:type="dxa"/>
            </w:tcMar>
            <w:vAlign w:val="center"/>
          </w:tcPr>
          <w:p w14:paraId="73287E5A"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Time Allocation: 35%–50% / 350–500 hrs based on rank.</w:t>
            </w:r>
          </w:p>
          <w:p w14:paraId="738440B9"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Outputs: disciplinary inquiry, peer-reviewed publishing, grant acquisition.</w:t>
            </w:r>
          </w:p>
          <w:p w14:paraId="33B3E721"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Curriculum Translation: integration of findings into lectures &amp; labs.</w:t>
            </w:r>
          </w:p>
        </w:tc>
      </w:tr>
      <w:tr w:rsidR="00267268" w:rsidRPr="00391C98" w14:paraId="7D0555B1"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5482D7D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III. Student Support, Mentoring &amp; QA (Institutional &amp; Academic Support)</w:t>
            </w:r>
          </w:p>
        </w:tc>
        <w:tc>
          <w:tcPr>
            <w:tcW w:w="2400" w:type="dxa"/>
            <w:shd w:val="clear" w:color="auto" w:fill="F2F2F2"/>
            <w:tcMar>
              <w:top w:w="100" w:type="dxa"/>
              <w:left w:w="120" w:type="dxa"/>
              <w:bottom w:w="100" w:type="dxa"/>
              <w:right w:w="120" w:type="dxa"/>
            </w:tcMar>
            <w:vAlign w:val="center"/>
          </w:tcPr>
          <w:p w14:paraId="3AA01B11"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To measure faculty dedication to advanced student guidance, developmental mentorship, academic advising, and quality assurance.</w:t>
            </w:r>
          </w:p>
        </w:tc>
        <w:tc>
          <w:tcPr>
            <w:tcW w:w="2600" w:type="dxa"/>
            <w:shd w:val="clear" w:color="auto" w:fill="F2F2F2"/>
            <w:tcMar>
              <w:top w:w="100" w:type="dxa"/>
              <w:left w:w="120" w:type="dxa"/>
              <w:bottom w:w="100" w:type="dxa"/>
              <w:right w:w="120" w:type="dxa"/>
            </w:tcMar>
            <w:vAlign w:val="center"/>
          </w:tcPr>
          <w:p w14:paraId="2B3B3697"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Supervision logs</w:t>
            </w:r>
          </w:p>
          <w:p w14:paraId="19AA0969"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Advising records</w:t>
            </w:r>
          </w:p>
          <w:p w14:paraId="2B37D0B8"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Departmental committee minutes</w:t>
            </w:r>
          </w:p>
          <w:p w14:paraId="174EF8F0"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QA review documentation</w:t>
            </w:r>
          </w:p>
        </w:tc>
        <w:tc>
          <w:tcPr>
            <w:tcW w:w="3200" w:type="dxa"/>
            <w:shd w:val="clear" w:color="auto" w:fill="F2F2F2"/>
            <w:tcMar>
              <w:top w:w="100" w:type="dxa"/>
              <w:left w:w="120" w:type="dxa"/>
              <w:bottom w:w="100" w:type="dxa"/>
              <w:right w:w="120" w:type="dxa"/>
            </w:tcMar>
            <w:vAlign w:val="center"/>
          </w:tcPr>
          <w:p w14:paraId="4BB0DDB6"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Professors: doctoral supervision &amp; advanced guidance (150 hrs).</w:t>
            </w:r>
          </w:p>
          <w:p w14:paraId="5B3676BE"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Associate Professors: master's thesis &amp; program advising (150 hrs).</w:t>
            </w:r>
          </w:p>
          <w:p w14:paraId="537638E1"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Lecturers/Assistants: foundational tutorials &amp; lab support (150 hrs).</w:t>
            </w:r>
          </w:p>
          <w:p w14:paraId="7970F21E"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Heads/Directors: strategic leadership, QA, peer review, faculty mentoring (200 hrs).</w:t>
            </w:r>
          </w:p>
        </w:tc>
      </w:tr>
    </w:tbl>
    <w:p w14:paraId="50B55D9D" w14:textId="77777777" w:rsidR="00267268" w:rsidRPr="00391C98" w:rsidRDefault="00000000" w:rsidP="00E64E4C">
      <w:pPr>
        <w:pStyle w:val="1"/>
        <w:jc w:val="both"/>
        <w:rPr>
          <w:rFonts w:asciiTheme="minorBidi" w:hAnsiTheme="minorBidi" w:cstheme="minorBidi"/>
        </w:rPr>
      </w:pPr>
      <w:bookmarkStart w:id="52" w:name="_Toc240901023"/>
      <w:r w:rsidRPr="00391C98">
        <w:rPr>
          <w:rFonts w:asciiTheme="minorBidi" w:hAnsiTheme="minorBidi" w:cstheme="minorBidi"/>
        </w:rPr>
        <w:t>11. Workload Planning Process</w:t>
      </w:r>
      <w:bookmarkEnd w:id="52"/>
    </w:p>
    <w:p w14:paraId="58D522A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Effective application of this Guideline depends on a disciplined annual planning process, conducted before the start of each academic year, through which each academic staff member's 1,000 standard hours are allocated to specific, named activities across the three Core Pillars.</w:t>
      </w:r>
    </w:p>
    <w:p w14:paraId="03A05477" w14:textId="77777777" w:rsidR="00267268" w:rsidRPr="00391C98" w:rsidRDefault="00000000" w:rsidP="00E64E4C">
      <w:pPr>
        <w:pStyle w:val="2"/>
        <w:spacing w:before="240" w:after="160"/>
        <w:jc w:val="both"/>
        <w:rPr>
          <w:rFonts w:asciiTheme="minorBidi" w:hAnsiTheme="minorBidi" w:cstheme="minorBidi"/>
        </w:rPr>
      </w:pPr>
      <w:bookmarkStart w:id="53" w:name="_Toc240901024"/>
      <w:r w:rsidRPr="00391C98">
        <w:rPr>
          <w:rFonts w:asciiTheme="minorBidi" w:hAnsiTheme="minorBidi" w:cstheme="minorBidi"/>
        </w:rPr>
        <w:t>11.1 Preparation of the Individual Workload Plan</w:t>
      </w:r>
      <w:bookmarkEnd w:id="53"/>
    </w:p>
    <w:p w14:paraId="38D5183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Head of Department is responsible for preparing, in direct consultation with each academic staff member in their department, an individual Workload Plan prior to the start of the academic year. The Workload Plan must specify: the staff member's rank and applicable benchmark percentages; the specific courses, sections, and contact hours assigned under Pillar I; the specific research projects, grant applications, or scholarly commitments anticipated under Pillar II; and the specific supervisory, advising, governance, or QA duties assigned under Pillar III.</w:t>
      </w:r>
    </w:p>
    <w:p w14:paraId="620FF98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The Workload Plan must sum, across all three pillars, to the staff member's full 1,000-hour annual standard, or the correctly prorated equivalent for part-time or fractional appointments, and must respect the rank-specific benchmark ranges described in Section 6. Any planned departure from those benchmark ranges requires the written justification and dual approval described in Section 6.5.</w:t>
      </w:r>
    </w:p>
    <w:p w14:paraId="19E3DB27" w14:textId="77777777" w:rsidR="00267268" w:rsidRPr="00391C98" w:rsidRDefault="00000000" w:rsidP="00E64E4C">
      <w:pPr>
        <w:pStyle w:val="2"/>
        <w:spacing w:before="240" w:after="160"/>
        <w:jc w:val="both"/>
        <w:rPr>
          <w:rFonts w:asciiTheme="minorBidi" w:hAnsiTheme="minorBidi" w:cstheme="minorBidi"/>
        </w:rPr>
      </w:pPr>
      <w:bookmarkStart w:id="54" w:name="_Toc240901025"/>
      <w:r w:rsidRPr="00391C98">
        <w:rPr>
          <w:rFonts w:asciiTheme="minorBidi" w:hAnsiTheme="minorBidi" w:cstheme="minorBidi"/>
        </w:rPr>
        <w:t>11.2 Staff Member Review and Sign-Off</w:t>
      </w:r>
      <w:bookmarkEnd w:id="54"/>
    </w:p>
    <w:p w14:paraId="555B225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draft Workload Plan must be shared with the academic staff member for review and comment before it is finalized. The staff member may request adjustments, and any disagreement between the staff member and the Head of Department that cannot be resolved through direct discussion should be escalated to the Dean for mediation prior to the plan's finalization. Once agreed, the Workload Plan is signed by both the staff member and the Head of Department and lodged with the Faculty Office.</w:t>
      </w:r>
    </w:p>
    <w:p w14:paraId="2442104B" w14:textId="77777777" w:rsidR="00267268" w:rsidRPr="00391C98" w:rsidRDefault="00000000" w:rsidP="00E64E4C">
      <w:pPr>
        <w:pStyle w:val="2"/>
        <w:spacing w:before="240" w:after="160"/>
        <w:jc w:val="both"/>
        <w:rPr>
          <w:rFonts w:asciiTheme="minorBidi" w:hAnsiTheme="minorBidi" w:cstheme="minorBidi"/>
        </w:rPr>
      </w:pPr>
      <w:bookmarkStart w:id="55" w:name="_Toc240901026"/>
      <w:r w:rsidRPr="00391C98">
        <w:rPr>
          <w:rFonts w:asciiTheme="minorBidi" w:hAnsiTheme="minorBidi" w:cstheme="minorBidi"/>
        </w:rPr>
        <w:t>11.3 Faculty-Level Consolidation and Approval</w:t>
      </w:r>
      <w:bookmarkEnd w:id="55"/>
    </w:p>
    <w:p w14:paraId="1577E42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Deans, supported by the Faculty Office, are responsible for consolidating individual Workload Plans across their faculty to confirm that aggregate teaching, research, and service commitments align with program delivery requirements, accreditation obligations, and approved staffing levels. Deans retain final approval authority over all Workload Plans within their faculty and may request revisions where a plan does not adequately reflect programmatic needs.</w:t>
      </w:r>
    </w:p>
    <w:p w14:paraId="3378EDB5" w14:textId="77777777" w:rsidR="00267268" w:rsidRPr="00391C98" w:rsidRDefault="00000000" w:rsidP="00E64E4C">
      <w:pPr>
        <w:pStyle w:val="2"/>
        <w:spacing w:before="240" w:after="160"/>
        <w:jc w:val="both"/>
        <w:rPr>
          <w:rFonts w:asciiTheme="minorBidi" w:hAnsiTheme="minorBidi" w:cstheme="minorBidi"/>
        </w:rPr>
      </w:pPr>
      <w:bookmarkStart w:id="56" w:name="_Toc240901027"/>
      <w:r w:rsidRPr="00391C98">
        <w:rPr>
          <w:rFonts w:asciiTheme="minorBidi" w:hAnsiTheme="minorBidi" w:cstheme="minorBidi"/>
        </w:rPr>
        <w:t>11.4 Mid-Year Review</w:t>
      </w:r>
      <w:bookmarkEnd w:id="56"/>
    </w:p>
    <w:p w14:paraId="41441969"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 brief, structured mid-year review is conducted between each academic staff member and their Head of Department, at the midpoint of the academic year, to confirm that the Workload Plan remains accurate and achievable, and to identify at the earliest opportunity any material variance that may require the exceptional-circumstances adjustment process described in Section 14.</w:t>
      </w:r>
    </w:p>
    <w:p w14:paraId="6C8FB71F" w14:textId="77777777" w:rsidR="00267268" w:rsidRPr="00391C98" w:rsidRDefault="00000000" w:rsidP="00E64E4C">
      <w:pPr>
        <w:pStyle w:val="1"/>
        <w:jc w:val="both"/>
        <w:rPr>
          <w:rFonts w:asciiTheme="minorBidi" w:hAnsiTheme="minorBidi" w:cstheme="minorBidi"/>
        </w:rPr>
      </w:pPr>
      <w:bookmarkStart w:id="57" w:name="_Toc240901028"/>
      <w:r w:rsidRPr="00391C98">
        <w:rPr>
          <w:rFonts w:asciiTheme="minorBidi" w:hAnsiTheme="minorBidi" w:cstheme="minorBidi"/>
        </w:rPr>
        <w:t>12. Documentation and Evidence Management</w:t>
      </w:r>
      <w:bookmarkEnd w:id="57"/>
    </w:p>
    <w:p w14:paraId="6071024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section sets out the general documentation standards applicable to all Verification Methods referenced throughout this Guideline, in order to ensure that the evidence base for performance appraisal is consistent, retrievable, and defensible in the event of audit, accreditation review, or grievance proceedings.</w:t>
      </w:r>
    </w:p>
    <w:p w14:paraId="6A70DB05" w14:textId="77777777" w:rsidR="00267268" w:rsidRPr="00391C98" w:rsidRDefault="00000000" w:rsidP="00E64E4C">
      <w:pPr>
        <w:pStyle w:val="2"/>
        <w:spacing w:before="240" w:after="160"/>
        <w:jc w:val="both"/>
        <w:rPr>
          <w:rFonts w:asciiTheme="minorBidi" w:hAnsiTheme="minorBidi" w:cstheme="minorBidi"/>
        </w:rPr>
      </w:pPr>
      <w:bookmarkStart w:id="58" w:name="_Toc240901029"/>
      <w:r w:rsidRPr="00391C98">
        <w:rPr>
          <w:rFonts w:asciiTheme="minorBidi" w:hAnsiTheme="minorBidi" w:cstheme="minorBidi"/>
        </w:rPr>
        <w:t>12.1 Recordkeeping Responsibility</w:t>
      </w:r>
      <w:bookmarkEnd w:id="58"/>
    </w:p>
    <w:p w14:paraId="068F336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Each academic staff member is responsible for maintaining, in the format and system specified by the Faculty Office, contemporaneous records of their teaching delivery, research activity, and service and mentoring engagements. Heads of Department are responsible for maintaining departmental-level records, including timetables, committee minutes, and consolidated Workload </w:t>
      </w:r>
      <w:r w:rsidRPr="00391C98">
        <w:rPr>
          <w:rFonts w:asciiTheme="minorBidi" w:hAnsiTheme="minorBidi" w:cstheme="minorBidi"/>
        </w:rPr>
        <w:lastRenderedPageBreak/>
        <w:t>Plans, and for ensuring that individual staff records are complete and accessible ahead of each appraisal cycle.</w:t>
      </w:r>
    </w:p>
    <w:p w14:paraId="3EB29436" w14:textId="77777777" w:rsidR="00267268" w:rsidRPr="00391C98" w:rsidRDefault="00000000" w:rsidP="00E64E4C">
      <w:pPr>
        <w:pStyle w:val="2"/>
        <w:spacing w:before="240" w:after="160"/>
        <w:jc w:val="both"/>
        <w:rPr>
          <w:rFonts w:asciiTheme="minorBidi" w:hAnsiTheme="minorBidi" w:cstheme="minorBidi"/>
        </w:rPr>
      </w:pPr>
      <w:bookmarkStart w:id="59" w:name="_Toc240901030"/>
      <w:r w:rsidRPr="00391C98">
        <w:rPr>
          <w:rFonts w:asciiTheme="minorBidi" w:hAnsiTheme="minorBidi" w:cstheme="minorBidi"/>
        </w:rPr>
        <w:t>12.2 Retention Period</w:t>
      </w:r>
      <w:bookmarkEnd w:id="59"/>
    </w:p>
    <w:p w14:paraId="63ECA72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Workload Plans, appraisal records, and the underlying Verification Method documentation described in Sections 7.4, 8.4, and 9.3 must be retained by the Faculty Office for a minimum of six years from the end of the academic year to which they relate, in order to support promotion review, accreditation cycles, and any subsequent grievance or audit processes.</w:t>
      </w:r>
    </w:p>
    <w:p w14:paraId="08D513E1" w14:textId="77777777" w:rsidR="00267268" w:rsidRPr="00391C98" w:rsidRDefault="00000000" w:rsidP="00E64E4C">
      <w:pPr>
        <w:pStyle w:val="2"/>
        <w:spacing w:before="240" w:after="160"/>
        <w:jc w:val="both"/>
        <w:rPr>
          <w:rFonts w:asciiTheme="minorBidi" w:hAnsiTheme="minorBidi" w:cstheme="minorBidi"/>
        </w:rPr>
      </w:pPr>
      <w:bookmarkStart w:id="60" w:name="_Toc240901031"/>
      <w:r w:rsidRPr="00391C98">
        <w:rPr>
          <w:rFonts w:asciiTheme="minorBidi" w:hAnsiTheme="minorBidi" w:cstheme="minorBidi"/>
        </w:rPr>
        <w:t>12.3 Digital Recordkeeping and Data Protection</w:t>
      </w:r>
      <w:bookmarkEnd w:id="60"/>
    </w:p>
    <w:p w14:paraId="7168659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the University provides a centralized digital system for workload and performance recordkeeping, its use is mandatory for all documentation described in this Guideline. All personal performance data collected under this Guideline is handled in accordance with the University's Data Protection and Privacy Policy, and access to an individual staff member's records is restricted to that staff member, their Head of Department, their Dean, members of the relevant Faculty Performance Review Committee, and authorized Human Resources personnel.</w:t>
      </w:r>
    </w:p>
    <w:p w14:paraId="4D0F5828" w14:textId="77777777" w:rsidR="00267268" w:rsidRPr="00391C98" w:rsidRDefault="00000000" w:rsidP="00E64E4C">
      <w:pPr>
        <w:pStyle w:val="1"/>
        <w:jc w:val="both"/>
        <w:rPr>
          <w:rFonts w:asciiTheme="minorBidi" w:hAnsiTheme="minorBidi" w:cstheme="minorBidi"/>
        </w:rPr>
      </w:pPr>
      <w:bookmarkStart w:id="61" w:name="_Toc240901032"/>
      <w:r w:rsidRPr="00391C98">
        <w:rPr>
          <w:rFonts w:asciiTheme="minorBidi" w:hAnsiTheme="minorBidi" w:cstheme="minorBidi"/>
        </w:rPr>
        <w:t>13. Annual Performance Appraisal Process</w:t>
      </w:r>
      <w:bookmarkEnd w:id="61"/>
    </w:p>
    <w:p w14:paraId="60B5D6D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section describes the formal process by which each academic staff member's performance is appraised annually against the standards established in Sections 6 through 10.</w:t>
      </w:r>
    </w:p>
    <w:p w14:paraId="3AFED310" w14:textId="77777777" w:rsidR="00267268" w:rsidRPr="00391C98" w:rsidRDefault="00000000" w:rsidP="00E64E4C">
      <w:pPr>
        <w:pStyle w:val="2"/>
        <w:spacing w:before="240" w:after="160"/>
        <w:jc w:val="both"/>
        <w:rPr>
          <w:rFonts w:asciiTheme="minorBidi" w:hAnsiTheme="minorBidi" w:cstheme="minorBidi"/>
        </w:rPr>
      </w:pPr>
      <w:bookmarkStart w:id="62" w:name="_Toc240901033"/>
      <w:r w:rsidRPr="00391C98">
        <w:rPr>
          <w:rFonts w:asciiTheme="minorBidi" w:hAnsiTheme="minorBidi" w:cstheme="minorBidi"/>
        </w:rPr>
        <w:t>13.1 Appraisal Cycle and Timeline</w:t>
      </w:r>
      <w:bookmarkEnd w:id="62"/>
    </w:p>
    <w:p w14:paraId="5CF3DD0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annual performance appraisal cycle follows the University's Academic Calendar and comprises four stages: (i) Workload Planning, conducted before the start of the academic year as described in Section 11; (ii) Mid-Year Review, conducted at the academic year's midpoint as described in Section 11.4; (iii) Evidence Compilation, conducted in the final month of the academic year, during which the staff member and Head of Department jointly assemble the Verification Method documentation described in Sections 7.4, 8.4, and 9.3; and (iv) Formal Appraisal, conducted by the Faculty Performance Review Committee within eight weeks of the end of the academic year.</w:t>
      </w:r>
    </w:p>
    <w:p w14:paraId="127476E6" w14:textId="77777777" w:rsidR="00267268" w:rsidRPr="00391C98" w:rsidRDefault="00000000" w:rsidP="00E64E4C">
      <w:pPr>
        <w:pStyle w:val="2"/>
        <w:spacing w:before="240" w:after="160"/>
        <w:jc w:val="both"/>
        <w:rPr>
          <w:rFonts w:asciiTheme="minorBidi" w:hAnsiTheme="minorBidi" w:cstheme="minorBidi"/>
        </w:rPr>
      </w:pPr>
      <w:bookmarkStart w:id="63" w:name="_Toc240901034"/>
      <w:r w:rsidRPr="00391C98">
        <w:rPr>
          <w:rFonts w:asciiTheme="minorBidi" w:hAnsiTheme="minorBidi" w:cstheme="minorBidi"/>
        </w:rPr>
        <w:t>13.2 Self-Assessment</w:t>
      </w:r>
      <w:bookmarkEnd w:id="63"/>
    </w:p>
    <w:p w14:paraId="1901FEF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academic staff member completes a structured self-assessment, addressing performance against each of the three Core Pillars with reference to their approved Workload Plan and the associated Verification Method evidence. The self-assessment is submitted to the Head of Department ahead of the Formal Appraisal stage and forms part of the record considered by the Faculty Performance Review Committee.</w:t>
      </w:r>
    </w:p>
    <w:p w14:paraId="7CA01AE8" w14:textId="77777777" w:rsidR="00267268" w:rsidRPr="00391C98" w:rsidRDefault="00000000" w:rsidP="00E64E4C">
      <w:pPr>
        <w:pStyle w:val="2"/>
        <w:spacing w:before="240" w:after="160"/>
        <w:jc w:val="both"/>
        <w:rPr>
          <w:rFonts w:asciiTheme="minorBidi" w:hAnsiTheme="minorBidi" w:cstheme="minorBidi"/>
        </w:rPr>
      </w:pPr>
      <w:bookmarkStart w:id="64" w:name="_Toc240901035"/>
      <w:r w:rsidRPr="00391C98">
        <w:rPr>
          <w:rFonts w:asciiTheme="minorBidi" w:hAnsiTheme="minorBidi" w:cstheme="minorBidi"/>
        </w:rPr>
        <w:t>13.3 Head of Department Assessment</w:t>
      </w:r>
      <w:bookmarkEnd w:id="64"/>
    </w:p>
    <w:p w14:paraId="25351EC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The Head of Department prepares an independent assessment of the staff member's performance against each pillar, drawing on the Verification Method evidence and, where relevant, direct observation, peer feedback, and departmental records. For Heads of Department themselves, this stage is instead conducted by the Dean or delegate.</w:t>
      </w:r>
    </w:p>
    <w:p w14:paraId="01EBADAA" w14:textId="77777777" w:rsidR="00267268" w:rsidRPr="00391C98" w:rsidRDefault="00000000" w:rsidP="00E64E4C">
      <w:pPr>
        <w:pStyle w:val="2"/>
        <w:spacing w:before="240" w:after="160"/>
        <w:jc w:val="both"/>
        <w:rPr>
          <w:rFonts w:asciiTheme="minorBidi" w:hAnsiTheme="minorBidi" w:cstheme="minorBidi"/>
        </w:rPr>
      </w:pPr>
      <w:bookmarkStart w:id="65" w:name="_Toc240901036"/>
      <w:r w:rsidRPr="00391C98">
        <w:rPr>
          <w:rFonts w:asciiTheme="minorBidi" w:hAnsiTheme="minorBidi" w:cstheme="minorBidi"/>
        </w:rPr>
        <w:t>13.4 Faculty Performance Review Committee Determination</w:t>
      </w:r>
      <w:bookmarkEnd w:id="65"/>
    </w:p>
    <w:p w14:paraId="49720AA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Faculty Performance Review Committee reviews the self-assessment, the Head of Department assessment, and the underlying evidence, and issues a formal determination of performance against the standard workload for each of the three Core Pillars, together with an overall holistic rating consistent with the principle described in Section 4.1. The Committee's determination is communicated in writing to the staff member within two weeks of the Formal Appraisal meeting.</w:t>
      </w:r>
    </w:p>
    <w:p w14:paraId="370F95D7" w14:textId="77777777" w:rsidR="00267268" w:rsidRPr="00391C98" w:rsidRDefault="00000000" w:rsidP="00E64E4C">
      <w:pPr>
        <w:pStyle w:val="2"/>
        <w:spacing w:before="240" w:after="160"/>
        <w:jc w:val="both"/>
        <w:rPr>
          <w:rFonts w:asciiTheme="minorBidi" w:hAnsiTheme="minorBidi" w:cstheme="minorBidi"/>
        </w:rPr>
      </w:pPr>
      <w:bookmarkStart w:id="66" w:name="_Toc240901037"/>
      <w:r w:rsidRPr="00391C98">
        <w:rPr>
          <w:rFonts w:asciiTheme="minorBidi" w:hAnsiTheme="minorBidi" w:cstheme="minorBidi"/>
        </w:rPr>
        <w:t>13.5 Rating Categories</w:t>
      </w:r>
      <w:bookmarkEnd w:id="66"/>
    </w:p>
    <w:p w14:paraId="6BF43C8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Determinations are recorded using the following rating categories, applied both at the level of each individual pillar and as an overall holistic rating: Exceeds Standard, Meets Standard, Partially Meets Standard, and Does Not Meet Standard. A rating of Partially Meets Standard or Does Not Meet Standard on any pillar requires the Faculty Performance Review Committee to specify, in writing, the nature of the shortfall and the improvement expectations for the following appraisal cycle, in accordance with Section 16.</w:t>
      </w:r>
    </w:p>
    <w:p w14:paraId="13C32F09" w14:textId="77777777" w:rsidR="00267268" w:rsidRPr="00391C98" w:rsidRDefault="00000000" w:rsidP="00E64E4C">
      <w:pPr>
        <w:pStyle w:val="2"/>
        <w:spacing w:before="240" w:after="160"/>
        <w:jc w:val="both"/>
        <w:rPr>
          <w:rFonts w:asciiTheme="minorBidi" w:hAnsiTheme="minorBidi" w:cstheme="minorBidi"/>
        </w:rPr>
      </w:pPr>
      <w:bookmarkStart w:id="67" w:name="_Toc240901038"/>
      <w:r w:rsidRPr="00391C98">
        <w:rPr>
          <w:rFonts w:asciiTheme="minorBidi" w:hAnsiTheme="minorBidi" w:cstheme="minorBidi"/>
        </w:rPr>
        <w:t>13.6 Use of Appraisal Outcomes</w:t>
      </w:r>
      <w:bookmarkEnd w:id="67"/>
    </w:p>
    <w:p w14:paraId="41F02909"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Appraisal outcomes under this Guideline inform, but do not alone determine, decisions regarding merit recognition, academic promotion, contract renewal, and professional development planning, each of which remains governed by its own dedicated University policy. Faculty Performance Review Committees should ensure that appraisal outcomes are recorded with sufficient specificity to be usable as supporting evidence in those separate processes where the staff member elects to rely on them.</w:t>
      </w:r>
    </w:p>
    <w:p w14:paraId="35632406" w14:textId="77777777" w:rsidR="00267268" w:rsidRPr="00391C98" w:rsidRDefault="00000000" w:rsidP="00E64E4C">
      <w:pPr>
        <w:pStyle w:val="1"/>
        <w:jc w:val="both"/>
        <w:rPr>
          <w:rFonts w:asciiTheme="minorBidi" w:hAnsiTheme="minorBidi" w:cstheme="minorBidi"/>
        </w:rPr>
      </w:pPr>
      <w:bookmarkStart w:id="68" w:name="_Toc240901039"/>
      <w:r w:rsidRPr="00391C98">
        <w:rPr>
          <w:rFonts w:asciiTheme="minorBidi" w:hAnsiTheme="minorBidi" w:cstheme="minorBidi"/>
        </w:rPr>
        <w:t>14. Workload Adjustments and Exceptional Circumstances</w:t>
      </w:r>
      <w:bookmarkEnd w:id="68"/>
    </w:p>
    <w:p w14:paraId="3769C748"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section governs circumstances in which an academic staff member's actual workload, for reasons outside routine planning, departs materially from their approved Workload Plan.</w:t>
      </w:r>
    </w:p>
    <w:p w14:paraId="700EEB79" w14:textId="77777777" w:rsidR="00267268" w:rsidRPr="00391C98" w:rsidRDefault="00000000" w:rsidP="00E64E4C">
      <w:pPr>
        <w:pStyle w:val="2"/>
        <w:spacing w:before="240" w:after="160"/>
        <w:jc w:val="both"/>
        <w:rPr>
          <w:rFonts w:asciiTheme="minorBidi" w:hAnsiTheme="minorBidi" w:cstheme="minorBidi"/>
        </w:rPr>
      </w:pPr>
      <w:bookmarkStart w:id="69" w:name="_Toc240901040"/>
      <w:r w:rsidRPr="00391C98">
        <w:rPr>
          <w:rFonts w:asciiTheme="minorBidi" w:hAnsiTheme="minorBidi" w:cstheme="minorBidi"/>
        </w:rPr>
        <w:t>14.1 Leave and Absence</w:t>
      </w:r>
      <w:bookmarkEnd w:id="69"/>
    </w:p>
    <w:p w14:paraId="076C646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a staff member takes approved medical, parental, compassionate, or other leave recognized under University Human Resources Policy, their standard 1,000-hour annual workload and the associated rank-specific benchmarks are prorated in direct proportion to their period of active service during the academic year, and the Workload Plan is adjusted accordingly by the Head of Department in consultation with the staff member upon their return.</w:t>
      </w:r>
    </w:p>
    <w:p w14:paraId="6454054D" w14:textId="77777777" w:rsidR="00267268" w:rsidRPr="00391C98" w:rsidRDefault="00000000" w:rsidP="00E64E4C">
      <w:pPr>
        <w:pStyle w:val="2"/>
        <w:spacing w:before="240" w:after="160"/>
        <w:jc w:val="both"/>
        <w:rPr>
          <w:rFonts w:asciiTheme="minorBidi" w:hAnsiTheme="minorBidi" w:cstheme="minorBidi"/>
        </w:rPr>
      </w:pPr>
      <w:bookmarkStart w:id="70" w:name="_Toc240901041"/>
      <w:r w:rsidRPr="00391C98">
        <w:rPr>
          <w:rFonts w:asciiTheme="minorBidi" w:hAnsiTheme="minorBidi" w:cstheme="minorBidi"/>
        </w:rPr>
        <w:lastRenderedPageBreak/>
        <w:t>14.2 Verified Overload</w:t>
      </w:r>
      <w:bookmarkEnd w:id="70"/>
    </w:p>
    <w:p w14:paraId="065C44E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operational necessity requires a staff member to undertake documented activity beyond their 1,000-hour standard — for example, covering an unfilled teaching vacancy or an unavoidable increase in enrollment — the additional hours must be approved in advance in writing by the Head of Department and Dean wherever practicable, or confirmed retroactively where advance approval was not practicable, and are recorded as Verified Overload. Verified Overload is addressed through the compensation, time-in-lieu, or workload-relief mechanisms specified in the applicable Collective Employment Agreement or Faculty overload policy, and is not, by itself, treated as a deficiency in workload planning.</w:t>
      </w:r>
    </w:p>
    <w:p w14:paraId="1CCCE56F" w14:textId="77777777" w:rsidR="00267268" w:rsidRPr="00391C98" w:rsidRDefault="00000000" w:rsidP="00E64E4C">
      <w:pPr>
        <w:pStyle w:val="2"/>
        <w:spacing w:before="240" w:after="160"/>
        <w:jc w:val="both"/>
        <w:rPr>
          <w:rFonts w:asciiTheme="minorBidi" w:hAnsiTheme="minorBidi" w:cstheme="minorBidi"/>
        </w:rPr>
      </w:pPr>
      <w:bookmarkStart w:id="71" w:name="_Toc240901042"/>
      <w:r w:rsidRPr="00391C98">
        <w:rPr>
          <w:rFonts w:asciiTheme="minorBidi" w:hAnsiTheme="minorBidi" w:cstheme="minorBidi"/>
        </w:rPr>
        <w:t>14.3 Underload and Reassignment</w:t>
      </w:r>
      <w:bookmarkEnd w:id="71"/>
    </w:p>
    <w:p w14:paraId="7B8A82A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a staff member's approved activities fall materially short of their standard 1,000 hours for reasons outside their control — for example, a canceled course or an unfunded grant that had been provisionally planned into the Workload Plan — the Head of Department must reassign the staff member to alternative duties within the same pillar, or with Dean approval, propose a revised Workload Plan reallocating the shortfall across the remaining pillars, within four weeks of the shortfall being identified.</w:t>
      </w:r>
    </w:p>
    <w:p w14:paraId="0BC41F43" w14:textId="77777777" w:rsidR="00267268" w:rsidRPr="00391C98" w:rsidRDefault="00000000" w:rsidP="00E64E4C">
      <w:pPr>
        <w:pStyle w:val="2"/>
        <w:spacing w:before="240" w:after="160"/>
        <w:jc w:val="both"/>
        <w:rPr>
          <w:rFonts w:asciiTheme="minorBidi" w:hAnsiTheme="minorBidi" w:cstheme="minorBidi"/>
        </w:rPr>
      </w:pPr>
      <w:bookmarkStart w:id="72" w:name="_Toc240901043"/>
      <w:r w:rsidRPr="00391C98">
        <w:rPr>
          <w:rFonts w:asciiTheme="minorBidi" w:hAnsiTheme="minorBidi" w:cstheme="minorBidi"/>
        </w:rPr>
        <w:t>14.4 Mid-Cycle Plan Amendment</w:t>
      </w:r>
      <w:bookmarkEnd w:id="72"/>
    </w:p>
    <w:p w14:paraId="7DEFFCE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Any amendment to an approved Workload Plan after the start of the academic year requires the written agreement of the staff member and the Head of Department, and, where the amendment involves a change to the rank-specific benchmark percentages described in Section 6, the additional approval of the Dean. All amendments must be lodged with the Faculty Office and appended to the original Workload Plan record.</w:t>
      </w:r>
    </w:p>
    <w:p w14:paraId="7AC6AA52" w14:textId="77777777" w:rsidR="00267268" w:rsidRPr="00391C98" w:rsidRDefault="00000000" w:rsidP="00E64E4C">
      <w:pPr>
        <w:pStyle w:val="1"/>
        <w:jc w:val="both"/>
        <w:rPr>
          <w:rFonts w:asciiTheme="minorBidi" w:hAnsiTheme="minorBidi" w:cstheme="minorBidi"/>
        </w:rPr>
      </w:pPr>
      <w:bookmarkStart w:id="73" w:name="_Toc240901044"/>
      <w:r w:rsidRPr="00391C98">
        <w:rPr>
          <w:rFonts w:asciiTheme="minorBidi" w:hAnsiTheme="minorBidi" w:cstheme="minorBidi"/>
        </w:rPr>
        <w:t>15. Roles and Responsibilities</w:t>
      </w:r>
      <w:bookmarkEnd w:id="73"/>
    </w:p>
    <w:p w14:paraId="3280FBC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Effective implementation of this Guideline depends on clearly defined responsibilities at each level of the University's academic governance structure.</w:t>
      </w:r>
    </w:p>
    <w:p w14:paraId="1948FCF5" w14:textId="77777777" w:rsidR="00267268" w:rsidRPr="00391C98" w:rsidRDefault="00000000" w:rsidP="00E64E4C">
      <w:pPr>
        <w:pStyle w:val="2"/>
        <w:spacing w:before="240" w:after="160"/>
        <w:jc w:val="both"/>
        <w:rPr>
          <w:rFonts w:asciiTheme="minorBidi" w:hAnsiTheme="minorBidi" w:cstheme="minorBidi"/>
        </w:rPr>
      </w:pPr>
      <w:bookmarkStart w:id="74" w:name="_Toc240901045"/>
      <w:r w:rsidRPr="00391C98">
        <w:rPr>
          <w:rFonts w:asciiTheme="minorBidi" w:hAnsiTheme="minorBidi" w:cstheme="minorBidi"/>
        </w:rPr>
        <w:t>15.1 Academic Staff Member</w:t>
      </w:r>
      <w:bookmarkEnd w:id="74"/>
    </w:p>
    <w:p w14:paraId="201D04C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academic staff member is responsible for participating constructively in the preparation of their Workload Plan, maintaining accurate and contemporaneous records of their activity across all three pillars, completing their annual self-assessment in good faith, and raising any concerns about workload balance or feasibility with their Head of Department at the earliest opportunity.</w:t>
      </w:r>
    </w:p>
    <w:p w14:paraId="144DA5A8" w14:textId="77777777" w:rsidR="00267268" w:rsidRPr="00391C98" w:rsidRDefault="00000000" w:rsidP="00E64E4C">
      <w:pPr>
        <w:pStyle w:val="2"/>
        <w:spacing w:before="240" w:after="160"/>
        <w:jc w:val="both"/>
        <w:rPr>
          <w:rFonts w:asciiTheme="minorBidi" w:hAnsiTheme="minorBidi" w:cstheme="minorBidi"/>
        </w:rPr>
      </w:pPr>
      <w:bookmarkStart w:id="75" w:name="_Toc240901046"/>
      <w:r w:rsidRPr="00391C98">
        <w:rPr>
          <w:rFonts w:asciiTheme="minorBidi" w:hAnsiTheme="minorBidi" w:cstheme="minorBidi"/>
        </w:rPr>
        <w:t>15.2 Head of Department / Program Director</w:t>
      </w:r>
      <w:bookmarkEnd w:id="75"/>
    </w:p>
    <w:p w14:paraId="01D8E39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 xml:space="preserve">Each Head of Department is responsible for preparing and agreeing individual Workload Plans with every member of academic staff in their department, monitoring workload balance across the </w:t>
      </w:r>
      <w:r w:rsidRPr="00391C98">
        <w:rPr>
          <w:rFonts w:asciiTheme="minorBidi" w:hAnsiTheme="minorBidi" w:cstheme="minorBidi"/>
        </w:rPr>
        <w:lastRenderedPageBreak/>
        <w:t>department on an ongoing basis, conducting the mid-year review and Head of Department assessment described in Sections 11.4 and 13.3, and escalating unresolved workload concerns to the Dean in a timely manner.</w:t>
      </w:r>
    </w:p>
    <w:p w14:paraId="789EFABA" w14:textId="77777777" w:rsidR="00267268" w:rsidRPr="00391C98" w:rsidRDefault="00000000" w:rsidP="00E64E4C">
      <w:pPr>
        <w:pStyle w:val="2"/>
        <w:spacing w:before="240" w:after="160"/>
        <w:jc w:val="both"/>
        <w:rPr>
          <w:rFonts w:asciiTheme="minorBidi" w:hAnsiTheme="minorBidi" w:cstheme="minorBidi"/>
        </w:rPr>
      </w:pPr>
      <w:bookmarkStart w:id="76" w:name="_Toc240901047"/>
      <w:r w:rsidRPr="00391C98">
        <w:rPr>
          <w:rFonts w:asciiTheme="minorBidi" w:hAnsiTheme="minorBidi" w:cstheme="minorBidi"/>
        </w:rPr>
        <w:t>15.3 Dean</w:t>
      </w:r>
      <w:bookmarkEnd w:id="76"/>
    </w:p>
    <w:p w14:paraId="0605B59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Dean is responsible for the final approval of Workload Plans within their faculty, chairing or delegating the chair of the Faculty Performance Review Committee, approving discipline-specific and individual adjustments under Sections 6.5 and 14, mediating unresolved disagreements between staff members and Heads of Department, and reporting aggregate faculty-level workload and appraisal outcomes to the Office of the Provost on the schedule described in Section 17.</w:t>
      </w:r>
    </w:p>
    <w:p w14:paraId="24147B16" w14:textId="77777777" w:rsidR="00267268" w:rsidRPr="00391C98" w:rsidRDefault="00000000" w:rsidP="00E64E4C">
      <w:pPr>
        <w:pStyle w:val="2"/>
        <w:spacing w:before="240" w:after="160"/>
        <w:jc w:val="both"/>
        <w:rPr>
          <w:rFonts w:asciiTheme="minorBidi" w:hAnsiTheme="minorBidi" w:cstheme="minorBidi"/>
        </w:rPr>
      </w:pPr>
      <w:bookmarkStart w:id="77" w:name="_Toc240901048"/>
      <w:r w:rsidRPr="00391C98">
        <w:rPr>
          <w:rFonts w:asciiTheme="minorBidi" w:hAnsiTheme="minorBidi" w:cstheme="minorBidi"/>
        </w:rPr>
        <w:t>15.4 Faculty Performance Review Committee</w:t>
      </w:r>
      <w:bookmarkEnd w:id="77"/>
    </w:p>
    <w:p w14:paraId="40C2BFE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Faculty Performance Review Committee is responsible for conducting the Formal Appraisal stage described in Section 13.4, issuing written performance determinations, serving as the first-instance body for workload-related appeals under Section 16, and recommending to the Dean any systemic issues identified during the appraisal cycle that may warrant revision of Faculty-specific workload procedures.</w:t>
      </w:r>
    </w:p>
    <w:p w14:paraId="0A49C523" w14:textId="77777777" w:rsidR="00267268" w:rsidRPr="00391C98" w:rsidRDefault="00000000" w:rsidP="00E64E4C">
      <w:pPr>
        <w:pStyle w:val="2"/>
        <w:spacing w:before="240" w:after="160"/>
        <w:jc w:val="both"/>
        <w:rPr>
          <w:rFonts w:asciiTheme="minorBidi" w:hAnsiTheme="minorBidi" w:cstheme="minorBidi"/>
        </w:rPr>
      </w:pPr>
      <w:bookmarkStart w:id="78" w:name="_Toc240901049"/>
      <w:r w:rsidRPr="00391C98">
        <w:rPr>
          <w:rFonts w:asciiTheme="minorBidi" w:hAnsiTheme="minorBidi" w:cstheme="minorBidi"/>
        </w:rPr>
        <w:t>15.5 Office of the Provost and Human Resources</w:t>
      </w:r>
      <w:bookmarkEnd w:id="78"/>
    </w:p>
    <w:p w14:paraId="4B1C819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Office of the Provost, in coordination with Human Resources, is responsible for maintaining this Guideline, coordinating its periodic review as described in Section 18, resolving conflicts between this Guideline and other University instruments as described in Section 5.2, and providing institution-wide oversight to ensure consistent application of the 1,000-hour standard across all faculties.</w:t>
      </w:r>
    </w:p>
    <w:p w14:paraId="1FA56331" w14:textId="77777777" w:rsidR="00267268" w:rsidRPr="00391C98" w:rsidRDefault="00000000" w:rsidP="00E64E4C">
      <w:pPr>
        <w:pStyle w:val="2"/>
        <w:spacing w:before="240" w:after="160"/>
        <w:jc w:val="both"/>
        <w:rPr>
          <w:rFonts w:asciiTheme="minorBidi" w:hAnsiTheme="minorBidi" w:cstheme="minorBidi"/>
        </w:rPr>
      </w:pPr>
      <w:bookmarkStart w:id="79" w:name="_Toc240901050"/>
      <w:r w:rsidRPr="00391C98">
        <w:rPr>
          <w:rFonts w:asciiTheme="minorBidi" w:hAnsiTheme="minorBidi" w:cstheme="minorBidi"/>
        </w:rPr>
        <w:t>15.6 Quality Assurance Office</w:t>
      </w:r>
      <w:bookmarkEnd w:id="79"/>
    </w:p>
    <w:p w14:paraId="26DB0BA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University's Quality Assurance Office is responsible for supporting Heads of Department and Deans in the conduct of QA-related Pillar III activity, maintaining institution-wide QA documentation standards, and incorporating workload and appraisal data arising from this Guideline into the University's broader institutional accreditation and self-study processes.</w:t>
      </w:r>
    </w:p>
    <w:p w14:paraId="3C5A7F4D" w14:textId="77777777" w:rsidR="00267268" w:rsidRPr="00391C98" w:rsidRDefault="00000000" w:rsidP="00E64E4C">
      <w:pPr>
        <w:pStyle w:val="1"/>
        <w:jc w:val="both"/>
        <w:rPr>
          <w:rFonts w:asciiTheme="minorBidi" w:hAnsiTheme="minorBidi" w:cstheme="minorBidi"/>
        </w:rPr>
      </w:pPr>
      <w:bookmarkStart w:id="80" w:name="_Toc240901051"/>
      <w:r w:rsidRPr="00391C98">
        <w:rPr>
          <w:rFonts w:asciiTheme="minorBidi" w:hAnsiTheme="minorBidi" w:cstheme="minorBidi"/>
        </w:rPr>
        <w:t>16. Appeals and Grievance Procedures</w:t>
      </w:r>
      <w:bookmarkEnd w:id="80"/>
    </w:p>
    <w:p w14:paraId="76D275F3"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An academic staff member who disputes a determination made under this Guideline — whether concerning their approved Workload Plan, a mid-cycle adjustment, or a Formal Appraisal outcome — is entitled to raise the matter through the appeals procedure described in this section.</w:t>
      </w:r>
    </w:p>
    <w:p w14:paraId="0303E856" w14:textId="77777777" w:rsidR="00267268" w:rsidRPr="00391C98" w:rsidRDefault="00000000" w:rsidP="00E64E4C">
      <w:pPr>
        <w:pStyle w:val="2"/>
        <w:spacing w:before="240" w:after="160"/>
        <w:jc w:val="both"/>
        <w:rPr>
          <w:rFonts w:asciiTheme="minorBidi" w:hAnsiTheme="minorBidi" w:cstheme="minorBidi"/>
        </w:rPr>
      </w:pPr>
      <w:bookmarkStart w:id="81" w:name="_Toc240901052"/>
      <w:r w:rsidRPr="00391C98">
        <w:rPr>
          <w:rFonts w:asciiTheme="minorBidi" w:hAnsiTheme="minorBidi" w:cstheme="minorBidi"/>
        </w:rPr>
        <w:t>16.1 Informal Resolution</w:t>
      </w:r>
      <w:bookmarkEnd w:id="81"/>
    </w:p>
    <w:p w14:paraId="47F4E4D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In the first instance, the staff member should raise the concern directly with their Head of Department, with a view to reaching an informal resolution within two weeks of the determination or decision in question.</w:t>
      </w:r>
    </w:p>
    <w:p w14:paraId="18FCBFEA" w14:textId="77777777" w:rsidR="00267268" w:rsidRPr="00391C98" w:rsidRDefault="00000000" w:rsidP="00E64E4C">
      <w:pPr>
        <w:pStyle w:val="2"/>
        <w:spacing w:before="240" w:after="160"/>
        <w:jc w:val="both"/>
        <w:rPr>
          <w:rFonts w:asciiTheme="minorBidi" w:hAnsiTheme="minorBidi" w:cstheme="minorBidi"/>
        </w:rPr>
      </w:pPr>
      <w:bookmarkStart w:id="82" w:name="_Toc240901053"/>
      <w:r w:rsidRPr="00391C98">
        <w:rPr>
          <w:rFonts w:asciiTheme="minorBidi" w:hAnsiTheme="minorBidi" w:cstheme="minorBidi"/>
        </w:rPr>
        <w:t>16.2 Formal Appeal to the Faculty Performance Review Committee</w:t>
      </w:r>
      <w:bookmarkEnd w:id="82"/>
    </w:p>
    <w:p w14:paraId="335B456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informal resolution is not achieved, or is not appropriate given the nature of the concern, the staff member may lodge a formal written appeal with the Faculty Performance Review Committee within four weeks of the original determination. The appeal must specify the determination being appealed and the grounds on which it is disputed, and may be accompanied by additional documentary evidence. The Committee must consider the appeal, and issue a written response, within six weeks of receipt.</w:t>
      </w:r>
    </w:p>
    <w:p w14:paraId="4F817E1E" w14:textId="77777777" w:rsidR="00267268" w:rsidRPr="00391C98" w:rsidRDefault="00000000" w:rsidP="00E64E4C">
      <w:pPr>
        <w:pStyle w:val="2"/>
        <w:spacing w:before="240" w:after="160"/>
        <w:jc w:val="both"/>
        <w:rPr>
          <w:rFonts w:asciiTheme="minorBidi" w:hAnsiTheme="minorBidi" w:cstheme="minorBidi"/>
        </w:rPr>
      </w:pPr>
      <w:bookmarkStart w:id="83" w:name="_Toc240901054"/>
      <w:r w:rsidRPr="00391C98">
        <w:rPr>
          <w:rFonts w:asciiTheme="minorBidi" w:hAnsiTheme="minorBidi" w:cstheme="minorBidi"/>
        </w:rPr>
        <w:t>16.3 Escalation to the Dean and Provost</w:t>
      </w:r>
      <w:bookmarkEnd w:id="83"/>
    </w:p>
    <w:p w14:paraId="35D0239C"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the staff member remains dissatisfied following the Faculty Performance Review Committee's determination, they may escalate the appeal to the Dean, and thereafter, on procedural grounds only, to the Office of the Provost, in accordance with the University's general Grievance Policy. Escalation on procedural grounds is limited to circumstances in which the staff member contends that the process described in this Guideline was not correctly followed; substantive disagreement with a properly conducted appraisal determination is resolved conclusively at the Faculty Performance Review Committee or Dean level.</w:t>
      </w:r>
    </w:p>
    <w:p w14:paraId="0CF2E1EE" w14:textId="77777777" w:rsidR="00267268" w:rsidRPr="00391C98" w:rsidRDefault="00000000" w:rsidP="00E64E4C">
      <w:pPr>
        <w:pStyle w:val="2"/>
        <w:spacing w:before="240" w:after="160"/>
        <w:jc w:val="both"/>
        <w:rPr>
          <w:rFonts w:asciiTheme="minorBidi" w:hAnsiTheme="minorBidi" w:cstheme="minorBidi"/>
        </w:rPr>
      </w:pPr>
      <w:bookmarkStart w:id="84" w:name="_Toc240901055"/>
      <w:r w:rsidRPr="00391C98">
        <w:rPr>
          <w:rFonts w:asciiTheme="minorBidi" w:hAnsiTheme="minorBidi" w:cstheme="minorBidi"/>
        </w:rPr>
        <w:t>16.4 Non-Retaliation</w:t>
      </w:r>
      <w:bookmarkEnd w:id="84"/>
    </w:p>
    <w:p w14:paraId="5CD21B29"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No academic staff member shall be subject to any adverse treatment as a result of having raised, in good faith, a concern or appeal under this section. Any staff member who believes they have experienced retaliation for exercising their rights under this Guideline may raise the matter directly with Human Resources.</w:t>
      </w:r>
    </w:p>
    <w:p w14:paraId="0368DA7A" w14:textId="77777777" w:rsidR="00267268" w:rsidRPr="00391C98" w:rsidRDefault="00000000" w:rsidP="00E64E4C">
      <w:pPr>
        <w:pStyle w:val="1"/>
        <w:jc w:val="both"/>
        <w:rPr>
          <w:rFonts w:asciiTheme="minorBidi" w:hAnsiTheme="minorBidi" w:cstheme="minorBidi"/>
        </w:rPr>
      </w:pPr>
      <w:bookmarkStart w:id="85" w:name="_Toc240901056"/>
      <w:r w:rsidRPr="00391C98">
        <w:rPr>
          <w:rFonts w:asciiTheme="minorBidi" w:hAnsiTheme="minorBidi" w:cstheme="minorBidi"/>
        </w:rPr>
        <w:t>17. Monitoring, Reporting, and Continuous Improvement</w:t>
      </w:r>
      <w:bookmarkEnd w:id="85"/>
    </w:p>
    <w:p w14:paraId="689220F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is supported by an ongoing institutional monitoring and reporting process, designed to ensure consistent application across faculties and to surface, at an early stage, any systemic issues that may warrant adjustment.</w:t>
      </w:r>
    </w:p>
    <w:p w14:paraId="490832E5" w14:textId="77777777" w:rsidR="00267268" w:rsidRPr="00391C98" w:rsidRDefault="00000000" w:rsidP="00E64E4C">
      <w:pPr>
        <w:pStyle w:val="2"/>
        <w:spacing w:before="240" w:after="160"/>
        <w:jc w:val="both"/>
        <w:rPr>
          <w:rFonts w:asciiTheme="minorBidi" w:hAnsiTheme="minorBidi" w:cstheme="minorBidi"/>
        </w:rPr>
      </w:pPr>
      <w:bookmarkStart w:id="86" w:name="_Toc240901057"/>
      <w:r w:rsidRPr="00391C98">
        <w:rPr>
          <w:rFonts w:asciiTheme="minorBidi" w:hAnsiTheme="minorBidi" w:cstheme="minorBidi"/>
        </w:rPr>
        <w:t>17.1 Faculty-Level Reporting</w:t>
      </w:r>
      <w:bookmarkEnd w:id="86"/>
    </w:p>
    <w:p w14:paraId="5A9562BE"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Each Dean submits an annual Faculty Workload Report to the Office of the Provost, summarizing aggregate compliance with the rank-specific benchmarks described in Section 6, the volume and nature of Verified Overload recorded under Section 14.2, the outcomes of the Formal Appraisal process described in Section 13, and any appeals lodged under Section 16 and their resolution.</w:t>
      </w:r>
    </w:p>
    <w:p w14:paraId="2FF9EDEA" w14:textId="77777777" w:rsidR="00267268" w:rsidRPr="00391C98" w:rsidRDefault="00000000" w:rsidP="00E64E4C">
      <w:pPr>
        <w:pStyle w:val="2"/>
        <w:spacing w:before="240" w:after="160"/>
        <w:jc w:val="both"/>
        <w:rPr>
          <w:rFonts w:asciiTheme="minorBidi" w:hAnsiTheme="minorBidi" w:cstheme="minorBidi"/>
        </w:rPr>
      </w:pPr>
      <w:bookmarkStart w:id="87" w:name="_Toc240901058"/>
      <w:r w:rsidRPr="00391C98">
        <w:rPr>
          <w:rFonts w:asciiTheme="minorBidi" w:hAnsiTheme="minorBidi" w:cstheme="minorBidi"/>
        </w:rPr>
        <w:t>17.2 Institutional Dashboard and Trend Analysis</w:t>
      </w:r>
      <w:bookmarkEnd w:id="87"/>
    </w:p>
    <w:p w14:paraId="2228EA2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The Office of the Provost maintains an institution-wide summary of workload and appraisal data drawn from Faculty Workload Reports, in order to identify trends across ranks, disciplines, and faculties — including, for example, systemic patterns of overload in particular departments, or disproportionately low research-hour attainment in a particular discipline — and to inform resourcing, staffing, and policy decisions at the institutional level.</w:t>
      </w:r>
    </w:p>
    <w:p w14:paraId="16AB79DE" w14:textId="77777777" w:rsidR="00267268" w:rsidRPr="00391C98" w:rsidRDefault="00000000" w:rsidP="00E64E4C">
      <w:pPr>
        <w:pStyle w:val="2"/>
        <w:spacing w:before="240" w:after="160"/>
        <w:jc w:val="both"/>
        <w:rPr>
          <w:rFonts w:asciiTheme="minorBidi" w:hAnsiTheme="minorBidi" w:cstheme="minorBidi"/>
        </w:rPr>
      </w:pPr>
      <w:bookmarkStart w:id="88" w:name="_Toc240901059"/>
      <w:r w:rsidRPr="00391C98">
        <w:rPr>
          <w:rFonts w:asciiTheme="minorBidi" w:hAnsiTheme="minorBidi" w:cstheme="minorBidi"/>
        </w:rPr>
        <w:t>17.3 Integration with Institutional Accreditation</w:t>
      </w:r>
      <w:bookmarkEnd w:id="88"/>
    </w:p>
    <w:p w14:paraId="4B6EE6C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Workload and appraisal data collected under this Guideline forms part of the evidentiary basis for the University's institutional and program-level accreditation self-studies, providing external reviewers with a documented, verifiable account of how the University defines, distributes, and evaluates academic effort.</w:t>
      </w:r>
    </w:p>
    <w:p w14:paraId="78976149" w14:textId="77777777" w:rsidR="00267268" w:rsidRPr="00391C98" w:rsidRDefault="00000000" w:rsidP="00E64E4C">
      <w:pPr>
        <w:pStyle w:val="1"/>
        <w:jc w:val="both"/>
        <w:rPr>
          <w:rFonts w:asciiTheme="minorBidi" w:hAnsiTheme="minorBidi" w:cstheme="minorBidi"/>
        </w:rPr>
      </w:pPr>
      <w:bookmarkStart w:id="89" w:name="_Toc240901060"/>
      <w:r w:rsidRPr="00391C98">
        <w:rPr>
          <w:rFonts w:asciiTheme="minorBidi" w:hAnsiTheme="minorBidi" w:cstheme="minorBidi"/>
        </w:rPr>
        <w:t>18. Policy Review and Amendment</w:t>
      </w:r>
      <w:bookmarkEnd w:id="89"/>
    </w:p>
    <w:p w14:paraId="627C324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is reviewed on a regular cycle to ensure it remains fit for purpose, consistent with the University's strategic priorities, and aligned with evolving accreditation and employment requirements.</w:t>
      </w:r>
    </w:p>
    <w:p w14:paraId="51A23BFD" w14:textId="77777777" w:rsidR="00267268" w:rsidRPr="00391C98" w:rsidRDefault="00000000" w:rsidP="00E64E4C">
      <w:pPr>
        <w:pStyle w:val="2"/>
        <w:spacing w:before="240" w:after="160"/>
        <w:jc w:val="both"/>
        <w:rPr>
          <w:rFonts w:asciiTheme="minorBidi" w:hAnsiTheme="minorBidi" w:cstheme="minorBidi"/>
        </w:rPr>
      </w:pPr>
      <w:bookmarkStart w:id="90" w:name="_Toc240901061"/>
      <w:r w:rsidRPr="00391C98">
        <w:rPr>
          <w:rFonts w:asciiTheme="minorBidi" w:hAnsiTheme="minorBidi" w:cstheme="minorBidi"/>
        </w:rPr>
        <w:t>18.1 Standard Review Cycle</w:t>
      </w:r>
      <w:bookmarkEnd w:id="90"/>
    </w:p>
    <w:p w14:paraId="57E4437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Office of the Provost convenes a formal review of this Guideline no less frequently than once every three academic years, drawing on the institutional monitoring data described in Section 17, feedback gathered from Deans and Faculty Performance Review Committees, and, where relevant, consultation with recognized staff representative bodies.</w:t>
      </w:r>
    </w:p>
    <w:p w14:paraId="6AFCC494" w14:textId="77777777" w:rsidR="00267268" w:rsidRPr="00391C98" w:rsidRDefault="00000000" w:rsidP="00E64E4C">
      <w:pPr>
        <w:pStyle w:val="2"/>
        <w:spacing w:before="240" w:after="160"/>
        <w:jc w:val="both"/>
        <w:rPr>
          <w:rFonts w:asciiTheme="minorBidi" w:hAnsiTheme="minorBidi" w:cstheme="minorBidi"/>
        </w:rPr>
      </w:pPr>
      <w:bookmarkStart w:id="91" w:name="_Toc240901062"/>
      <w:r w:rsidRPr="00391C98">
        <w:rPr>
          <w:rFonts w:asciiTheme="minorBidi" w:hAnsiTheme="minorBidi" w:cstheme="minorBidi"/>
        </w:rPr>
        <w:t>18.2 Interim Amendment</w:t>
      </w:r>
      <w:bookmarkEnd w:id="91"/>
    </w:p>
    <w:p w14:paraId="7E0E633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Office of the Provost may propose interim amendments to this Guideline outside the standard review cycle where required by a change in accreditation requirements, a material change to the Collective Employment Agreement, or a systemic issue identified through the appeals process described in Section 16. Interim amendments follow the same consultation and approval process as the standard review cycle, save that they need not await the three-year review point.</w:t>
      </w:r>
    </w:p>
    <w:p w14:paraId="09021692" w14:textId="77777777" w:rsidR="00267268" w:rsidRPr="00391C98" w:rsidRDefault="00000000" w:rsidP="00E64E4C">
      <w:pPr>
        <w:pStyle w:val="2"/>
        <w:spacing w:before="240" w:after="160"/>
        <w:jc w:val="both"/>
        <w:rPr>
          <w:rFonts w:asciiTheme="minorBidi" w:hAnsiTheme="minorBidi" w:cstheme="minorBidi"/>
        </w:rPr>
      </w:pPr>
      <w:bookmarkStart w:id="92" w:name="_Toc240901063"/>
      <w:r w:rsidRPr="00391C98">
        <w:rPr>
          <w:rFonts w:asciiTheme="minorBidi" w:hAnsiTheme="minorBidi" w:cstheme="minorBidi"/>
        </w:rPr>
        <w:t>18.3 Approval and Effective Date</w:t>
      </w:r>
      <w:bookmarkEnd w:id="92"/>
    </w:p>
    <w:p w14:paraId="302898CF"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Amendments to this Guideline take effect only upon formal approval by the University's Academic Board, or such other body as the University's governance instruments designate, and upon publication of the amended text, together with its effective date, through the University's official policy repository. Amendments do not apply retroactively to Workload Plans or appraisals already finalized under the prior version of the Guideline.</w:t>
      </w:r>
    </w:p>
    <w:p w14:paraId="207B18C4" w14:textId="77777777" w:rsidR="00267268" w:rsidRPr="00391C98" w:rsidRDefault="00000000" w:rsidP="00E64E4C">
      <w:pPr>
        <w:pStyle w:val="1"/>
        <w:jc w:val="both"/>
        <w:rPr>
          <w:rFonts w:asciiTheme="minorBidi" w:hAnsiTheme="minorBidi" w:cstheme="minorBidi"/>
        </w:rPr>
      </w:pPr>
      <w:bookmarkStart w:id="93" w:name="_Toc240901064"/>
      <w:r w:rsidRPr="00391C98">
        <w:rPr>
          <w:rFonts w:asciiTheme="minorBidi" w:hAnsiTheme="minorBidi" w:cstheme="minorBidi"/>
        </w:rPr>
        <w:t>18A. Staff Wellbeing and Sustainable Workload</w:t>
      </w:r>
      <w:bookmarkEnd w:id="93"/>
    </w:p>
    <w:p w14:paraId="2D71C95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This Guideline is, among its other purposes, a wellbeing instrument. A fixed, transparent 1,000-hour annual standard exists in part to prevent the unstructured accumulation of duties that has historically contributed to academic overwork, and Heads of Department and Deans bear a direct responsibility, alongside their planning and appraisal responsibilities, for the sustainability of the workloads they approve.</w:t>
      </w:r>
    </w:p>
    <w:p w14:paraId="01458937" w14:textId="77777777" w:rsidR="00267268" w:rsidRPr="00391C98" w:rsidRDefault="00000000" w:rsidP="00E64E4C">
      <w:pPr>
        <w:pStyle w:val="2"/>
        <w:spacing w:before="240" w:after="160"/>
        <w:jc w:val="both"/>
        <w:rPr>
          <w:rFonts w:asciiTheme="minorBidi" w:hAnsiTheme="minorBidi" w:cstheme="minorBidi"/>
        </w:rPr>
      </w:pPr>
      <w:bookmarkStart w:id="94" w:name="_Toc240901065"/>
      <w:r w:rsidRPr="00391C98">
        <w:rPr>
          <w:rFonts w:asciiTheme="minorBidi" w:hAnsiTheme="minorBidi" w:cstheme="minorBidi"/>
        </w:rPr>
        <w:t>18A.1 Early Warning Indicators</w:t>
      </w:r>
      <w:bookmarkEnd w:id="94"/>
    </w:p>
    <w:p w14:paraId="63ADB37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Heads of Department should treat the following as early warning indicators that a staff member's actual workload may be departing unsustainably from their approved Workload Plan, and should raise any such indicator with the staff member promptly, independent of the scheduled mid-year review described in Section 11.4: a pattern of Verified Overload recurring across consecutive appraisal cycles; a staff member's own self-assessment repeatedly citing time pressure as a barrier to meeting Pillar II or Pillar III commitments; or a material, unexplained decline in Student Evaluation of Teaching scores coinciding with an increase in service or administrative duties.</w:t>
      </w:r>
    </w:p>
    <w:p w14:paraId="19CA7D5A" w14:textId="77777777" w:rsidR="00267268" w:rsidRPr="00391C98" w:rsidRDefault="00000000" w:rsidP="00E64E4C">
      <w:pPr>
        <w:pStyle w:val="2"/>
        <w:spacing w:before="240" w:after="160"/>
        <w:jc w:val="both"/>
        <w:rPr>
          <w:rFonts w:asciiTheme="minorBidi" w:hAnsiTheme="minorBidi" w:cstheme="minorBidi"/>
        </w:rPr>
      </w:pPr>
      <w:bookmarkStart w:id="95" w:name="_Toc240901066"/>
      <w:r w:rsidRPr="00391C98">
        <w:rPr>
          <w:rFonts w:asciiTheme="minorBidi" w:hAnsiTheme="minorBidi" w:cstheme="minorBidi"/>
        </w:rPr>
        <w:t>18A.2 Support Resources</w:t>
      </w:r>
      <w:bookmarkEnd w:id="95"/>
    </w:p>
    <w:p w14:paraId="0837AF9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Staff who are concerned about the sustainability of their workload may raise the matter with their Head of Department, their Dean, or, confidentially, with Human Resources or the University's staff wellbeing service, at any point in the appraisal cycle, and are not required to wait for the mid-year review or Formal Appraisal stage to do so. Concerns raised in this manner are addressed through the workload adjustment mechanisms described in Section 14, rather than through the formal appeals process described in Section 16, unless the staff member specifically elects to pursue an appeal.</w:t>
      </w:r>
    </w:p>
    <w:p w14:paraId="5B5777FD" w14:textId="77777777" w:rsidR="00267268" w:rsidRPr="00391C98" w:rsidRDefault="00000000" w:rsidP="00E64E4C">
      <w:pPr>
        <w:pStyle w:val="1"/>
        <w:jc w:val="both"/>
        <w:rPr>
          <w:rFonts w:asciiTheme="minorBidi" w:hAnsiTheme="minorBidi" w:cstheme="minorBidi"/>
        </w:rPr>
      </w:pPr>
      <w:bookmarkStart w:id="96" w:name="_Toc240901067"/>
      <w:r w:rsidRPr="00391C98">
        <w:rPr>
          <w:rFonts w:asciiTheme="minorBidi" w:hAnsiTheme="minorBidi" w:cstheme="minorBidi"/>
        </w:rPr>
        <w:t>19. Implementation and Transitional Arrangements</w:t>
      </w:r>
      <w:bookmarkEnd w:id="96"/>
    </w:p>
    <w:p w14:paraId="45A2F9B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Faculties adopting this Guideline for the first time should allow a transitional implementation period, not exceeding one full academic year, during which Heads of Department and academic staff are supported in preparing their first formal Workload Plans, and during which departures from full compliance are addressed through guidance and support rather than through the formal appraisal consequences described in Section 13.5.</w:t>
      </w:r>
    </w:p>
    <w:p w14:paraId="1853461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During the transitional period, the Office of the Provost, in coordination with the Quality Assurance Office and Human Resources, provides training sessions for Heads of Department, Deans, and members of Faculty Performance Review Committees on the preparation of Workload Plans, the interpretation of the evaluation criteria described in Sections 7 through 9, and the operation of the appraisal process described in Section 13. Faculties are encouraged to conduct at least one trial appraisal cycle, with outcomes used for formative feedback only, prior to the first cycle in which formal ratings under Section 13.5 carry consequences for merit or promotion processes.</w:t>
      </w:r>
    </w:p>
    <w:p w14:paraId="4DB49AF3" w14:textId="77777777" w:rsidR="00267268" w:rsidRPr="00391C98" w:rsidRDefault="00000000" w:rsidP="00E64E4C">
      <w:pPr>
        <w:pStyle w:val="1"/>
        <w:jc w:val="both"/>
        <w:rPr>
          <w:rFonts w:asciiTheme="minorBidi" w:hAnsiTheme="minorBidi" w:cstheme="minorBidi"/>
        </w:rPr>
      </w:pPr>
      <w:bookmarkStart w:id="97" w:name="_Toc240901068"/>
      <w:r w:rsidRPr="00391C98">
        <w:rPr>
          <w:rFonts w:asciiTheme="minorBidi" w:hAnsiTheme="minorBidi" w:cstheme="minorBidi"/>
        </w:rPr>
        <w:lastRenderedPageBreak/>
        <w:t>Annex A: Summary of Rank-Specific Workload Benchmarks</w:t>
      </w:r>
      <w:bookmarkEnd w:id="97"/>
    </w:p>
    <w:p w14:paraId="24A937C4"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annex reproduces, in consolidated form, the rank-specific hour and percentage benchmarks described in Section 6, together with the corresponding Pillar III mentoring or leadership focus for each rank. The full summary table appears at the end of Section 6 in the body of this Guideline; the table below is provided again here for quick reference alongside the other annexes.</w:t>
      </w:r>
    </w:p>
    <w:tbl>
      <w:tblPr>
        <w:tblW w:w="10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00"/>
        <w:gridCol w:w="1750"/>
        <w:gridCol w:w="1750"/>
        <w:gridCol w:w="1750"/>
        <w:gridCol w:w="2450"/>
      </w:tblGrid>
      <w:tr w:rsidR="00267268" w:rsidRPr="00391C98" w14:paraId="323D085B" w14:textId="77777777">
        <w:tblPrEx>
          <w:tblCellMar>
            <w:top w:w="0" w:type="dxa"/>
            <w:bottom w:w="0" w:type="dxa"/>
          </w:tblCellMar>
        </w:tblPrEx>
        <w:trPr>
          <w:tblHeader/>
        </w:trPr>
        <w:tc>
          <w:tcPr>
            <w:tcW w:w="2300" w:type="dxa"/>
            <w:shd w:val="clear" w:color="auto" w:fill="1F3864"/>
            <w:tcMar>
              <w:top w:w="100" w:type="dxa"/>
              <w:left w:w="120" w:type="dxa"/>
              <w:bottom w:w="100" w:type="dxa"/>
              <w:right w:w="120" w:type="dxa"/>
            </w:tcMar>
            <w:vAlign w:val="center"/>
          </w:tcPr>
          <w:p w14:paraId="0ACD2BBB"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Academic Rank</w:t>
            </w:r>
          </w:p>
        </w:tc>
        <w:tc>
          <w:tcPr>
            <w:tcW w:w="1750" w:type="dxa"/>
            <w:shd w:val="clear" w:color="auto" w:fill="1F3864"/>
            <w:tcMar>
              <w:top w:w="100" w:type="dxa"/>
              <w:left w:w="120" w:type="dxa"/>
              <w:bottom w:w="100" w:type="dxa"/>
              <w:right w:w="120" w:type="dxa"/>
            </w:tcMar>
            <w:vAlign w:val="center"/>
          </w:tcPr>
          <w:p w14:paraId="7C134A05"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Teaching &amp; Instruction</w:t>
            </w:r>
          </w:p>
        </w:tc>
        <w:tc>
          <w:tcPr>
            <w:tcW w:w="1750" w:type="dxa"/>
            <w:shd w:val="clear" w:color="auto" w:fill="1F3864"/>
            <w:tcMar>
              <w:top w:w="100" w:type="dxa"/>
              <w:left w:w="120" w:type="dxa"/>
              <w:bottom w:w="100" w:type="dxa"/>
              <w:right w:w="120" w:type="dxa"/>
            </w:tcMar>
            <w:vAlign w:val="center"/>
          </w:tcPr>
          <w:p w14:paraId="0B0B9EA7"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Research &amp; Scholarly Activity</w:t>
            </w:r>
          </w:p>
        </w:tc>
        <w:tc>
          <w:tcPr>
            <w:tcW w:w="1750" w:type="dxa"/>
            <w:shd w:val="clear" w:color="auto" w:fill="1F3864"/>
            <w:tcMar>
              <w:top w:w="100" w:type="dxa"/>
              <w:left w:w="120" w:type="dxa"/>
              <w:bottom w:w="100" w:type="dxa"/>
              <w:right w:w="120" w:type="dxa"/>
            </w:tcMar>
            <w:vAlign w:val="center"/>
          </w:tcPr>
          <w:p w14:paraId="57D21175"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Service / Support / Mentoring</w:t>
            </w:r>
          </w:p>
        </w:tc>
        <w:tc>
          <w:tcPr>
            <w:tcW w:w="2450" w:type="dxa"/>
            <w:shd w:val="clear" w:color="auto" w:fill="1F3864"/>
            <w:tcMar>
              <w:top w:w="100" w:type="dxa"/>
              <w:left w:w="120" w:type="dxa"/>
              <w:bottom w:w="100" w:type="dxa"/>
              <w:right w:w="120" w:type="dxa"/>
            </w:tcMar>
            <w:vAlign w:val="center"/>
          </w:tcPr>
          <w:p w14:paraId="30F49676" w14:textId="77777777" w:rsidR="00267268" w:rsidRPr="00391C98" w:rsidRDefault="00000000" w:rsidP="00E64E4C">
            <w:pPr>
              <w:jc w:val="both"/>
              <w:rPr>
                <w:rFonts w:asciiTheme="minorBidi" w:hAnsiTheme="minorBidi" w:cstheme="minorBidi"/>
              </w:rPr>
            </w:pPr>
            <w:r w:rsidRPr="00391C98">
              <w:rPr>
                <w:rFonts w:asciiTheme="minorBidi" w:hAnsiTheme="minorBidi" w:cstheme="minorBidi"/>
                <w:b/>
                <w:bCs/>
                <w:color w:val="FFFFFF"/>
                <w:sz w:val="20"/>
                <w:szCs w:val="20"/>
              </w:rPr>
              <w:t>Pillar III Focus</w:t>
            </w:r>
          </w:p>
        </w:tc>
      </w:tr>
      <w:tr w:rsidR="00267268" w:rsidRPr="00391C98" w14:paraId="750D4351"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6A765C9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Heads of Department / Program Directors</w:t>
            </w:r>
          </w:p>
        </w:tc>
        <w:tc>
          <w:tcPr>
            <w:tcW w:w="1750" w:type="dxa"/>
            <w:shd w:val="clear" w:color="auto" w:fill="F2F2F2"/>
            <w:tcMar>
              <w:top w:w="100" w:type="dxa"/>
              <w:left w:w="120" w:type="dxa"/>
              <w:bottom w:w="100" w:type="dxa"/>
              <w:right w:w="120" w:type="dxa"/>
            </w:tcMar>
            <w:vAlign w:val="center"/>
          </w:tcPr>
          <w:p w14:paraId="59CA8B9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 hrs (35%)</w:t>
            </w:r>
          </w:p>
        </w:tc>
        <w:tc>
          <w:tcPr>
            <w:tcW w:w="1750" w:type="dxa"/>
            <w:shd w:val="clear" w:color="auto" w:fill="F2F2F2"/>
            <w:tcMar>
              <w:top w:w="100" w:type="dxa"/>
              <w:left w:w="120" w:type="dxa"/>
              <w:bottom w:w="100" w:type="dxa"/>
              <w:right w:w="120" w:type="dxa"/>
            </w:tcMar>
            <w:vAlign w:val="center"/>
          </w:tcPr>
          <w:p w14:paraId="4A59A999"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 hrs (45%)</w:t>
            </w:r>
          </w:p>
        </w:tc>
        <w:tc>
          <w:tcPr>
            <w:tcW w:w="1750" w:type="dxa"/>
            <w:shd w:val="clear" w:color="auto" w:fill="F2F2F2"/>
            <w:tcMar>
              <w:top w:w="100" w:type="dxa"/>
              <w:left w:w="120" w:type="dxa"/>
              <w:bottom w:w="100" w:type="dxa"/>
              <w:right w:w="120" w:type="dxa"/>
            </w:tcMar>
            <w:vAlign w:val="center"/>
          </w:tcPr>
          <w:p w14:paraId="6CCC1D9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200 hrs (20%)</w:t>
            </w:r>
          </w:p>
        </w:tc>
        <w:tc>
          <w:tcPr>
            <w:tcW w:w="2450" w:type="dxa"/>
            <w:shd w:val="clear" w:color="auto" w:fill="F2F2F2"/>
            <w:tcMar>
              <w:top w:w="100" w:type="dxa"/>
              <w:left w:w="120" w:type="dxa"/>
              <w:bottom w:w="100" w:type="dxa"/>
              <w:right w:w="120" w:type="dxa"/>
            </w:tcMar>
            <w:vAlign w:val="center"/>
          </w:tcPr>
          <w:p w14:paraId="6D97D683"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Strategic leadership, curriculum governance, QA, faculty mentoring</w:t>
            </w:r>
          </w:p>
        </w:tc>
      </w:tr>
      <w:tr w:rsidR="00267268" w:rsidRPr="00391C98" w14:paraId="1CA732A7" w14:textId="77777777">
        <w:tblPrEx>
          <w:tblCellMar>
            <w:top w:w="0" w:type="dxa"/>
            <w:bottom w:w="0" w:type="dxa"/>
          </w:tblCellMar>
        </w:tblPrEx>
        <w:tc>
          <w:tcPr>
            <w:tcW w:w="2300" w:type="dxa"/>
            <w:tcMar>
              <w:top w:w="100" w:type="dxa"/>
              <w:left w:w="120" w:type="dxa"/>
              <w:bottom w:w="100" w:type="dxa"/>
              <w:right w:w="120" w:type="dxa"/>
            </w:tcMar>
            <w:vAlign w:val="center"/>
          </w:tcPr>
          <w:p w14:paraId="18DC71A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Professors</w:t>
            </w:r>
          </w:p>
        </w:tc>
        <w:tc>
          <w:tcPr>
            <w:tcW w:w="1750" w:type="dxa"/>
            <w:tcMar>
              <w:top w:w="100" w:type="dxa"/>
              <w:left w:w="120" w:type="dxa"/>
              <w:bottom w:w="100" w:type="dxa"/>
              <w:right w:w="120" w:type="dxa"/>
            </w:tcMar>
            <w:vAlign w:val="center"/>
          </w:tcPr>
          <w:p w14:paraId="5C0053C1"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 hrs (35%)</w:t>
            </w:r>
          </w:p>
        </w:tc>
        <w:tc>
          <w:tcPr>
            <w:tcW w:w="1750" w:type="dxa"/>
            <w:tcMar>
              <w:top w:w="100" w:type="dxa"/>
              <w:left w:w="120" w:type="dxa"/>
              <w:bottom w:w="100" w:type="dxa"/>
              <w:right w:w="120" w:type="dxa"/>
            </w:tcMar>
            <w:vAlign w:val="center"/>
          </w:tcPr>
          <w:p w14:paraId="1399EF47"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500 hrs (50%)</w:t>
            </w:r>
          </w:p>
        </w:tc>
        <w:tc>
          <w:tcPr>
            <w:tcW w:w="1750" w:type="dxa"/>
            <w:tcMar>
              <w:top w:w="100" w:type="dxa"/>
              <w:left w:w="120" w:type="dxa"/>
              <w:bottom w:w="100" w:type="dxa"/>
              <w:right w:w="120" w:type="dxa"/>
            </w:tcMar>
            <w:vAlign w:val="center"/>
          </w:tcPr>
          <w:p w14:paraId="137D3A4E"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tcMar>
              <w:top w:w="100" w:type="dxa"/>
              <w:left w:w="120" w:type="dxa"/>
              <w:bottom w:w="100" w:type="dxa"/>
              <w:right w:w="120" w:type="dxa"/>
            </w:tcMar>
            <w:vAlign w:val="center"/>
          </w:tcPr>
          <w:p w14:paraId="46328F10"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Doctoral supervision &amp; advanced guidance</w:t>
            </w:r>
          </w:p>
        </w:tc>
      </w:tr>
      <w:tr w:rsidR="00267268" w:rsidRPr="00391C98" w14:paraId="3611AA8E" w14:textId="77777777">
        <w:tblPrEx>
          <w:tblCellMar>
            <w:top w:w="0" w:type="dxa"/>
            <w:bottom w:w="0" w:type="dxa"/>
          </w:tblCellMar>
        </w:tblPrEx>
        <w:tc>
          <w:tcPr>
            <w:tcW w:w="2300" w:type="dxa"/>
            <w:shd w:val="clear" w:color="auto" w:fill="F2F2F2"/>
            <w:tcMar>
              <w:top w:w="100" w:type="dxa"/>
              <w:left w:w="120" w:type="dxa"/>
              <w:bottom w:w="100" w:type="dxa"/>
              <w:right w:w="120" w:type="dxa"/>
            </w:tcMar>
            <w:vAlign w:val="center"/>
          </w:tcPr>
          <w:p w14:paraId="554F0257"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Associate Professors</w:t>
            </w:r>
          </w:p>
        </w:tc>
        <w:tc>
          <w:tcPr>
            <w:tcW w:w="1750" w:type="dxa"/>
            <w:shd w:val="clear" w:color="auto" w:fill="F2F2F2"/>
            <w:tcMar>
              <w:top w:w="100" w:type="dxa"/>
              <w:left w:w="120" w:type="dxa"/>
              <w:bottom w:w="100" w:type="dxa"/>
              <w:right w:w="120" w:type="dxa"/>
            </w:tcMar>
            <w:vAlign w:val="center"/>
          </w:tcPr>
          <w:p w14:paraId="53199CFE"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400 hrs (40%)</w:t>
            </w:r>
          </w:p>
        </w:tc>
        <w:tc>
          <w:tcPr>
            <w:tcW w:w="1750" w:type="dxa"/>
            <w:shd w:val="clear" w:color="auto" w:fill="F2F2F2"/>
            <w:tcMar>
              <w:top w:w="100" w:type="dxa"/>
              <w:left w:w="120" w:type="dxa"/>
              <w:bottom w:w="100" w:type="dxa"/>
              <w:right w:w="120" w:type="dxa"/>
            </w:tcMar>
            <w:vAlign w:val="center"/>
          </w:tcPr>
          <w:p w14:paraId="18A8B0D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 hrs (45%)</w:t>
            </w:r>
          </w:p>
        </w:tc>
        <w:tc>
          <w:tcPr>
            <w:tcW w:w="1750" w:type="dxa"/>
            <w:shd w:val="clear" w:color="auto" w:fill="F2F2F2"/>
            <w:tcMar>
              <w:top w:w="100" w:type="dxa"/>
              <w:left w:w="120" w:type="dxa"/>
              <w:bottom w:w="100" w:type="dxa"/>
              <w:right w:w="120" w:type="dxa"/>
            </w:tcMar>
            <w:vAlign w:val="center"/>
          </w:tcPr>
          <w:p w14:paraId="1A95DA0A"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shd w:val="clear" w:color="auto" w:fill="F2F2F2"/>
            <w:tcMar>
              <w:top w:w="100" w:type="dxa"/>
              <w:left w:w="120" w:type="dxa"/>
              <w:bottom w:w="100" w:type="dxa"/>
              <w:right w:w="120" w:type="dxa"/>
            </w:tcMar>
            <w:vAlign w:val="center"/>
          </w:tcPr>
          <w:p w14:paraId="01DA7D9D"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Master's thesis supervision &amp; program-level advising</w:t>
            </w:r>
          </w:p>
        </w:tc>
      </w:tr>
      <w:tr w:rsidR="00267268" w:rsidRPr="00391C98" w14:paraId="43F644D7" w14:textId="77777777">
        <w:tblPrEx>
          <w:tblCellMar>
            <w:top w:w="0" w:type="dxa"/>
            <w:bottom w:w="0" w:type="dxa"/>
          </w:tblCellMar>
        </w:tblPrEx>
        <w:tc>
          <w:tcPr>
            <w:tcW w:w="2300" w:type="dxa"/>
            <w:tcMar>
              <w:top w:w="100" w:type="dxa"/>
              <w:left w:w="120" w:type="dxa"/>
              <w:bottom w:w="100" w:type="dxa"/>
              <w:right w:w="120" w:type="dxa"/>
            </w:tcMar>
            <w:vAlign w:val="center"/>
          </w:tcPr>
          <w:p w14:paraId="5EC8DE1B"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b/>
                <w:bCs/>
                <w:sz w:val="19"/>
                <w:szCs w:val="19"/>
              </w:rPr>
              <w:t>Senior Lecturers, Lecturers &amp; Assistants</w:t>
            </w:r>
          </w:p>
        </w:tc>
        <w:tc>
          <w:tcPr>
            <w:tcW w:w="1750" w:type="dxa"/>
            <w:tcMar>
              <w:top w:w="100" w:type="dxa"/>
              <w:left w:w="120" w:type="dxa"/>
              <w:bottom w:w="100" w:type="dxa"/>
              <w:right w:w="120" w:type="dxa"/>
            </w:tcMar>
            <w:vAlign w:val="center"/>
          </w:tcPr>
          <w:p w14:paraId="5AFD9E7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450–500 hrs (45–50%)</w:t>
            </w:r>
          </w:p>
        </w:tc>
        <w:tc>
          <w:tcPr>
            <w:tcW w:w="1750" w:type="dxa"/>
            <w:tcMar>
              <w:top w:w="100" w:type="dxa"/>
              <w:left w:w="120" w:type="dxa"/>
              <w:bottom w:w="100" w:type="dxa"/>
              <w:right w:w="120" w:type="dxa"/>
            </w:tcMar>
            <w:vAlign w:val="center"/>
          </w:tcPr>
          <w:p w14:paraId="4EB4B084"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350–400 hrs (35–40%)</w:t>
            </w:r>
          </w:p>
        </w:tc>
        <w:tc>
          <w:tcPr>
            <w:tcW w:w="1750" w:type="dxa"/>
            <w:tcMar>
              <w:top w:w="100" w:type="dxa"/>
              <w:left w:w="120" w:type="dxa"/>
              <w:bottom w:w="100" w:type="dxa"/>
              <w:right w:w="120" w:type="dxa"/>
            </w:tcMar>
            <w:vAlign w:val="center"/>
          </w:tcPr>
          <w:p w14:paraId="04E492C5"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150 hrs (15%)</w:t>
            </w:r>
          </w:p>
        </w:tc>
        <w:tc>
          <w:tcPr>
            <w:tcW w:w="2450" w:type="dxa"/>
            <w:tcMar>
              <w:top w:w="100" w:type="dxa"/>
              <w:left w:w="120" w:type="dxa"/>
              <w:bottom w:w="100" w:type="dxa"/>
              <w:right w:w="120" w:type="dxa"/>
            </w:tcMar>
            <w:vAlign w:val="center"/>
          </w:tcPr>
          <w:p w14:paraId="4FDF48BC" w14:textId="77777777" w:rsidR="00267268" w:rsidRPr="00391C98" w:rsidRDefault="00000000" w:rsidP="00E64E4C">
            <w:pPr>
              <w:spacing w:after="60"/>
              <w:jc w:val="both"/>
              <w:rPr>
                <w:rFonts w:asciiTheme="minorBidi" w:hAnsiTheme="minorBidi" w:cstheme="minorBidi"/>
              </w:rPr>
            </w:pPr>
            <w:r w:rsidRPr="00391C98">
              <w:rPr>
                <w:rFonts w:asciiTheme="minorBidi" w:hAnsiTheme="minorBidi" w:cstheme="minorBidi"/>
                <w:sz w:val="19"/>
                <w:szCs w:val="19"/>
              </w:rPr>
              <w:t>Foundational tutorials &amp; laboratory support</w:t>
            </w:r>
          </w:p>
        </w:tc>
      </w:tr>
    </w:tbl>
    <w:p w14:paraId="59BBBF33" w14:textId="77777777" w:rsidR="00267268" w:rsidRPr="00391C98" w:rsidRDefault="00000000" w:rsidP="00E64E4C">
      <w:pPr>
        <w:pStyle w:val="1"/>
        <w:jc w:val="both"/>
        <w:rPr>
          <w:rFonts w:asciiTheme="minorBidi" w:hAnsiTheme="minorBidi" w:cstheme="minorBidi"/>
        </w:rPr>
      </w:pPr>
      <w:bookmarkStart w:id="98" w:name="_Toc240901069"/>
      <w:r w:rsidRPr="00391C98">
        <w:rPr>
          <w:rFonts w:asciiTheme="minorBidi" w:hAnsiTheme="minorBidi" w:cstheme="minorBidi"/>
        </w:rPr>
        <w:t>Annex B: Workload Plan Template — Required Fields</w:t>
      </w:r>
      <w:bookmarkEnd w:id="98"/>
    </w:p>
    <w:p w14:paraId="12A2F23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Faculty Offices should ensure that the Workload Plan template used within their faculty captures, at minimum, the following fields, consistent with the requirements described in Section 11.1:</w:t>
      </w:r>
    </w:p>
    <w:p w14:paraId="103367BA"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Staff member name, rank, FTE fraction, and department.</w:t>
      </w:r>
    </w:p>
    <w:p w14:paraId="1F1EF714"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Applicable rank-specific benchmark percentages and corresponding hour totals for each of the three Core Pillars.</w:t>
      </w:r>
    </w:p>
    <w:p w14:paraId="01F99010"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 detail: courses and sections assigned, contact hours per week, total annual contact hours, and preparation/assessment hours.</w:t>
      </w:r>
    </w:p>
    <w:p w14:paraId="5E186876"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II detail: named research projects, anticipated outputs, grant applications in progress, and estimated hours per activity.</w:t>
      </w:r>
    </w:p>
    <w:p w14:paraId="696C6EFA"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Pillar III detail: named supervisory relationships (doctoral or master's candidates, as applicable), advising responsibilities, committee memberships, and QA duties, each with estimated hours.</w:t>
      </w:r>
    </w:p>
    <w:p w14:paraId="7FEA642D"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Total hours across all three pillars, which must equal the staff member's full or prorated annual standard.</w:t>
      </w:r>
    </w:p>
    <w:p w14:paraId="5E12201C"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lastRenderedPageBreak/>
        <w:t>Signature and date fields for the staff member, the Head of Department, and, where required, the Dean.</w:t>
      </w:r>
    </w:p>
    <w:p w14:paraId="7866C57C" w14:textId="77777777" w:rsidR="00267268" w:rsidRPr="00391C98" w:rsidRDefault="00000000" w:rsidP="00E64E4C">
      <w:pPr>
        <w:pStyle w:val="a4"/>
        <w:numPr>
          <w:ilvl w:val="0"/>
          <w:numId w:val="2"/>
        </w:numPr>
        <w:spacing w:after="100" w:line="300" w:lineRule="auto"/>
        <w:jc w:val="both"/>
        <w:rPr>
          <w:rFonts w:asciiTheme="minorBidi" w:hAnsiTheme="minorBidi" w:cstheme="minorBidi"/>
        </w:rPr>
      </w:pPr>
      <w:r w:rsidRPr="00391C98">
        <w:rPr>
          <w:rFonts w:asciiTheme="minorBidi" w:hAnsiTheme="minorBidi" w:cstheme="minorBidi"/>
        </w:rPr>
        <w:t>A designated field for recording any approved discipline-specific or individual adjustment under Sections 6.5 and 14.</w:t>
      </w:r>
    </w:p>
    <w:p w14:paraId="19B314CB" w14:textId="77777777" w:rsidR="00267268" w:rsidRPr="00391C98" w:rsidRDefault="00000000" w:rsidP="00E64E4C">
      <w:pPr>
        <w:pStyle w:val="1"/>
        <w:jc w:val="both"/>
        <w:rPr>
          <w:rFonts w:asciiTheme="minorBidi" w:hAnsiTheme="minorBidi" w:cstheme="minorBidi"/>
        </w:rPr>
      </w:pPr>
      <w:bookmarkStart w:id="99" w:name="_Toc240901070"/>
      <w:r w:rsidRPr="00391C98">
        <w:rPr>
          <w:rFonts w:asciiTheme="minorBidi" w:hAnsiTheme="minorBidi" w:cstheme="minorBidi"/>
        </w:rPr>
        <w:t>Annex C: Frequently Asked Questions</w:t>
      </w:r>
      <w:bookmarkEnd w:id="99"/>
    </w:p>
    <w:p w14:paraId="06317535"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annex addresses questions commonly raised by academic staff and Heads of Department during the implementation of this Guideline.</w:t>
      </w:r>
    </w:p>
    <w:p w14:paraId="326A3458" w14:textId="77777777" w:rsidR="00267268" w:rsidRPr="00391C98" w:rsidRDefault="00000000" w:rsidP="00E64E4C">
      <w:pPr>
        <w:pStyle w:val="2"/>
        <w:spacing w:before="240" w:after="160"/>
        <w:jc w:val="both"/>
        <w:rPr>
          <w:rFonts w:asciiTheme="minorBidi" w:hAnsiTheme="minorBidi" w:cstheme="minorBidi"/>
        </w:rPr>
      </w:pPr>
      <w:bookmarkStart w:id="100" w:name="_Toc240901071"/>
      <w:r w:rsidRPr="00391C98">
        <w:rPr>
          <w:rFonts w:asciiTheme="minorBidi" w:hAnsiTheme="minorBidi" w:cstheme="minorBidi"/>
        </w:rPr>
        <w:t>Does the 1,000-hour standard include annual leave?</w:t>
      </w:r>
      <w:bookmarkEnd w:id="100"/>
    </w:p>
    <w:p w14:paraId="2F66CF63"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No. The 1,000-hour standard represents professional effort across the academic year exclusive of approved annual leave, which is governed separately by University Human Resources Policy and the applicable Collective Employment Agreement.</w:t>
      </w:r>
    </w:p>
    <w:p w14:paraId="162EE461" w14:textId="77777777" w:rsidR="00267268" w:rsidRPr="00391C98" w:rsidRDefault="00000000" w:rsidP="00E64E4C">
      <w:pPr>
        <w:pStyle w:val="2"/>
        <w:spacing w:before="240" w:after="160"/>
        <w:jc w:val="both"/>
        <w:rPr>
          <w:rFonts w:asciiTheme="minorBidi" w:hAnsiTheme="minorBidi" w:cstheme="minorBidi"/>
        </w:rPr>
      </w:pPr>
      <w:bookmarkStart w:id="101" w:name="_Toc240901072"/>
      <w:r w:rsidRPr="00391C98">
        <w:rPr>
          <w:rFonts w:asciiTheme="minorBidi" w:hAnsiTheme="minorBidi" w:cstheme="minorBidi"/>
        </w:rPr>
        <w:t>What happens if my Workload Plan cannot be finalized before the start of the academic year?</w:t>
      </w:r>
      <w:bookmarkEnd w:id="101"/>
    </w:p>
    <w:p w14:paraId="1FFC27CB"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Heads of Department should make every effort to finalize Workload Plans before the start of the academic year. Where this proves genuinely impracticable, a provisional plan should be agreed and finalized within the first four weeks of the academic year, and the delay should be noted in the Faculty's annual report to the Office of the Provost.</w:t>
      </w:r>
    </w:p>
    <w:p w14:paraId="278F6652" w14:textId="77777777" w:rsidR="00267268" w:rsidRPr="00391C98" w:rsidRDefault="00000000" w:rsidP="00E64E4C">
      <w:pPr>
        <w:pStyle w:val="2"/>
        <w:spacing w:before="240" w:after="160"/>
        <w:jc w:val="both"/>
        <w:rPr>
          <w:rFonts w:asciiTheme="minorBidi" w:hAnsiTheme="minorBidi" w:cstheme="minorBidi"/>
        </w:rPr>
      </w:pPr>
      <w:bookmarkStart w:id="102" w:name="_Toc240901073"/>
      <w:r w:rsidRPr="00391C98">
        <w:rPr>
          <w:rFonts w:asciiTheme="minorBidi" w:hAnsiTheme="minorBidi" w:cstheme="minorBidi"/>
        </w:rPr>
        <w:t>How are joint appointments across two departments handled?</w:t>
      </w:r>
      <w:bookmarkEnd w:id="102"/>
    </w:p>
    <w:p w14:paraId="43552DE2"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Where a staff member holds a joint appointment, the two Heads of Department must jointly prepare a single, consolidated Workload Plan reflecting the agreed division of the staff member's 1,000 standard hours between the two departments, consistent with the terms of the staff member's appointment letter.</w:t>
      </w:r>
    </w:p>
    <w:p w14:paraId="35CE05A1" w14:textId="77777777" w:rsidR="00267268" w:rsidRPr="00391C98" w:rsidRDefault="00000000" w:rsidP="00E64E4C">
      <w:pPr>
        <w:pStyle w:val="2"/>
        <w:spacing w:before="240" w:after="160"/>
        <w:jc w:val="both"/>
        <w:rPr>
          <w:rFonts w:asciiTheme="minorBidi" w:hAnsiTheme="minorBidi" w:cstheme="minorBidi"/>
        </w:rPr>
      </w:pPr>
      <w:bookmarkStart w:id="103" w:name="_Toc240901074"/>
      <w:r w:rsidRPr="00391C98">
        <w:rPr>
          <w:rFonts w:asciiTheme="minorBidi" w:hAnsiTheme="minorBidi" w:cstheme="minorBidi"/>
        </w:rPr>
        <w:t>Can research hours be carried forward from one year to the next?</w:t>
      </w:r>
      <w:bookmarkEnd w:id="103"/>
    </w:p>
    <w:p w14:paraId="3BBAB2C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As a general rule, no: each academic year is planned and appraised on its own terms. Limited carry-forward of specific, named research commitments may be approved by the Dean in exceptional circumstances, such as a project delayed by factors outside the staff member's control, consistent with Section 14.</w:t>
      </w:r>
    </w:p>
    <w:p w14:paraId="0468519C" w14:textId="77777777" w:rsidR="00267268" w:rsidRPr="00391C98" w:rsidRDefault="00000000" w:rsidP="00E64E4C">
      <w:pPr>
        <w:pStyle w:val="2"/>
        <w:spacing w:before="240" w:after="160"/>
        <w:jc w:val="both"/>
        <w:rPr>
          <w:rFonts w:asciiTheme="minorBidi" w:hAnsiTheme="minorBidi" w:cstheme="minorBidi"/>
        </w:rPr>
      </w:pPr>
      <w:bookmarkStart w:id="104" w:name="_Toc240901075"/>
      <w:r w:rsidRPr="00391C98">
        <w:rPr>
          <w:rFonts w:asciiTheme="minorBidi" w:hAnsiTheme="minorBidi" w:cstheme="minorBidi"/>
        </w:rPr>
        <w:t>Who decides which pillar an activity that spans two pillars is counted under?</w:t>
      </w:r>
      <w:bookmarkEnd w:id="104"/>
    </w:p>
    <w:p w14:paraId="310F89B1"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As described in Section 5.1, the Head of Department determines and documents, in consultation with the staff member, the pillar to which such activity is attributed at the Workload Planning stage, in order to avoid double-counting.</w:t>
      </w:r>
    </w:p>
    <w:p w14:paraId="3C2211BC" w14:textId="77777777" w:rsidR="00267268" w:rsidRPr="00391C98" w:rsidRDefault="00000000" w:rsidP="00E64E4C">
      <w:pPr>
        <w:pStyle w:val="2"/>
        <w:spacing w:before="240" w:after="160"/>
        <w:jc w:val="both"/>
        <w:rPr>
          <w:rFonts w:asciiTheme="minorBidi" w:hAnsiTheme="minorBidi" w:cstheme="minorBidi"/>
        </w:rPr>
      </w:pPr>
      <w:bookmarkStart w:id="105" w:name="_Toc240901076"/>
      <w:r w:rsidRPr="00391C98">
        <w:rPr>
          <w:rFonts w:asciiTheme="minorBidi" w:hAnsiTheme="minorBidi" w:cstheme="minorBidi"/>
        </w:rPr>
        <w:t>How does this Guideline apply to a newly hired staff member joining mid-year?</w:t>
      </w:r>
      <w:bookmarkEnd w:id="105"/>
    </w:p>
    <w:p w14:paraId="020F2940"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lastRenderedPageBreak/>
        <w:t>A staff member joining after the start of the academic year receives a prorated Workload Plan covering the remaining portion of the year, prepared by their Head of Department within two weeks of their start date, using the same rank-specific benchmark percentages described in Section 6 applied to the remaining number of working weeks.</w:t>
      </w:r>
    </w:p>
    <w:p w14:paraId="1AAE2876" w14:textId="77777777" w:rsidR="00267268" w:rsidRPr="00391C98" w:rsidRDefault="00000000" w:rsidP="00E64E4C">
      <w:pPr>
        <w:pStyle w:val="2"/>
        <w:spacing w:before="240" w:after="160"/>
        <w:jc w:val="both"/>
        <w:rPr>
          <w:rFonts w:asciiTheme="minorBidi" w:hAnsiTheme="minorBidi" w:cstheme="minorBidi"/>
        </w:rPr>
      </w:pPr>
      <w:bookmarkStart w:id="106" w:name="_Toc240901077"/>
      <w:r w:rsidRPr="00391C98">
        <w:rPr>
          <w:rFonts w:asciiTheme="minorBidi" w:hAnsiTheme="minorBidi" w:cstheme="minorBidi"/>
        </w:rPr>
        <w:t>What if a Head of Department and a staff member cannot agree on a Workload Plan?</w:t>
      </w:r>
      <w:bookmarkEnd w:id="106"/>
    </w:p>
    <w:p w14:paraId="2652F0CA"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As described in Section 11.2, unresolved disagreement is escalated to the Dean for mediation. The Dean's decision on the content of the Workload Plan is final for planning purposes, without prejudice to the staff member's separate right to pursue the appeals process described in Section 16 in relation to any subsequent appraisal determination.</w:t>
      </w:r>
    </w:p>
    <w:p w14:paraId="56EC4F85" w14:textId="77777777" w:rsidR="00267268" w:rsidRPr="00391C98" w:rsidRDefault="00000000" w:rsidP="00E64E4C">
      <w:pPr>
        <w:pStyle w:val="2"/>
        <w:spacing w:before="240" w:after="160"/>
        <w:jc w:val="both"/>
        <w:rPr>
          <w:rFonts w:asciiTheme="minorBidi" w:hAnsiTheme="minorBidi" w:cstheme="minorBidi"/>
        </w:rPr>
      </w:pPr>
      <w:bookmarkStart w:id="107" w:name="_Toc240901078"/>
      <w:r w:rsidRPr="00391C98">
        <w:rPr>
          <w:rFonts w:asciiTheme="minorBidi" w:hAnsiTheme="minorBidi" w:cstheme="minorBidi"/>
        </w:rPr>
        <w:t>Does exceeding the research benchmark offset a shortfall in teaching hours?</w:t>
      </w:r>
      <w:bookmarkEnd w:id="107"/>
    </w:p>
    <w:p w14:paraId="42B38EDD"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No, not automatically. Consistent with the principle of holistic assessment described in Section 4.1, exceptional performance in one pillar does not by itself excuse an unexplained shortfall in another; any such trade-off must be documented and approved in advance as an individual adjustment under Sections 6.5 and 14, rather than assumed after the fact.</w:t>
      </w:r>
    </w:p>
    <w:p w14:paraId="7D7C7D30" w14:textId="77777777" w:rsidR="00267268" w:rsidRPr="00391C98" w:rsidRDefault="00000000" w:rsidP="00E64E4C">
      <w:pPr>
        <w:pStyle w:val="1"/>
        <w:jc w:val="both"/>
        <w:rPr>
          <w:rFonts w:asciiTheme="minorBidi" w:hAnsiTheme="minorBidi" w:cstheme="minorBidi"/>
        </w:rPr>
      </w:pPr>
      <w:bookmarkStart w:id="108" w:name="_Toc240901079"/>
      <w:r w:rsidRPr="00391C98">
        <w:rPr>
          <w:rFonts w:asciiTheme="minorBidi" w:hAnsiTheme="minorBidi" w:cstheme="minorBidi"/>
        </w:rPr>
        <w:t>Annex D: Document Control</w:t>
      </w:r>
      <w:bookmarkEnd w:id="108"/>
    </w:p>
    <w:p w14:paraId="2BDB9087"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This Guideline is issued and maintained by the Office of the Provost. Enquiries regarding its interpretation or application should be directed in the first instance to the relevant Dean's Office, and, where necessary, to the Office of the Provost. This document is subject to the review and amendment procedures described in Section 18, and the version in force is the version published through the University's official policy repository at the time of application.</w:t>
      </w:r>
    </w:p>
    <w:p w14:paraId="214448B6" w14:textId="77777777" w:rsidR="00267268" w:rsidRPr="00391C98" w:rsidRDefault="00000000" w:rsidP="00E64E4C">
      <w:pPr>
        <w:pStyle w:val="1"/>
        <w:jc w:val="both"/>
        <w:rPr>
          <w:rFonts w:asciiTheme="minorBidi" w:hAnsiTheme="minorBidi" w:cstheme="minorBidi"/>
        </w:rPr>
      </w:pPr>
      <w:bookmarkStart w:id="109" w:name="_Toc240901080"/>
      <w:r w:rsidRPr="00391C98">
        <w:rPr>
          <w:rFonts w:asciiTheme="minorBidi" w:hAnsiTheme="minorBidi" w:cstheme="minorBidi"/>
        </w:rPr>
        <w:t>Annex E: Glossary of Acronyms</w:t>
      </w:r>
      <w:bookmarkEnd w:id="109"/>
    </w:p>
    <w:p w14:paraId="53A63466" w14:textId="77777777" w:rsidR="00267268" w:rsidRPr="00391C98" w:rsidRDefault="00000000" w:rsidP="00E64E4C">
      <w:pPr>
        <w:spacing w:after="180" w:line="300" w:lineRule="auto"/>
        <w:jc w:val="both"/>
        <w:rPr>
          <w:rFonts w:asciiTheme="minorBidi" w:hAnsiTheme="minorBidi" w:cstheme="minorBidi"/>
        </w:rPr>
      </w:pPr>
      <w:r w:rsidRPr="00391C98">
        <w:rPr>
          <w:rFonts w:asciiTheme="minorBidi" w:hAnsiTheme="minorBidi" w:cstheme="minorBidi"/>
        </w:rPr>
        <w:t>The following acronyms are used throughout this Guideline.</w:t>
      </w:r>
    </w:p>
    <w:p w14:paraId="2A35156E"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FTE:  </w:t>
      </w:r>
      <w:r w:rsidRPr="00391C98">
        <w:rPr>
          <w:rFonts w:asciiTheme="minorBidi" w:hAnsiTheme="minorBidi" w:cstheme="minorBidi"/>
        </w:rPr>
        <w:t>Full-Time Equivalent — the standardized fraction of a full annual workload represented by a given appointment.</w:t>
      </w:r>
    </w:p>
    <w:p w14:paraId="5183F7C6"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SET:  </w:t>
      </w:r>
      <w:r w:rsidRPr="00391C98">
        <w:rPr>
          <w:rFonts w:asciiTheme="minorBidi" w:hAnsiTheme="minorBidi" w:cstheme="minorBidi"/>
        </w:rPr>
        <w:t>Student Evaluation of Teaching — the University's standardized end-of-period student feedback instrument.</w:t>
      </w:r>
    </w:p>
    <w:p w14:paraId="4EC54676"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QA:  </w:t>
      </w:r>
      <w:r w:rsidRPr="00391C98">
        <w:rPr>
          <w:rFonts w:asciiTheme="minorBidi" w:hAnsiTheme="minorBidi" w:cstheme="minorBidi"/>
        </w:rPr>
        <w:t>Quality Assurance — institutional processes for verifying and improving academic program standards.</w:t>
      </w:r>
    </w:p>
    <w:p w14:paraId="012D0D6A"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t xml:space="preserve">FPRC:  </w:t>
      </w:r>
      <w:r w:rsidRPr="00391C98">
        <w:rPr>
          <w:rFonts w:asciiTheme="minorBidi" w:hAnsiTheme="minorBidi" w:cstheme="minorBidi"/>
        </w:rPr>
        <w:t>Faculty Performance Review Committee — the body responsible for conducting Formal Appraisal and first-instance appeals.</w:t>
      </w:r>
    </w:p>
    <w:p w14:paraId="3868483E" w14:textId="77777777" w:rsidR="00267268" w:rsidRPr="00391C98" w:rsidRDefault="00000000" w:rsidP="00E64E4C">
      <w:pPr>
        <w:spacing w:after="140" w:line="300" w:lineRule="auto"/>
        <w:jc w:val="both"/>
        <w:rPr>
          <w:rFonts w:asciiTheme="minorBidi" w:hAnsiTheme="minorBidi" w:cstheme="minorBidi"/>
        </w:rPr>
      </w:pPr>
      <w:r w:rsidRPr="00391C98">
        <w:rPr>
          <w:rFonts w:asciiTheme="minorBidi" w:hAnsiTheme="minorBidi" w:cstheme="minorBidi"/>
          <w:b/>
          <w:bCs/>
          <w:color w:val="1F3864"/>
        </w:rPr>
        <w:lastRenderedPageBreak/>
        <w:t xml:space="preserve">HOD:  </w:t>
      </w:r>
      <w:r w:rsidRPr="00391C98">
        <w:rPr>
          <w:rFonts w:asciiTheme="minorBidi" w:hAnsiTheme="minorBidi" w:cstheme="minorBidi"/>
        </w:rPr>
        <w:t>Head of Department — used interchangeably with Program Director where the latter title applies within a Faculty's governance structure.</w:t>
      </w:r>
    </w:p>
    <w:sectPr w:rsidR="00267268" w:rsidRPr="00391C98">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86D60" w14:textId="77777777" w:rsidR="00177903" w:rsidRDefault="00177903">
      <w:r>
        <w:separator/>
      </w:r>
    </w:p>
  </w:endnote>
  <w:endnote w:type="continuationSeparator" w:id="0">
    <w:p w14:paraId="47138212" w14:textId="77777777" w:rsidR="00177903" w:rsidRDefault="0017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8130B" w14:textId="77777777" w:rsidR="00267268"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64E4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E64E4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A8F22" w14:textId="77777777" w:rsidR="00177903" w:rsidRDefault="00177903">
      <w:r>
        <w:separator/>
      </w:r>
    </w:p>
  </w:footnote>
  <w:footnote w:type="continuationSeparator" w:id="0">
    <w:p w14:paraId="19D29063" w14:textId="77777777" w:rsidR="00177903" w:rsidRDefault="00177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35A9A" w14:textId="77777777" w:rsidR="00267268" w:rsidRDefault="00000000">
    <w:pPr>
      <w:pBdr>
        <w:bottom w:val="single" w:sz="4" w:space="4" w:color="D9D9D9"/>
      </w:pBdr>
      <w:jc w:val="right"/>
    </w:pPr>
    <w:r>
      <w:rPr>
        <w:i/>
        <w:iCs/>
        <w:color w:val="808080"/>
        <w:sz w:val="16"/>
        <w:szCs w:val="16"/>
      </w:rPr>
      <w:t>Faculty Standard Workload and Performance Metrics — University Guideline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00A82"/>
    <w:multiLevelType w:val="hybridMultilevel"/>
    <w:tmpl w:val="780A92F4"/>
    <w:lvl w:ilvl="0" w:tplc="04B27394">
      <w:start w:val="1"/>
      <w:numFmt w:val="bullet"/>
      <w:lvlText w:val="●"/>
      <w:lvlJc w:val="left"/>
      <w:pPr>
        <w:ind w:left="720" w:hanging="360"/>
      </w:pPr>
    </w:lvl>
    <w:lvl w:ilvl="1" w:tplc="75580AE0">
      <w:start w:val="1"/>
      <w:numFmt w:val="bullet"/>
      <w:lvlText w:val="○"/>
      <w:lvlJc w:val="left"/>
      <w:pPr>
        <w:ind w:left="1440" w:hanging="360"/>
      </w:pPr>
    </w:lvl>
    <w:lvl w:ilvl="2" w:tplc="9830D546">
      <w:start w:val="1"/>
      <w:numFmt w:val="bullet"/>
      <w:lvlText w:val="■"/>
      <w:lvlJc w:val="left"/>
      <w:pPr>
        <w:ind w:left="2160" w:hanging="360"/>
      </w:pPr>
    </w:lvl>
    <w:lvl w:ilvl="3" w:tplc="6EE60816">
      <w:start w:val="1"/>
      <w:numFmt w:val="bullet"/>
      <w:lvlText w:val="●"/>
      <w:lvlJc w:val="left"/>
      <w:pPr>
        <w:ind w:left="2880" w:hanging="360"/>
      </w:pPr>
    </w:lvl>
    <w:lvl w:ilvl="4" w:tplc="B804F942">
      <w:start w:val="1"/>
      <w:numFmt w:val="bullet"/>
      <w:lvlText w:val="○"/>
      <w:lvlJc w:val="left"/>
      <w:pPr>
        <w:ind w:left="3600" w:hanging="360"/>
      </w:pPr>
    </w:lvl>
    <w:lvl w:ilvl="5" w:tplc="114E5496">
      <w:start w:val="1"/>
      <w:numFmt w:val="bullet"/>
      <w:lvlText w:val="■"/>
      <w:lvlJc w:val="left"/>
      <w:pPr>
        <w:ind w:left="4320" w:hanging="360"/>
      </w:pPr>
    </w:lvl>
    <w:lvl w:ilvl="6" w:tplc="96E8F14C">
      <w:start w:val="1"/>
      <w:numFmt w:val="bullet"/>
      <w:lvlText w:val="●"/>
      <w:lvlJc w:val="left"/>
      <w:pPr>
        <w:ind w:left="5040" w:hanging="360"/>
      </w:pPr>
    </w:lvl>
    <w:lvl w:ilvl="7" w:tplc="B412A8F4">
      <w:start w:val="1"/>
      <w:numFmt w:val="bullet"/>
      <w:lvlText w:val="●"/>
      <w:lvlJc w:val="left"/>
      <w:pPr>
        <w:ind w:left="5760" w:hanging="360"/>
      </w:pPr>
    </w:lvl>
    <w:lvl w:ilvl="8" w:tplc="1BA633D2">
      <w:start w:val="1"/>
      <w:numFmt w:val="bullet"/>
      <w:lvlText w:val="●"/>
      <w:lvlJc w:val="left"/>
      <w:pPr>
        <w:ind w:left="6480" w:hanging="360"/>
      </w:pPr>
    </w:lvl>
  </w:abstractNum>
  <w:abstractNum w:abstractNumId="1" w15:restartNumberingAfterBreak="0">
    <w:nsid w:val="717903D9"/>
    <w:multiLevelType w:val="hybridMultilevel"/>
    <w:tmpl w:val="AFA24EC4"/>
    <w:lvl w:ilvl="0" w:tplc="04E06E20">
      <w:start w:val="1"/>
      <w:numFmt w:val="bullet"/>
      <w:lvlText w:val="•"/>
      <w:lvlJc w:val="left"/>
      <w:pPr>
        <w:ind w:left="431" w:hanging="259"/>
      </w:pPr>
    </w:lvl>
    <w:lvl w:ilvl="1" w:tplc="47920D6A">
      <w:numFmt w:val="decimal"/>
      <w:lvlText w:val=""/>
      <w:lvlJc w:val="left"/>
    </w:lvl>
    <w:lvl w:ilvl="2" w:tplc="FC58477C">
      <w:numFmt w:val="decimal"/>
      <w:lvlText w:val=""/>
      <w:lvlJc w:val="left"/>
    </w:lvl>
    <w:lvl w:ilvl="3" w:tplc="D90AEE94">
      <w:numFmt w:val="decimal"/>
      <w:lvlText w:val=""/>
      <w:lvlJc w:val="left"/>
    </w:lvl>
    <w:lvl w:ilvl="4" w:tplc="44E0AA5A">
      <w:numFmt w:val="decimal"/>
      <w:lvlText w:val=""/>
      <w:lvlJc w:val="left"/>
    </w:lvl>
    <w:lvl w:ilvl="5" w:tplc="C93CBE7C">
      <w:numFmt w:val="decimal"/>
      <w:lvlText w:val=""/>
      <w:lvlJc w:val="left"/>
    </w:lvl>
    <w:lvl w:ilvl="6" w:tplc="51AC9D92">
      <w:numFmt w:val="decimal"/>
      <w:lvlText w:val=""/>
      <w:lvlJc w:val="left"/>
    </w:lvl>
    <w:lvl w:ilvl="7" w:tplc="90DE0870">
      <w:numFmt w:val="decimal"/>
      <w:lvlText w:val=""/>
      <w:lvlJc w:val="left"/>
    </w:lvl>
    <w:lvl w:ilvl="8" w:tplc="30B871C4">
      <w:numFmt w:val="decimal"/>
      <w:lvlText w:val=""/>
      <w:lvlJc w:val="left"/>
    </w:lvl>
  </w:abstractNum>
  <w:num w:numId="1" w16cid:durableId="1554345096">
    <w:abstractNumId w:val="0"/>
    <w:lvlOverride w:ilvl="0">
      <w:startOverride w:val="1"/>
    </w:lvlOverride>
  </w:num>
  <w:num w:numId="2" w16cid:durableId="13994010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68"/>
    <w:rsid w:val="00003F7E"/>
    <w:rsid w:val="00177903"/>
    <w:rsid w:val="00267268"/>
    <w:rsid w:val="00376EA9"/>
    <w:rsid w:val="00391C98"/>
    <w:rsid w:val="00E64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1CE5"/>
  <w15:docId w15:val="{D6754981-A943-4FDA-8A77-628E509D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6" w:space="4" w:color="9C7A2E"/>
      </w:pBdr>
      <w:spacing w:before="380" w:after="160"/>
      <w:outlineLvl w:val="0"/>
    </w:pPr>
    <w:rPr>
      <w:b/>
      <w:bCs/>
      <w:color w:val="1F3864"/>
      <w:sz w:val="30"/>
      <w:szCs w:val="30"/>
    </w:rPr>
  </w:style>
  <w:style w:type="paragraph" w:styleId="2">
    <w:name w:val="heading 2"/>
    <w:uiPriority w:val="9"/>
    <w:unhideWhenUsed/>
    <w:qFormat/>
    <w:pPr>
      <w:spacing w:before="260" w:after="120"/>
      <w:outlineLvl w:val="1"/>
    </w:pPr>
    <w:rPr>
      <w:b/>
      <w:bCs/>
      <w:color w:val="1F3864"/>
      <w:sz w:val="25"/>
      <w:szCs w:val="25"/>
    </w:rPr>
  </w:style>
  <w:style w:type="paragraph" w:styleId="3">
    <w:name w:val="heading 3"/>
    <w:uiPriority w:val="9"/>
    <w:unhideWhenUsed/>
    <w:qFormat/>
    <w:pPr>
      <w:spacing w:before="200" w:after="100"/>
      <w:outlineLvl w:val="2"/>
    </w:pPr>
    <w:rPr>
      <w:b/>
      <w:bCs/>
      <w:i/>
      <w:iCs/>
      <w:color w:val="44444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E64E4C"/>
    <w:pPr>
      <w:spacing w:after="100"/>
    </w:pPr>
  </w:style>
  <w:style w:type="paragraph" w:styleId="20">
    <w:name w:val="toc 2"/>
    <w:basedOn w:val="a"/>
    <w:next w:val="a"/>
    <w:autoRedefine/>
    <w:uiPriority w:val="39"/>
    <w:unhideWhenUsed/>
    <w:rsid w:val="00E64E4C"/>
    <w:pPr>
      <w:spacing w:after="100"/>
      <w:ind w:left="220"/>
    </w:pPr>
  </w:style>
  <w:style w:type="paragraph" w:styleId="30">
    <w:name w:val="toc 3"/>
    <w:basedOn w:val="a"/>
    <w:next w:val="a"/>
    <w:autoRedefine/>
    <w:uiPriority w:val="39"/>
    <w:unhideWhenUsed/>
    <w:rsid w:val="00E64E4C"/>
    <w:pPr>
      <w:spacing w:after="100"/>
      <w:ind w:left="440"/>
    </w:pPr>
  </w:style>
  <w:style w:type="paragraph" w:styleId="40">
    <w:name w:val="toc 4"/>
    <w:basedOn w:val="a"/>
    <w:next w:val="a"/>
    <w:autoRedefine/>
    <w:uiPriority w:val="39"/>
    <w:unhideWhenUsed/>
    <w:rsid w:val="00E64E4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E64E4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E64E4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E64E4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E64E4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E64E4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E64E4C"/>
    <w:rPr>
      <w:color w:val="605E5C"/>
      <w:shd w:val="clear" w:color="auto" w:fill="E1DFDD"/>
    </w:rPr>
  </w:style>
  <w:style w:type="paragraph" w:styleId="ad">
    <w:name w:val="header"/>
    <w:basedOn w:val="a"/>
    <w:link w:val="ae"/>
    <w:uiPriority w:val="99"/>
    <w:unhideWhenUsed/>
    <w:rsid w:val="00E64E4C"/>
    <w:pPr>
      <w:tabs>
        <w:tab w:val="center" w:pos="4680"/>
        <w:tab w:val="right" w:pos="9360"/>
      </w:tabs>
    </w:pPr>
  </w:style>
  <w:style w:type="character" w:customStyle="1" w:styleId="ae">
    <w:name w:val="Верхний колонтитул Знак"/>
    <w:basedOn w:val="a0"/>
    <w:link w:val="ad"/>
    <w:uiPriority w:val="99"/>
    <w:rsid w:val="00E64E4C"/>
  </w:style>
  <w:style w:type="paragraph" w:styleId="af">
    <w:name w:val="footer"/>
    <w:basedOn w:val="a"/>
    <w:link w:val="af0"/>
    <w:uiPriority w:val="99"/>
    <w:unhideWhenUsed/>
    <w:rsid w:val="00E64E4C"/>
    <w:pPr>
      <w:tabs>
        <w:tab w:val="center" w:pos="4680"/>
        <w:tab w:val="right" w:pos="9360"/>
      </w:tabs>
    </w:pPr>
  </w:style>
  <w:style w:type="character" w:customStyle="1" w:styleId="af0">
    <w:name w:val="Нижний колонтитул Знак"/>
    <w:basedOn w:val="a0"/>
    <w:link w:val="af"/>
    <w:uiPriority w:val="99"/>
    <w:rsid w:val="00E6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12390</Words>
  <Characters>70628</Characters>
  <Application>Microsoft Office Word</Application>
  <DocSecurity>0</DocSecurity>
  <Lines>588</Lines>
  <Paragraphs>165</Paragraphs>
  <ScaleCrop>false</ScaleCrop>
  <HeadingPairs>
    <vt:vector size="2" baseType="variant">
      <vt:variant>
        <vt:lpstr>Название</vt:lpstr>
      </vt:variant>
      <vt:variant>
        <vt:i4>1</vt:i4>
      </vt:variant>
    </vt:vector>
  </HeadingPairs>
  <TitlesOfParts>
    <vt:vector size="1" baseType="lpstr">
      <vt:lpstr>Faculty Standard Workload and Performance Metrics — University Guideline</vt:lpstr>
    </vt:vector>
  </TitlesOfParts>
  <Company/>
  <LinksUpToDate>false</LinksUpToDate>
  <CharactersWithSpaces>82853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Standard Workload and Performance Metrics — University Guideline</dc:title>
  <dc:creator>Office of the Provost</dc:creator>
  <cp:lastModifiedBy>Xalqaro</cp:lastModifiedBy>
  <cp:revision>3</cp:revision>
  <dcterms:created xsi:type="dcterms:W3CDTF">2026-09-21T12:11:00Z</dcterms:created>
  <dcterms:modified xsi:type="dcterms:W3CDTF">2026-09-21T12:14:00Z</dcterms:modified>
</cp:coreProperties>
</file>