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502"/>
        <w:ind w:left="0" w:right="0"/>
      </w:pPr>
    </w:p>
    <w:p>
      <w:pPr>
        <w:autoSpaceDN w:val="0"/>
        <w:tabs>
          <w:tab w:pos="1544" w:val="left"/>
        </w:tabs>
        <w:autoSpaceDE w:val="0"/>
        <w:widowControl/>
        <w:spacing w:line="245" w:lineRule="auto" w:before="0" w:after="0"/>
        <w:ind w:left="0" w:right="432" w:firstLine="0"/>
        <w:jc w:val="left"/>
      </w:pPr>
      <w:r>
        <w:rPr>
          <w:rFonts w:ascii="Arial" w:hAnsi="Arial" w:eastAsia="Arial"/>
          <w:b/>
          <w:i w:val="0"/>
          <w:color w:val="000000"/>
          <w:sz w:val="24"/>
        </w:rPr>
        <w:t>Magistratura talabalarining o'quv yuklamasini hisoblash bo'yicha yo'riqnoma</w:t>
        <w:br/>
        <w:t>Sana: 2026-yil 20-sentabr · O'quv ishlari bo'yicha prorektor nazorati ostida chiqarilgan ·</w:t>
      </w:r>
      <w:r/>
      <w:r>
        <w:rPr>
          <w:rFonts w:ascii="Arial" w:hAnsi="Arial" w:eastAsia="Arial"/>
          <w:b w:val="0"/>
          <w:i w:val="0"/>
          <w:color w:val="000000"/>
          <w:sz w:val="24"/>
        </w:rPr>
      </w:r>
    </w:p>
    <w:p>
      <w:pPr>
        <w:autoSpaceDN w:val="0"/>
        <w:autoSpaceDE w:val="0"/>
        <w:widowControl/>
        <w:spacing w:line="233" w:lineRule="auto" w:before="310" w:after="0"/>
        <w:ind w:left="0" w:right="0" w:firstLine="0"/>
        <w:jc w:val="left"/>
      </w:pPr>
      <w:r>
        <w:rPr>
          <w:rFonts w:ascii="Arial" w:hAnsi="Arial" w:eastAsia="Arial"/>
          <w:b/>
          <w:i w:val="0"/>
          <w:color w:val="000000"/>
          <w:sz w:val="24"/>
        </w:rPr>
        <w:t>1. Maqsad va huquqiy asos</w:t>
      </w:r>
    </w:p>
    <w:p>
      <w:pPr>
        <w:autoSpaceDN w:val="0"/>
        <w:autoSpaceDE w:val="0"/>
        <w:widowControl/>
        <w:spacing w:line="254" w:lineRule="auto" w:before="132" w:after="0"/>
        <w:ind w:left="0" w:right="20" w:firstLine="0"/>
        <w:jc w:val="both"/>
      </w:pPr>
      <w:r>
        <w:rPr>
          <w:rFonts w:ascii="Arial" w:hAnsi="Arial" w:eastAsia="Arial"/>
          <w:b w:val="0"/>
          <w:i w:val="0"/>
          <w:color w:val="000000"/>
          <w:sz w:val="24"/>
        </w:rPr>
        <w:t>Ushbu yo'riqnoma magistratura talabalarining o'quv yuklamasi qanday hisoblanishi, qayd etilishi va etkazilishini belgilaydi hamda magistratura darajasidagi ta'limni qo'llab-quvvatlovchi muassasa majburiyatlarini — ilmiy rahbarlik, kadrlar bilan ta'minlash, amaliyotlar va dissertatsiya tayyorlashni belgilab beradi. U fakultetlar, kafedralar, ilmiy rahbarlar va O'quv-uslubiy bo'lim foydalanishi uchun O'quv ishlari bo'yicha prorektor nazorati ostida chiqarilgan.</w:t>
      </w:r>
      <w:r>
        <w:rPr>
          <w:rFonts w:ascii="Arial" w:hAnsi="Arial" w:eastAsia="Arial"/>
          <w:b w:val="0"/>
          <w:i w:val="0"/>
          <w:color w:val="000000"/>
          <w:sz w:val="24"/>
        </w:rPr>
      </w:r>
      <w:r>
        <w:rPr>
          <w:rFonts w:ascii="Arial" w:hAnsi="Arial" w:eastAsia="Arial"/>
          <w:b w:val="0"/>
          <w:i w:val="0"/>
          <w:color w:val="000000"/>
          <w:sz w:val="24"/>
        </w:rPr>
      </w:r>
      <w:r>
        <w:rPr>
          <w:rFonts w:ascii="Arial" w:hAnsi="Arial" w:eastAsia="Arial"/>
          <w:b w:val="0"/>
          <w:i w:val="0"/>
          <w:color w:val="000000"/>
          <w:sz w:val="24"/>
        </w:rPr>
      </w:r>
      <w:r>
        <w:rPr>
          <w:rFonts w:ascii="Arial" w:hAnsi="Arial" w:eastAsia="Arial"/>
          <w:b w:val="0"/>
          <w:i w:val="0"/>
          <w:color w:val="000000"/>
          <w:sz w:val="24"/>
        </w:rPr>
      </w:r>
    </w:p>
    <w:p>
      <w:pPr>
        <w:autoSpaceDN w:val="0"/>
        <w:autoSpaceDE w:val="0"/>
        <w:widowControl/>
        <w:spacing w:line="230" w:lineRule="auto" w:before="192" w:after="0"/>
        <w:ind w:left="0" w:right="0" w:firstLine="0"/>
        <w:jc w:val="left"/>
      </w:pPr>
      <w:r>
        <w:rPr>
          <w:rFonts w:ascii="Arial" w:hAnsi="Arial" w:eastAsia="Arial"/>
          <w:b w:val="0"/>
          <w:i w:val="0"/>
          <w:color w:val="000000"/>
          <w:sz w:val="24"/>
        </w:rPr>
        <w:t>Yo'riqnoma ikkita huquqiy hujjatga asoslanadi:</w:t>
      </w:r>
    </w:p>
    <w:p>
      <w:pPr>
        <w:autoSpaceDN w:val="0"/>
        <w:autoSpaceDE w:val="0"/>
        <w:widowControl/>
        <w:spacing w:line="254" w:lineRule="auto" w:before="194" w:after="0"/>
        <w:ind w:left="720" w:right="20" w:hanging="360"/>
        <w:jc w:val="both"/>
      </w:pPr>
      <w:r>
        <w:rPr>
          <w:rFonts w:ascii="Arial" w:hAnsi="Arial" w:eastAsia="Arial"/>
          <w:b w:val="0"/>
          <w:i w:val="0"/>
          <w:color w:val="000000"/>
          <w:sz w:val="24"/>
        </w:rPr>
        <w:t>1. O'zbekiston Respublikasi Vazirlar Mahkamasining 2020-yil 31-dekabrdagi 824-son qarori va uning 1-ilovasi "Oliy ta'lim muassasalarida o'quv jarayoniga kredit-modul tizimini joriy etish tartibi to'g'risidagi nizom" ("Nizom") — quyidagi kredit-soat va o'quv yuklamasini hisoblash qoidalarining manbai (3-4-bo'limlar).</w:t>
      </w:r>
      <w:r>
        <w:rPr>
          <w:rFonts w:ascii="Arial" w:hAnsi="Arial" w:eastAsia="Arial"/>
          <w:b w:val="0"/>
          <w:i w:val="0"/>
          <w:color w:val="000000"/>
          <w:sz w:val="24"/>
        </w:rPr>
      </w:r>
      <w:r>
        <w:rPr>
          <w:rFonts w:ascii="Arial" w:hAnsi="Arial" w:eastAsia="Arial"/>
          <w:b w:val="0"/>
          <w:i w:val="0"/>
          <w:color w:val="000000"/>
          <w:sz w:val="24"/>
        </w:rPr>
      </w:r>
      <w:r>
        <w:rPr>
          <w:rFonts w:ascii="Arial" w:hAnsi="Arial" w:eastAsia="Arial"/>
          <w:b w:val="0"/>
          <w:i w:val="0"/>
          <w:color w:val="000000"/>
          <w:sz w:val="24"/>
        </w:rPr>
      </w:r>
      <w:r>
        <w:rPr>
          <w:rFonts w:ascii="Arial" w:hAnsi="Arial" w:eastAsia="Arial"/>
          <w:b w:val="0"/>
          <w:i w:val="0"/>
          <w:color w:val="000000"/>
          <w:sz w:val="24"/>
        </w:rPr>
      </w:r>
    </w:p>
    <w:p>
      <w:pPr>
        <w:autoSpaceDN w:val="0"/>
        <w:autoSpaceDE w:val="0"/>
        <w:widowControl/>
        <w:spacing w:line="254" w:lineRule="auto" w:before="30" w:after="0"/>
        <w:ind w:left="720" w:right="0" w:hanging="360"/>
        <w:jc w:val="left"/>
      </w:pPr>
      <w:r>
        <w:rPr>
          <w:rFonts w:ascii="Arial" w:hAnsi="Arial" w:eastAsia="Arial"/>
          <w:b w:val="0"/>
          <w:i w:val="0"/>
          <w:color w:val="000000"/>
          <w:sz w:val="24"/>
        </w:rPr>
        <w:t>2. O'zbekiston Respublikasi Vazirlar Mahkamasining 2015-yil 2-martdagi 36-son qarori "Magistratura to'g'risidagi nizomni tasdiqlash haqida" — magistraturaga xos o'quv-uslubiy, ilmiy-tadqiqot va pedagogik faoliyat, amaliyotlar, stajirovkalar va dissertatsiya tayyorlash majburiyatlarining manbai (5-7-bo'limlar).</w:t>
      </w:r>
      <w:r>
        <w:rPr>
          <w:rFonts w:ascii="Arial" w:hAnsi="Arial" w:eastAsia="Arial"/>
          <w:b w:val="0"/>
          <w:i w:val="0"/>
          <w:color w:val="000000"/>
          <w:sz w:val="24"/>
        </w:rPr>
      </w:r>
      <w:r>
        <w:rPr>
          <w:rFonts w:ascii="Arial" w:hAnsi="Arial" w:eastAsia="Arial"/>
          <w:b w:val="0"/>
          <w:i w:val="0"/>
          <w:color w:val="000000"/>
          <w:sz w:val="24"/>
        </w:rPr>
      </w:r>
      <w:r>
        <w:rPr>
          <w:rFonts w:ascii="Arial" w:hAnsi="Arial" w:eastAsia="Arial"/>
          <w:b w:val="0"/>
          <w:i w:val="0"/>
          <w:color w:val="000000"/>
          <w:sz w:val="24"/>
        </w:rPr>
      </w:r>
      <w:r>
        <w:rPr>
          <w:rFonts w:ascii="Arial" w:hAnsi="Arial" w:eastAsia="Arial"/>
          <w:b w:val="0"/>
          <w:i w:val="0"/>
          <w:color w:val="000000"/>
          <w:sz w:val="24"/>
        </w:rPr>
      </w:r>
    </w:p>
    <w:p>
      <w:pPr>
        <w:autoSpaceDN w:val="0"/>
        <w:autoSpaceDE w:val="0"/>
        <w:widowControl/>
        <w:spacing w:line="252" w:lineRule="auto" w:before="194" w:after="0"/>
        <w:ind w:left="0" w:right="28" w:firstLine="0"/>
        <w:jc w:val="both"/>
      </w:pPr>
      <w:r>
        <w:rPr>
          <w:rFonts w:ascii="Arial" w:hAnsi="Arial" w:eastAsia="Arial"/>
          <w:b w:val="0"/>
          <w:i w:val="0"/>
          <w:color w:val="000000"/>
          <w:sz w:val="24"/>
        </w:rPr>
        <w:t>Birgalikda ushbu hujjatlar magistratura talabasi o'quv yuklamasining ECTS tamoyillari asosida kreditlarda belgilanishi, hisoblanishi va etkazilishini, shu bilan birga ushbu o'quv yuklamasining bir qismini tashkil etuvchi ilmiy, pedagogik va amaliy faoliyatlar 36-son Qaror asosida tashkil etilishini anglatadi.</w:t>
      </w:r>
      <w:r>
        <w:rPr>
          <w:rFonts w:ascii="Arial" w:hAnsi="Arial" w:eastAsia="Arial"/>
          <w:b w:val="0"/>
          <w:i w:val="0"/>
          <w:color w:val="000000"/>
          <w:sz w:val="24"/>
        </w:rPr>
      </w:r>
      <w:r>
        <w:rPr>
          <w:rFonts w:ascii="Arial" w:hAnsi="Arial" w:eastAsia="Arial"/>
          <w:b w:val="0"/>
          <w:i w:val="0"/>
          <w:color w:val="000000"/>
          <w:sz w:val="24"/>
        </w:rPr>
      </w:r>
      <w:r>
        <w:rPr>
          <w:rFonts w:ascii="Arial" w:hAnsi="Arial" w:eastAsia="Arial"/>
          <w:b w:val="0"/>
          <w:i w:val="0"/>
          <w:color w:val="000000"/>
          <w:sz w:val="24"/>
        </w:rPr>
      </w:r>
    </w:p>
    <w:p>
      <w:pPr>
        <w:autoSpaceDN w:val="0"/>
        <w:autoSpaceDE w:val="0"/>
        <w:widowControl/>
        <w:spacing w:line="233" w:lineRule="auto" w:before="310" w:after="128"/>
        <w:ind w:left="0" w:right="0" w:firstLine="0"/>
        <w:jc w:val="left"/>
      </w:pPr>
      <w:r>
        <w:rPr>
          <w:rFonts w:ascii="Arial" w:hAnsi="Arial" w:eastAsia="Arial"/>
          <w:b/>
          <w:i w:val="0"/>
          <w:color w:val="000000"/>
          <w:sz w:val="24"/>
        </w:rPr>
        <w:t>2. Asosiy tushunchalar</w:t>
      </w:r>
    </w:p>
    <w:tbl>
      <w:tblPr>
        <w:tblW w:type="auto" w:w="0"/>
        <w:tblLayout w:type="fixed"/>
        <w:tblLook w:firstColumn="1" w:firstRow="1" w:lastColumn="0" w:lastRow="0" w:noHBand="0" w:noVBand="1" w:val="04A0"/>
        <w:tblInd w:w="4.000000000000057" w:type="dxa"/>
      </w:tblPr>
      <w:tblGrid>
        <w:gridCol w:w="4724"/>
        <w:gridCol w:w="4724"/>
      </w:tblGrid>
      <w:tr>
        <w:trPr>
          <w:trHeight w:hRule="exact" w:val="468"/>
        </w:trPr>
        <w:tc>
          <w:tcPr>
            <w:tcW w:type="dxa" w:w="4684"/>
            <w:tcBorders>
              <w:start w:sz="4.0" w:val="single" w:color="#000000"/>
              <w:top w:sz="3.199999999999818" w:val="single" w:color="#000000"/>
              <w:end w:sz="4.0" w:val="single" w:color="#000000"/>
              <w:bottom w:sz="4.0" w:val="single" w:color="#000000"/>
            </w:tcBorders>
            <w:shd w:fill="f1f2f1"/>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4"/>
              </w:rPr>
              <w:t>Atama</w:t>
            </w:r>
          </w:p>
        </w:tc>
        <w:tc>
          <w:tcPr>
            <w:tcW w:type="dxa" w:w="4680"/>
            <w:tcBorders>
              <w:start w:sz="4.0" w:val="single" w:color="#000000"/>
              <w:top w:sz="3.199999999999818" w:val="single" w:color="#000000"/>
              <w:end w:sz="4.0" w:val="single" w:color="#000000"/>
              <w:bottom w:sz="4.0" w:val="single" w:color="#000000"/>
            </w:tcBorders>
            <w:shd w:fill="f1f2f1"/>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4"/>
              </w:rPr>
              <w:t>Ta'rif</w:t>
            </w:r>
          </w:p>
        </w:tc>
      </w:tr>
      <w:tr>
        <w:trPr>
          <w:trHeight w:hRule="exact" w:val="1360"/>
        </w:trPr>
        <w:tc>
          <w:tcPr>
            <w:tcW w:type="dxa" w:w="468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val="0"/>
                <w:i w:val="0"/>
                <w:color w:val="000000"/>
                <w:sz w:val="24"/>
              </w:rPr>
              <w:t>Kredit</w:t>
            </w:r>
          </w:p>
        </w:tc>
        <w:tc>
          <w:tcPr>
            <w:tcW w:type="dxa" w:w="46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auto" w:before="6" w:after="0"/>
              <w:ind w:left="102" w:right="38" w:firstLine="0"/>
              <w:jc w:val="both"/>
            </w:pPr>
            <w:r>
              <w:rPr>
                <w:rFonts w:ascii="Arial" w:hAnsi="Arial" w:eastAsia="Arial"/>
                <w:b w:val="0"/>
                <w:i w:val="0"/>
                <w:color w:val="000000"/>
                <w:sz w:val="24"/>
              </w:rPr>
              <w:t>Talaba fan bo'yicha o'zlashtirgan o'quv yuklamasini o'lchash birligi, o'quv natijalariga asoslangan; butun yoki kasr sonlarda ifodalanadi.</w:t>
            </w:r>
            <w:r>
              <w:rPr>
                <w:rFonts w:ascii="Arial" w:hAnsi="Arial" w:eastAsia="Arial"/>
                <w:b w:val="0"/>
                <w:i w:val="0"/>
                <w:color w:val="000000"/>
                <w:sz w:val="24"/>
              </w:rPr>
            </w:r>
            <w:r>
              <w:rPr>
                <w:rFonts w:ascii="Arial" w:hAnsi="Arial" w:eastAsia="Arial"/>
                <w:b w:val="0"/>
                <w:i w:val="0"/>
                <w:color w:val="000000"/>
                <w:sz w:val="24"/>
              </w:rPr>
            </w:r>
            <w:r>
              <w:rPr>
                <w:rFonts w:ascii="Arial" w:hAnsi="Arial" w:eastAsia="Arial"/>
                <w:b w:val="0"/>
                <w:i w:val="0"/>
                <w:color w:val="000000"/>
                <w:sz w:val="24"/>
              </w:rPr>
            </w:r>
          </w:p>
        </w:tc>
      </w:tr>
      <w:tr>
        <w:trPr>
          <w:trHeight w:hRule="exact" w:val="1958"/>
        </w:trPr>
        <w:tc>
          <w:tcPr>
            <w:tcW w:type="dxa" w:w="468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4"/>
              </w:rPr>
              <w:t>O'quv yuklamasi</w:t>
            </w:r>
          </w:p>
        </w:tc>
        <w:tc>
          <w:tcPr>
            <w:tcW w:type="dxa" w:w="46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2" w:lineRule="auto" w:before="6" w:after="14"/>
              <w:ind w:left="102" w:right="40" w:firstLine="0"/>
              <w:jc w:val="both"/>
            </w:pPr>
            <w:r>
              <w:rPr>
                <w:rFonts w:ascii="Arial" w:hAnsi="Arial" w:eastAsia="Arial"/>
                <w:b w:val="0"/>
                <w:i w:val="0"/>
                <w:color w:val="000000"/>
                <w:sz w:val="24"/>
              </w:rPr>
              <w:t>Talabaning kutilgan o'quv natijalariga erishish uchun zarur bo'lgan soatlar soni, auditoriya mashg'ulotlari va mustaqil ish bo'yicha — magistratura talabasi uchun tarkibiy qismlarni o'z ichiga oladi.</w:t>
            </w:r>
            <w:r>
              <w:rPr>
                <w:rFonts w:ascii="Arial" w:hAnsi="Arial" w:eastAsia="Arial"/>
                <w:b w:val="0"/>
                <w:i w:val="0"/>
                <w:color w:val="000000"/>
                <w:sz w:val="24"/>
              </w:rPr>
            </w:r>
            <w:r>
              <w:rPr>
                <w:rFonts w:ascii="Arial" w:hAnsi="Arial" w:eastAsia="Arial"/>
                <w:b w:val="0"/>
                <w:i w:val="0"/>
                <w:color w:val="000000"/>
                <w:sz w:val="24"/>
              </w:rPr>
            </w:r>
            <w:r>
              <w:rPr>
                <w:rFonts w:ascii="Arial" w:hAnsi="Arial" w:eastAsia="Arial"/>
                <w:b w:val="0"/>
                <w:i w:val="0"/>
                <w:color w:val="000000"/>
                <w:sz w:val="24"/>
              </w:rPr>
            </w:r>
          </w:p>
          <w:tbl>
            <w:tblPr>
              <w:tblW w:type="auto" w:w="0"/>
              <w:tblLayout w:type="fixed"/>
              <w:tblLook w:firstColumn="1" w:firstRow="1" w:lastColumn="0" w:lastRow="0" w:noHBand="0" w:noVBand="1" w:val="04A0"/>
              <w:tblInd w:w="47.999999999999545" w:type="dxa"/>
            </w:tblPr>
            <w:tblGrid>
              <w:gridCol w:w="1170"/>
              <w:gridCol w:w="1170"/>
              <w:gridCol w:w="1170"/>
              <w:gridCol w:w="1170"/>
            </w:tblGrid>
            <w:tr>
              <w:trPr>
                <w:trHeight w:hRule="exact" w:val="296"/>
              </w:trPr>
              <w:tc>
                <w:tcPr>
                  <w:tcW w:type="dxa" w:w="1220"/>
                  <w:tcBorders/>
                  <w:tcMar>
                    <w:start w:w="0" w:type="dxa"/>
                    <w:end w:w="0" w:type="dxa"/>
                  </w:tcMar>
                </w:tcPr>
                <w:p>
                  <w:pPr>
                    <w:autoSpaceDN w:val="0"/>
                    <w:autoSpaceDE w:val="0"/>
                    <w:widowControl/>
                    <w:spacing w:line="230" w:lineRule="auto" w:before="16" w:after="0"/>
                    <w:ind w:left="0" w:right="0" w:firstLine="0"/>
                    <w:jc w:val="center"/>
                  </w:pPr>
                  <w:r>
                    <w:rPr>
                      <w:rFonts w:ascii="Arial" w:hAnsi="Arial" w:eastAsia="Arial"/>
                      <w:b w:val="0"/>
                      <w:i w:val="0"/>
                      <w:color w:val="000000"/>
                      <w:sz w:val="24"/>
                    </w:rPr>
                    <w:t xml:space="preserve">research, </w:t>
                  </w:r>
                </w:p>
              </w:tc>
              <w:tc>
                <w:tcPr>
                  <w:tcW w:type="dxa" w:w="1620"/>
                  <w:tcBorders/>
                  <w:tcMar>
                    <w:start w:w="0" w:type="dxa"/>
                    <w:end w:w="0" w:type="dxa"/>
                  </w:tcMar>
                </w:tcPr>
                <w:p>
                  <w:pPr>
                    <w:autoSpaceDN w:val="0"/>
                    <w:autoSpaceDE w:val="0"/>
                    <w:widowControl/>
                    <w:spacing w:line="230" w:lineRule="auto" w:before="16" w:after="0"/>
                    <w:ind w:left="0" w:right="0" w:firstLine="0"/>
                    <w:jc w:val="center"/>
                  </w:pPr>
                  <w:r>
                    <w:rPr>
                      <w:rFonts w:ascii="Arial" w:hAnsi="Arial" w:eastAsia="Arial"/>
                      <w:b w:val="0"/>
                      <w:i w:val="0"/>
                      <w:color w:val="000000"/>
                      <w:sz w:val="24"/>
                    </w:rPr>
                    <w:t xml:space="preserve">pedagogical, </w:t>
                  </w:r>
                </w:p>
              </w:tc>
              <w:tc>
                <w:tcPr>
                  <w:tcW w:type="dxa" w:w="680"/>
                  <w:tcBorders/>
                  <w:tcMar>
                    <w:start w:w="0" w:type="dxa"/>
                    <w:end w:w="0" w:type="dxa"/>
                  </w:tcMar>
                </w:tcPr>
                <w:p>
                  <w:pPr>
                    <w:autoSpaceDN w:val="0"/>
                    <w:autoSpaceDE w:val="0"/>
                    <w:widowControl/>
                    <w:spacing w:line="230" w:lineRule="auto" w:before="16" w:after="0"/>
                    <w:ind w:left="0" w:right="0" w:firstLine="0"/>
                    <w:jc w:val="center"/>
                  </w:pPr>
                  <w:r>
                    <w:rPr>
                      <w:rFonts w:ascii="Arial" w:hAnsi="Arial" w:eastAsia="Arial"/>
                      <w:b w:val="0"/>
                      <w:i w:val="0"/>
                      <w:color w:val="000000"/>
                      <w:sz w:val="24"/>
                    </w:rPr>
                    <w:t xml:space="preserve">and </w:t>
                  </w:r>
                </w:p>
              </w:tc>
              <w:tc>
                <w:tcPr>
                  <w:tcW w:type="dxa" w:w="1080"/>
                  <w:tcBorders/>
                  <w:tcMar>
                    <w:start w:w="0" w:type="dxa"/>
                    <w:end w:w="0" w:type="dxa"/>
                  </w:tcMar>
                </w:tcPr>
                <w:p>
                  <w:pPr>
                    <w:autoSpaceDN w:val="0"/>
                    <w:autoSpaceDE w:val="0"/>
                    <w:widowControl/>
                    <w:spacing w:line="230" w:lineRule="auto" w:before="16" w:after="0"/>
                    <w:ind w:left="104" w:right="0" w:firstLine="0"/>
                    <w:jc w:val="left"/>
                  </w:pPr>
                  <w:r>
                    <w:rPr>
                      <w:rFonts w:ascii="Arial" w:hAnsi="Arial" w:eastAsia="Arial"/>
                      <w:b w:val="0"/>
                      <w:i w:val="0"/>
                      <w:color w:val="000000"/>
                      <w:sz w:val="24"/>
                    </w:rPr>
                    <w:t xml:space="preserve">practical </w:t>
                  </w:r>
                </w:p>
              </w:tc>
            </w:tr>
          </w:tbl>
          <w:p>
            <w:pPr>
              <w:autoSpaceDN w:val="0"/>
              <w:autoSpaceDE w:val="0"/>
              <w:widowControl/>
              <w:spacing w:line="233" w:lineRule="auto" w:before="14" w:after="0"/>
              <w:ind w:left="102" w:right="0" w:firstLine="0"/>
              <w:jc w:val="left"/>
            </w:pPr>
            <w:r>
              <w:rPr>
                <w:rFonts w:ascii="Arial" w:hAnsi="Arial" w:eastAsia="Arial"/>
                <w:b w:val="0"/>
                <w:i w:val="0"/>
                <w:color w:val="000000"/>
                <w:sz w:val="24"/>
              </w:rPr>
            </w:r>
          </w:p>
        </w:tc>
      </w:tr>
      <w:tr>
        <w:trPr>
          <w:trHeight w:hRule="exact" w:val="1044"/>
        </w:trPr>
        <w:tc>
          <w:tcPr>
            <w:tcW w:type="dxa" w:w="468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4"/>
              </w:rPr>
              <w:t>GPA (O'rtacha baho ko'rsatkichi)</w:t>
            </w:r>
          </w:p>
        </w:tc>
        <w:tc>
          <w:tcPr>
            <w:tcW w:type="dxa" w:w="46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0" w:lineRule="auto" w:before="8" w:after="0"/>
              <w:ind w:left="102" w:right="40" w:firstLine="0"/>
              <w:jc w:val="both"/>
            </w:pPr>
            <w:r>
              <w:rPr>
                <w:rFonts w:ascii="Arial" w:hAnsi="Arial" w:eastAsia="Arial"/>
                <w:b w:val="0"/>
                <w:i w:val="0"/>
                <w:color w:val="000000"/>
                <w:sz w:val="24"/>
              </w:rPr>
              <w:t>Talabaning dastur davomidagi barcha fanlar bo'yicha baholarining kreditga tortilgan o'rtachasi (formula 4-bo'limda).</w:t>
            </w:r>
            <w:r>
              <w:rPr>
                <w:rFonts w:ascii="Arial" w:hAnsi="Arial" w:eastAsia="Arial"/>
                <w:b w:val="0"/>
                <w:i w:val="0"/>
                <w:color w:val="000000"/>
                <w:sz w:val="24"/>
              </w:rPr>
            </w:r>
            <w:r>
              <w:rPr>
                <w:rFonts w:ascii="Arial" w:hAnsi="Arial" w:eastAsia="Arial"/>
                <w:b w:val="0"/>
                <w:i w:val="0"/>
                <w:color w:val="000000"/>
                <w:sz w:val="24"/>
              </w:rPr>
            </w:r>
          </w:p>
        </w:tc>
      </w:tr>
    </w:tbl>
    <w:p>
      <w:pPr>
        <w:autoSpaceDN w:val="0"/>
        <w:autoSpaceDE w:val="0"/>
        <w:widowControl/>
        <w:spacing w:line="14" w:lineRule="exact" w:before="0" w:after="0"/>
        <w:ind w:left="0" w:right="0"/>
      </w:pPr>
    </w:p>
    <w:p>
      <w:pPr>
        <w:sectPr>
          <w:pgSz w:w="12240" w:h="15840"/>
          <w:pgMar w:top="724" w:right="1352" w:bottom="576" w:left="1440" w:header="720" w:footer="720" w:gutter="0"/>
          <w:cols/>
          <w:docGrid w:linePitch="360"/>
        </w:sectPr>
      </w:pPr>
    </w:p>
    <w:p>
      <w:pPr>
        <w:autoSpaceDN w:val="0"/>
        <w:autoSpaceDE w:val="0"/>
        <w:widowControl/>
        <w:spacing w:line="220" w:lineRule="exact" w:before="0" w:after="500"/>
        <w:ind w:left="0" w:right="0"/>
      </w:pPr>
    </w:p>
    <w:tbl>
      <w:tblPr>
        <w:tblW w:type="auto" w:w="0"/>
        <w:tblLayout w:type="fixed"/>
        <w:tblLook w:firstColumn="1" w:firstRow="1" w:lastColumn="0" w:lastRow="0" w:noHBand="0" w:noVBand="1" w:val="04A0"/>
        <w:tblInd w:w="4.000000000000057" w:type="dxa"/>
      </w:tblPr>
      <w:tblGrid>
        <w:gridCol w:w="4724"/>
        <w:gridCol w:w="4724"/>
      </w:tblGrid>
      <w:tr>
        <w:trPr>
          <w:trHeight w:hRule="exact" w:val="470"/>
        </w:trPr>
        <w:tc>
          <w:tcPr>
            <w:tcW w:type="dxa" w:w="4684"/>
            <w:tcBorders>
              <w:start w:sz="4.0" w:val="single" w:color="#000000"/>
              <w:top w:sz="4.0" w:val="single" w:color="#000000"/>
              <w:end w:sz="4.0" w:val="single" w:color="#000000"/>
              <w:bottom w:sz="4.0" w:val="single" w:color="#000000"/>
            </w:tcBorders>
            <w:shd w:fill="f1f2f1"/>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4"/>
              </w:rPr>
              <w:t>Atama</w:t>
            </w:r>
          </w:p>
        </w:tc>
        <w:tc>
          <w:tcPr>
            <w:tcW w:type="dxa" w:w="4680"/>
            <w:tcBorders>
              <w:start w:sz="4.0" w:val="single" w:color="#000000"/>
              <w:top w:sz="4.0" w:val="single" w:color="#000000"/>
              <w:end w:sz="4.0" w:val="single" w:color="#000000"/>
              <w:bottom w:sz="4.0" w:val="single" w:color="#000000"/>
            </w:tcBorders>
            <w:shd w:fill="f1f2f1"/>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4"/>
              </w:rPr>
              <w:t>Ta'rif</w:t>
            </w:r>
          </w:p>
        </w:tc>
      </w:tr>
      <w:tr>
        <w:trPr>
          <w:trHeight w:hRule="exact" w:val="1062"/>
        </w:trPr>
        <w:tc>
          <w:tcPr>
            <w:tcW w:type="dxa" w:w="468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val="0"/>
                <w:i w:val="0"/>
                <w:color w:val="000000"/>
                <w:sz w:val="24"/>
              </w:rPr>
              <w:t>Ilmiy rahbar</w:t>
            </w:r>
          </w:p>
        </w:tc>
        <w:tc>
          <w:tcPr>
            <w:tcW w:type="dxa" w:w="46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0" w:lineRule="auto" w:before="4" w:after="0"/>
              <w:ind w:left="102" w:right="42" w:firstLine="0"/>
              <w:jc w:val="both"/>
            </w:pPr>
            <w:r>
              <w:rPr>
                <w:rFonts w:ascii="Arial" w:hAnsi="Arial" w:eastAsia="Arial"/>
                <w:b w:val="0"/>
                <w:i w:val="0"/>
                <w:color w:val="000000"/>
                <w:sz w:val="24"/>
              </w:rPr>
              <w:t>Magistratura talabasi ilmiy-tadqiqot ishi, dissertatsiyasi va kalendar ish rejasiga rahbarlik qilish uchun tayinlangan professor-o'qituvchi.</w:t>
            </w:r>
            <w:r>
              <w:rPr>
                <w:rFonts w:ascii="Arial" w:hAnsi="Arial" w:eastAsia="Arial"/>
                <w:b w:val="0"/>
                <w:i w:val="0"/>
                <w:color w:val="000000"/>
                <w:sz w:val="24"/>
              </w:rPr>
            </w:r>
            <w:r>
              <w:rPr>
                <w:rFonts w:ascii="Arial" w:hAnsi="Arial" w:eastAsia="Arial"/>
                <w:b w:val="0"/>
                <w:i w:val="0"/>
                <w:color w:val="000000"/>
                <w:sz w:val="24"/>
              </w:rPr>
            </w:r>
          </w:p>
        </w:tc>
      </w:tr>
      <w:tr>
        <w:trPr>
          <w:trHeight w:hRule="exact" w:val="1958"/>
        </w:trPr>
        <w:tc>
          <w:tcPr>
            <w:tcW w:type="dxa" w:w="468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2" w:after="0"/>
              <w:ind w:left="104" w:right="0" w:firstLine="0"/>
              <w:jc w:val="left"/>
            </w:pPr>
            <w:r>
              <w:rPr>
                <w:rFonts w:ascii="Arial" w:hAnsi="Arial" w:eastAsia="Arial"/>
                <w:b w:val="0"/>
                <w:i w:val="0"/>
                <w:color w:val="000000"/>
                <w:sz w:val="24"/>
              </w:rPr>
              <w:t>Kalendar ish rejasi</w:t>
            </w:r>
          </w:p>
        </w:tc>
        <w:tc>
          <w:tcPr>
            <w:tcW w:type="dxa" w:w="4680"/>
            <w:tcBorders>
              <w:start w:sz="4.0" w:val="single" w:color="#000000"/>
              <w:top w:sz="4.0" w:val="single" w:color="#000000"/>
              <w:end w:sz="4.0" w:val="single" w:color="#000000"/>
              <w:bottom w:sz="4.0" w:val="single" w:color="#000000"/>
            </w:tcBorders>
            <w:tcMar>
              <w:start w:w="0" w:type="dxa"/>
              <w:end w:w="0" w:type="dxa"/>
            </w:tcMar>
          </w:tcPr>
          <w:p>
            <w:pPr>
              <w:autoSpaceDN w:val="0"/>
              <w:tabs>
                <w:tab w:pos="776" w:val="left"/>
                <w:tab w:pos="1934" w:val="left"/>
                <w:tab w:pos="3146" w:val="left"/>
                <w:tab w:pos="4366" w:val="left"/>
              </w:tabs>
              <w:autoSpaceDE w:val="0"/>
              <w:widowControl/>
              <w:spacing w:line="230" w:lineRule="auto" w:before="6" w:after="0"/>
              <w:ind w:left="102" w:right="0" w:firstLine="0"/>
              <w:jc w:val="left"/>
            </w:pPr>
            <w:r>
              <w:rPr>
                <w:rFonts w:ascii="Arial" w:hAnsi="Arial" w:eastAsia="Arial"/>
                <w:b w:val="0"/>
                <w:i w:val="0"/>
                <w:color w:val="000000"/>
                <w:sz w:val="24"/>
              </w:rPr>
              <w:t>Magistratura talabasi davr uchun o'quv-uslubiy, ilmiy, pedagogik va amaliy faoliyatlari jadvali, ilmiy rahbar bilan birgalikda ishlab chiqilgan va rasman tasdiqlangan (7-bo'lim).</w:t>
            </w:r>
            <w:r>
              <w:rPr>
                <w:rFonts w:ascii="Arial" w:hAnsi="Arial" w:eastAsia="Arial"/>
                <w:b w:val="0"/>
                <w:i w:val="0"/>
                <w:color w:val="000000"/>
                <w:sz w:val="24"/>
              </w:rPr>
            </w:r>
            <w:r/>
            <w:r>
              <w:rPr>
                <w:rFonts w:ascii="Arial" w:hAnsi="Arial" w:eastAsia="Arial"/>
                <w:b w:val="0"/>
                <w:i w:val="0"/>
                <w:color w:val="000000"/>
                <w:sz w:val="24"/>
              </w:rPr>
            </w:r>
            <w:r/>
            <w:r>
              <w:rPr>
                <w:rFonts w:ascii="Arial" w:hAnsi="Arial" w:eastAsia="Arial"/>
                <w:b w:val="0"/>
                <w:i w:val="0"/>
                <w:color w:val="000000"/>
                <w:sz w:val="24"/>
              </w:rPr>
            </w:r>
            <w:r/>
            <w:r>
              <w:rPr>
                <w:rFonts w:ascii="Arial" w:hAnsi="Arial" w:eastAsia="Arial"/>
                <w:b w:val="0"/>
                <w:i w:val="0"/>
                <w:color w:val="000000"/>
                <w:sz w:val="24"/>
              </w:rPr>
            </w:r>
          </w:p>
          <w:p>
            <w:pPr>
              <w:autoSpaceDN w:val="0"/>
              <w:tabs>
                <w:tab w:pos="3564" w:val="left"/>
              </w:tabs>
              <w:autoSpaceDE w:val="0"/>
              <w:widowControl/>
              <w:spacing w:line="233" w:lineRule="auto" w:before="30" w:after="0"/>
              <w:ind w:left="102" w:right="0" w:firstLine="0"/>
              <w:jc w:val="left"/>
            </w:pPr>
            <w:r>
              <w:rPr>
                <w:rFonts w:ascii="Arial" w:hAnsi="Arial" w:eastAsia="Arial"/>
                <w:b w:val="0"/>
                <w:i w:val="0"/>
                <w:color w:val="000000"/>
                <w:sz w:val="24"/>
              </w:rPr>
            </w:r>
            <w:r/>
            <w:r>
              <w:rPr>
                <w:rFonts w:ascii="Arial" w:hAnsi="Arial" w:eastAsia="Arial"/>
                <w:b w:val="0"/>
                <w:i w:val="0"/>
                <w:color w:val="000000"/>
                <w:sz w:val="24"/>
              </w:rPr>
            </w:r>
          </w:p>
          <w:p>
            <w:pPr>
              <w:autoSpaceDN w:val="0"/>
              <w:autoSpaceDE w:val="0"/>
              <w:widowControl/>
              <w:spacing w:line="233" w:lineRule="auto" w:before="30" w:after="0"/>
              <w:ind w:left="0" w:right="0" w:firstLine="0"/>
              <w:jc w:val="center"/>
            </w:pPr>
            <w:r>
              <w:rPr>
                <w:rFonts w:ascii="Arial" w:hAnsi="Arial" w:eastAsia="Arial"/>
                <w:b w:val="0"/>
                <w:i w:val="0"/>
                <w:color w:val="000000"/>
                <w:sz w:val="24"/>
              </w:rPr>
            </w:r>
          </w:p>
          <w:p>
            <w:pPr>
              <w:autoSpaceDN w:val="0"/>
              <w:autoSpaceDE w:val="0"/>
              <w:widowControl/>
              <w:spacing w:line="233" w:lineRule="auto" w:before="30" w:after="0"/>
              <w:ind w:left="0" w:right="0" w:firstLine="0"/>
              <w:jc w:val="center"/>
            </w:pPr>
            <w:r>
              <w:rPr>
                <w:rFonts w:ascii="Arial" w:hAnsi="Arial" w:eastAsia="Arial"/>
                <w:b w:val="0"/>
                <w:i w:val="0"/>
                <w:color w:val="000000"/>
                <w:sz w:val="24"/>
              </w:rPr>
            </w:r>
          </w:p>
          <w:p>
            <w:pPr>
              <w:autoSpaceDN w:val="0"/>
              <w:autoSpaceDE w:val="0"/>
              <w:widowControl/>
              <w:spacing w:line="233" w:lineRule="auto" w:before="32" w:after="0"/>
              <w:ind w:left="0" w:right="0" w:firstLine="0"/>
              <w:jc w:val="center"/>
            </w:pPr>
            <w:r>
              <w:rPr>
                <w:rFonts w:ascii="Arial" w:hAnsi="Arial" w:eastAsia="Arial"/>
                <w:b w:val="0"/>
                <w:i w:val="0"/>
                <w:color w:val="000000"/>
                <w:sz w:val="24"/>
              </w:rPr>
            </w:r>
          </w:p>
          <w:p>
            <w:pPr>
              <w:autoSpaceDN w:val="0"/>
              <w:autoSpaceDE w:val="0"/>
              <w:widowControl/>
              <w:spacing w:line="230" w:lineRule="auto" w:before="28" w:after="0"/>
              <w:ind w:left="102" w:right="0" w:firstLine="0"/>
              <w:jc w:val="left"/>
            </w:pPr>
            <w:r>
              <w:rPr>
                <w:rFonts w:ascii="Arial" w:hAnsi="Arial" w:eastAsia="Arial"/>
                <w:b w:val="0"/>
                <w:i w:val="0"/>
                <w:color w:val="000000"/>
                <w:sz w:val="24"/>
              </w:rPr>
            </w:r>
          </w:p>
        </w:tc>
      </w:tr>
      <w:tr>
        <w:trPr>
          <w:trHeight w:hRule="exact" w:val="1064"/>
        </w:trPr>
        <w:tc>
          <w:tcPr>
            <w:tcW w:type="dxa" w:w="468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4"/>
              </w:rPr>
              <w:t>O'quv-uslubiy bo'lim</w:t>
            </w:r>
          </w:p>
        </w:tc>
        <w:tc>
          <w:tcPr>
            <w:tcW w:type="dxa" w:w="46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0" w:lineRule="auto" w:before="8" w:after="0"/>
              <w:ind w:left="102" w:right="40" w:firstLine="0"/>
              <w:jc w:val="both"/>
            </w:pPr>
            <w:r>
              <w:rPr>
                <w:rFonts w:ascii="Arial" w:hAnsi="Arial" w:eastAsia="Arial"/>
                <w:b w:val="0"/>
                <w:i w:val="0"/>
                <w:color w:val="000000"/>
                <w:sz w:val="24"/>
              </w:rPr>
              <w:t>O'quv rejasi, fanlar katalogi, o'quv dasturlari va kredit/o'quv yuklamasi muvofiqligiga mas'ul universitet bo'linmasi.</w:t>
            </w:r>
            <w:r>
              <w:rPr>
                <w:rFonts w:ascii="Arial" w:hAnsi="Arial" w:eastAsia="Arial"/>
                <w:b w:val="0"/>
                <w:i w:val="0"/>
                <w:color w:val="000000"/>
                <w:sz w:val="24"/>
              </w:rPr>
            </w:r>
            <w:r>
              <w:rPr>
                <w:rFonts w:ascii="Arial" w:hAnsi="Arial" w:eastAsia="Arial"/>
                <w:b w:val="0"/>
                <w:i w:val="0"/>
                <w:color w:val="000000"/>
                <w:sz w:val="24"/>
              </w:rPr>
            </w:r>
          </w:p>
        </w:tc>
      </w:tr>
    </w:tbl>
    <w:p>
      <w:pPr>
        <w:autoSpaceDN w:val="0"/>
        <w:autoSpaceDE w:val="0"/>
        <w:widowControl/>
        <w:spacing w:line="233" w:lineRule="auto" w:before="284" w:after="0"/>
        <w:ind w:left="0" w:right="0" w:firstLine="0"/>
        <w:jc w:val="left"/>
      </w:pPr>
      <w:r>
        <w:rPr>
          <w:rFonts w:ascii="Arial" w:hAnsi="Arial" w:eastAsia="Arial"/>
          <w:b/>
          <w:i w:val="0"/>
          <w:color w:val="000000"/>
          <w:sz w:val="24"/>
        </w:rPr>
        <w:t>3. Magistratura talabalarining o'quv yuklamasini hisoblash</w:t>
      </w:r>
    </w:p>
    <w:p>
      <w:pPr>
        <w:autoSpaceDN w:val="0"/>
        <w:autoSpaceDE w:val="0"/>
        <w:widowControl/>
        <w:spacing w:line="250" w:lineRule="auto" w:before="130" w:after="0"/>
        <w:ind w:left="0" w:right="20" w:firstLine="0"/>
        <w:jc w:val="both"/>
      </w:pPr>
      <w:r>
        <w:rPr>
          <w:rFonts w:ascii="Arial" w:hAnsi="Arial" w:eastAsia="Arial"/>
          <w:b w:val="0"/>
          <w:i w:val="0"/>
          <w:color w:val="000000"/>
          <w:sz w:val="24"/>
        </w:rPr>
        <w:t>Nizomga muvofiq (4-bob, 15-band), magistratura talabasi o'quv yuklamasi — auditoriya soatlari va mustaqil ta'lim turlari bilan birga — ECTS tamoyillari asosida kreditlarda quyidagi parametrlar yordamida hisoblanadi:</w:t>
      </w:r>
      <w:r>
        <w:rPr>
          <w:rFonts w:ascii="Arial" w:hAnsi="Arial" w:eastAsia="Arial"/>
          <w:b w:val="0"/>
          <w:i w:val="0"/>
          <w:color w:val="000000"/>
          <w:sz w:val="24"/>
        </w:rPr>
      </w:r>
      <w:r>
        <w:rPr>
          <w:rFonts w:ascii="Arial" w:hAnsi="Arial" w:eastAsia="Arial"/>
          <w:b w:val="0"/>
          <w:i w:val="0"/>
          <w:color w:val="000000"/>
          <w:sz w:val="24"/>
        </w:rPr>
      </w:r>
    </w:p>
    <w:p>
      <w:pPr>
        <w:autoSpaceDN w:val="0"/>
        <w:autoSpaceDE w:val="0"/>
        <w:widowControl/>
        <w:spacing w:line="245" w:lineRule="auto" w:before="194" w:after="0"/>
        <w:ind w:left="0" w:right="0" w:firstLine="0"/>
        <w:jc w:val="left"/>
      </w:pPr>
      <w:r>
        <w:rPr>
          <w:rFonts w:ascii="Arial" w:hAnsi="Arial" w:eastAsia="Arial"/>
          <w:b/>
          <w:i w:val="0"/>
          <w:color w:val="000000"/>
          <w:sz w:val="24"/>
        </w:rPr>
        <w:t>Kredit uchun soatlar. 1 kredit o'rtacha 25-30 akademik soat o'quv yuklamasiga to'g'ri keladi, bu oraliqda universitet kengashi tomonidan belgilanadi.</w:t>
      </w:r>
      <w:r>
        <w:rPr>
          <w:rFonts w:ascii="Arial" w:hAnsi="Arial" w:eastAsia="Arial"/>
          <w:b w:val="0"/>
          <w:i w:val="0"/>
          <w:color w:val="000000"/>
          <w:sz w:val="24"/>
        </w:rPr>
      </w:r>
      <w:r>
        <w:rPr>
          <w:rFonts w:ascii="Arial" w:hAnsi="Arial" w:eastAsia="Arial"/>
          <w:b w:val="0"/>
          <w:i w:val="0"/>
          <w:color w:val="000000"/>
          <w:sz w:val="24"/>
        </w:rPr>
      </w:r>
    </w:p>
    <w:p>
      <w:pPr>
        <w:autoSpaceDN w:val="0"/>
        <w:autoSpaceDE w:val="0"/>
        <w:widowControl/>
        <w:spacing w:line="250" w:lineRule="auto" w:before="194" w:after="0"/>
        <w:ind w:left="0" w:right="0" w:firstLine="0"/>
        <w:jc w:val="left"/>
      </w:pPr>
      <w:r>
        <w:rPr>
          <w:rFonts w:ascii="Arial" w:hAnsi="Arial" w:eastAsia="Arial"/>
          <w:b/>
          <w:i w:val="0"/>
          <w:color w:val="000000"/>
          <w:sz w:val="24"/>
        </w:rPr>
        <w:t>Auditoriya va mustaqil ish nisbati (magistratura). 30-40% auditoriya soatlari va 60-70% mustaqil ish soatlari, amaliyotlar va bitiruv (dissertatsiya) loyihasidan tashqari — ular 36-son Qaror asosida alohida hisoblanadi (5-6-bo'limlar).</w:t>
      </w:r>
      <w:r>
        <w:rPr>
          <w:rFonts w:ascii="Arial" w:hAnsi="Arial" w:eastAsia="Arial"/>
          <w:b w:val="0"/>
          <w:i w:val="0"/>
          <w:color w:val="000000"/>
          <w:sz w:val="24"/>
        </w:rPr>
      </w:r>
      <w:r>
        <w:rPr>
          <w:rFonts w:ascii="Arial" w:hAnsi="Arial" w:eastAsia="Arial"/>
          <w:b w:val="0"/>
          <w:i w:val="0"/>
          <w:color w:val="000000"/>
          <w:sz w:val="24"/>
        </w:rPr>
      </w:r>
      <w:r>
        <w:rPr>
          <w:rFonts w:ascii="Arial" w:hAnsi="Arial" w:eastAsia="Arial"/>
          <w:b w:val="0"/>
          <w:i w:val="0"/>
          <w:color w:val="000000"/>
          <w:sz w:val="24"/>
        </w:rPr>
      </w:r>
    </w:p>
    <w:p>
      <w:pPr>
        <w:autoSpaceDN w:val="0"/>
        <w:autoSpaceDE w:val="0"/>
        <w:widowControl/>
        <w:spacing w:line="233" w:lineRule="auto" w:before="192" w:after="0"/>
        <w:ind w:left="0" w:right="0" w:firstLine="0"/>
        <w:jc w:val="left"/>
      </w:pPr>
      <w:r>
        <w:rPr>
          <w:rFonts w:ascii="Arial" w:hAnsi="Arial" w:eastAsia="Arial"/>
          <w:b/>
          <w:i w:val="0"/>
          <w:color w:val="000000"/>
          <w:sz w:val="24"/>
        </w:rPr>
        <w:t>Davr uchun kredit yuklamasi. Semestrda 30 kredit; o'quv yilida 60 kredit.</w:t>
      </w:r>
      <w:r>
        <w:rPr>
          <w:rFonts w:ascii="Arial" w:hAnsi="Arial" w:eastAsia="Arial"/>
          <w:b w:val="0"/>
          <w:i w:val="0"/>
          <w:color w:val="000000"/>
          <w:sz w:val="24"/>
        </w:rPr>
      </w:r>
    </w:p>
    <w:p>
      <w:pPr>
        <w:autoSpaceDN w:val="0"/>
        <w:autoSpaceDE w:val="0"/>
        <w:widowControl/>
        <w:spacing w:line="233" w:lineRule="auto" w:before="190" w:after="182"/>
        <w:ind w:left="0" w:right="0" w:firstLine="0"/>
        <w:jc w:val="left"/>
      </w:pPr>
      <w:r>
        <w:rPr>
          <w:rFonts w:ascii="Arial" w:hAnsi="Arial" w:eastAsia="Arial"/>
          <w:b/>
          <w:i w:val="0"/>
          <w:color w:val="000000"/>
          <w:sz w:val="24"/>
        </w:rPr>
        <w:t>Daraja uchun talab qilinadigan umumiy kreditlar:</w:t>
      </w:r>
    </w:p>
    <w:tbl>
      <w:tblPr>
        <w:tblW w:type="auto" w:w="0"/>
        <w:tblLayout w:type="fixed"/>
        <w:tblLook w:firstColumn="1" w:firstRow="1" w:lastColumn="0" w:lastRow="0" w:noHBand="0" w:noVBand="1" w:val="04A0"/>
        <w:tblInd w:w="4.000000000000057" w:type="dxa"/>
      </w:tblPr>
      <w:tblGrid>
        <w:gridCol w:w="4724"/>
        <w:gridCol w:w="4724"/>
      </w:tblGrid>
      <w:tr>
        <w:trPr>
          <w:trHeight w:hRule="exact" w:val="468"/>
        </w:trPr>
        <w:tc>
          <w:tcPr>
            <w:tcW w:type="dxa" w:w="4684"/>
            <w:tcBorders>
              <w:start w:sz="4.0" w:val="single" w:color="#000000"/>
              <w:top w:sz="4.0" w:val="single" w:color="#000000"/>
              <w:end w:sz="4.0" w:val="single" w:color="#000000"/>
              <w:bottom w:sz="4.0" w:val="single" w:color="#000000"/>
            </w:tcBorders>
            <w:shd w:fill="f1f2f1"/>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4"/>
              </w:rPr>
              <w:t>Minimal dastur muddati</w:t>
            </w:r>
          </w:p>
        </w:tc>
        <w:tc>
          <w:tcPr>
            <w:tcW w:type="dxa" w:w="4680"/>
            <w:tcBorders>
              <w:start w:sz="4.0" w:val="single" w:color="#000000"/>
              <w:top w:sz="4.0" w:val="single" w:color="#000000"/>
              <w:end w:sz="4.0" w:val="single" w:color="#000000"/>
              <w:bottom w:sz="4.0" w:val="single" w:color="#000000"/>
            </w:tcBorders>
            <w:shd w:fill="f1f2f1"/>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4"/>
              </w:rPr>
              <w:t>Umumiy kreditlar</w:t>
            </w:r>
          </w:p>
        </w:tc>
      </w:tr>
      <w:tr>
        <w:trPr>
          <w:trHeight w:hRule="exact" w:val="470"/>
        </w:trPr>
        <w:tc>
          <w:tcPr>
            <w:tcW w:type="dxa" w:w="468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4" w:right="0" w:firstLine="0"/>
              <w:jc w:val="left"/>
            </w:pPr>
            <w:r>
              <w:rPr>
                <w:rFonts w:ascii="Arial" w:hAnsi="Arial" w:eastAsia="Arial"/>
                <w:b w:val="0"/>
                <w:i w:val="0"/>
                <w:color w:val="000000"/>
                <w:sz w:val="24"/>
              </w:rPr>
              <w:t>1 yil</w:t>
            </w:r>
          </w:p>
        </w:tc>
        <w:tc>
          <w:tcPr>
            <w:tcW w:type="dxa" w:w="46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6" w:after="0"/>
              <w:ind w:left="102" w:right="0" w:firstLine="0"/>
              <w:jc w:val="left"/>
            </w:pPr>
            <w:r>
              <w:rPr>
                <w:rFonts w:ascii="Arial" w:hAnsi="Arial" w:eastAsia="Arial"/>
                <w:b w:val="0"/>
                <w:i w:val="0"/>
                <w:color w:val="000000"/>
                <w:sz w:val="24"/>
              </w:rPr>
              <w:t xml:space="preserve">60 </w:t>
            </w:r>
          </w:p>
        </w:tc>
      </w:tr>
      <w:tr>
        <w:trPr>
          <w:trHeight w:hRule="exact" w:val="468"/>
        </w:trPr>
        <w:tc>
          <w:tcPr>
            <w:tcW w:type="dxa" w:w="468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4" w:right="0" w:firstLine="0"/>
              <w:jc w:val="left"/>
            </w:pPr>
            <w:r>
              <w:rPr>
                <w:rFonts w:ascii="Arial" w:hAnsi="Arial" w:eastAsia="Arial"/>
                <w:b w:val="0"/>
                <w:i w:val="0"/>
                <w:color w:val="000000"/>
                <w:sz w:val="24"/>
              </w:rPr>
              <w:t>2 yil</w:t>
            </w:r>
          </w:p>
        </w:tc>
        <w:tc>
          <w:tcPr>
            <w:tcW w:type="dxa" w:w="468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4" w:after="0"/>
              <w:ind w:left="102" w:right="0" w:firstLine="0"/>
              <w:jc w:val="left"/>
            </w:pPr>
            <w:r>
              <w:rPr>
                <w:rFonts w:ascii="Arial" w:hAnsi="Arial" w:eastAsia="Arial"/>
                <w:b w:val="0"/>
                <w:i w:val="0"/>
                <w:color w:val="000000"/>
                <w:sz w:val="24"/>
              </w:rPr>
              <w:t xml:space="preserve">120 </w:t>
            </w:r>
          </w:p>
        </w:tc>
      </w:tr>
    </w:tbl>
    <w:p>
      <w:pPr>
        <w:autoSpaceDN w:val="0"/>
        <w:autoSpaceDE w:val="0"/>
        <w:widowControl/>
        <w:spacing w:line="250" w:lineRule="auto" w:before="4" w:after="0"/>
        <w:ind w:left="0" w:right="0" w:firstLine="0"/>
        <w:jc w:val="left"/>
      </w:pPr>
      <w:r>
        <w:rPr>
          <w:rFonts w:ascii="Arial" w:hAnsi="Arial" w:eastAsia="Arial"/>
          <w:b/>
          <w:i w:val="0"/>
          <w:color w:val="000000"/>
          <w:sz w:val="24"/>
        </w:rPr>
        <w:t>O'quv yili tuzilmasi. 36 haftagacha: 30 hafta o'qitish, 2 hafta fan tanlash ro'yxatdan o'tishi va 4 hafta attestatsiya (imtihon) davrlari uchun, agar universitet kengashi boshqacha jadval belgilamasa.</w:t>
      </w:r>
      <w:r>
        <w:rPr>
          <w:rFonts w:ascii="Arial" w:hAnsi="Arial" w:eastAsia="Arial"/>
          <w:b w:val="0"/>
          <w:i w:val="0"/>
          <w:color w:val="000000"/>
          <w:sz w:val="24"/>
        </w:rPr>
      </w:r>
      <w:r>
        <w:rPr>
          <w:rFonts w:ascii="Arial" w:hAnsi="Arial" w:eastAsia="Arial"/>
          <w:b w:val="0"/>
          <w:i w:val="0"/>
          <w:color w:val="000000"/>
          <w:sz w:val="24"/>
        </w:rPr>
      </w:r>
      <w:r>
        <w:rPr>
          <w:rFonts w:ascii="Arial" w:hAnsi="Arial" w:eastAsia="Arial"/>
          <w:b w:val="0"/>
          <w:i w:val="0"/>
          <w:color w:val="000000"/>
          <w:sz w:val="24"/>
        </w:rPr>
      </w:r>
    </w:p>
    <w:p>
      <w:pPr>
        <w:autoSpaceDN w:val="0"/>
        <w:autoSpaceDE w:val="0"/>
        <w:widowControl/>
        <w:spacing w:line="245" w:lineRule="auto" w:before="190" w:after="0"/>
        <w:ind w:left="0" w:right="0" w:firstLine="0"/>
        <w:jc w:val="left"/>
      </w:pPr>
      <w:r>
        <w:rPr>
          <w:rFonts w:ascii="Arial" w:hAnsi="Arial" w:eastAsia="Arial"/>
          <w:b w:val="0"/>
          <w:i w:val="0"/>
          <w:color w:val="000000"/>
          <w:sz w:val="24"/>
        </w:rPr>
        <w:t>Kafedralar va ilmiy rahbarlar magistratura talabasi kalendar ish rejasining har bir tarkibiy qismining kredit qiymatini ushbu nisbatlarga muvofiq ifodalashi kerak.</w:t>
      </w:r>
      <w:r>
        <w:rPr>
          <w:rFonts w:ascii="Arial" w:hAnsi="Arial" w:eastAsia="Arial"/>
          <w:b w:val="0"/>
          <w:i w:val="0"/>
          <w:color w:val="000000"/>
          <w:sz w:val="24"/>
        </w:rPr>
      </w:r>
    </w:p>
    <w:p>
      <w:pPr>
        <w:autoSpaceDN w:val="0"/>
        <w:autoSpaceDE w:val="0"/>
        <w:widowControl/>
        <w:spacing w:line="233" w:lineRule="auto" w:before="312" w:after="0"/>
        <w:ind w:left="0" w:right="0" w:firstLine="0"/>
        <w:jc w:val="left"/>
      </w:pPr>
      <w:r>
        <w:rPr>
          <w:rFonts w:ascii="Arial" w:hAnsi="Arial" w:eastAsia="Arial"/>
          <w:b/>
          <w:i w:val="0"/>
          <w:color w:val="000000"/>
          <w:sz w:val="24"/>
        </w:rPr>
        <w:t>4. GPA hisoblash</w:t>
      </w:r>
    </w:p>
    <w:p>
      <w:pPr>
        <w:autoSpaceDN w:val="0"/>
        <w:autoSpaceDE w:val="0"/>
        <w:widowControl/>
        <w:spacing w:line="245" w:lineRule="auto" w:before="132" w:after="0"/>
        <w:ind w:left="0" w:right="0" w:firstLine="0"/>
        <w:jc w:val="left"/>
      </w:pPr>
      <w:r>
        <w:rPr>
          <w:rFonts w:ascii="Arial" w:hAnsi="Arial" w:eastAsia="Arial"/>
          <w:b w:val="0"/>
          <w:i w:val="0"/>
          <w:color w:val="000000"/>
          <w:sz w:val="24"/>
        </w:rPr>
        <w:t>GPA — bu hisobot davrida talabaning barcha fanlar/modullar bo'yicha baholarining kreditga tortilgan o'rtachasi (Nizom, 2-bob, 4-band):</w:t>
      </w:r>
      <w:r>
        <w:rPr>
          <w:rFonts w:ascii="Arial" w:hAnsi="Arial" w:eastAsia="Arial"/>
          <w:b w:val="0"/>
          <w:i w:val="0"/>
          <w:color w:val="000000"/>
          <w:sz w:val="24"/>
        </w:rPr>
      </w:r>
    </w:p>
    <w:p>
      <w:pPr>
        <w:sectPr>
          <w:pgSz w:w="12240" w:h="15840"/>
          <w:pgMar w:top="720" w:right="1352" w:bottom="536" w:left="1440" w:header="720" w:footer="720" w:gutter="0"/>
          <w:cols/>
          <w:docGrid w:linePitch="360"/>
        </w:sectPr>
      </w:pPr>
    </w:p>
    <w:p>
      <w:pPr>
        <w:autoSpaceDN w:val="0"/>
        <w:autoSpaceDE w:val="0"/>
        <w:widowControl/>
        <w:spacing w:line="220" w:lineRule="exact" w:before="0" w:after="48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4474210</wp:posOffset>
            </wp:positionH>
            <wp:positionV relativeFrom="page">
              <wp:posOffset>864869</wp:posOffset>
            </wp:positionV>
            <wp:extent cx="1007110" cy="652405"/>
            <wp:wrapNone/>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007110" cy="652405"/>
                    </a:xfrm>
                    <a:prstGeom prst="rect"/>
                  </pic:spPr>
                </pic:pic>
              </a:graphicData>
            </a:graphic>
          </wp:anchor>
        </w:drawing>
      </w:r>
    </w:p>
    <w:tbl>
      <w:tblPr>
        <w:tblW w:type="auto" w:w="0"/>
        <w:tblLayout w:type="fixed"/>
        <w:tblLook w:firstColumn="1" w:firstRow="1" w:lastColumn="0" w:lastRow="0" w:noHBand="0" w:noVBand="1" w:val="04A0"/>
        <w:tblInd w:w="0.0" w:type="dxa"/>
      </w:tblPr>
      <w:tblGrid>
        <w:gridCol w:w="526"/>
        <w:gridCol w:w="526"/>
        <w:gridCol w:w="526"/>
        <w:gridCol w:w="526"/>
        <w:gridCol w:w="526"/>
        <w:gridCol w:w="526"/>
        <w:gridCol w:w="526"/>
        <w:gridCol w:w="526"/>
        <w:gridCol w:w="526"/>
        <w:gridCol w:w="526"/>
        <w:gridCol w:w="526"/>
        <w:gridCol w:w="526"/>
        <w:gridCol w:w="526"/>
        <w:gridCol w:w="526"/>
        <w:gridCol w:w="526"/>
        <w:gridCol w:w="526"/>
        <w:gridCol w:w="526"/>
        <w:gridCol w:w="526"/>
      </w:tblGrid>
      <w:tr>
        <w:trPr>
          <w:trHeight w:hRule="exact" w:val="454"/>
        </w:trPr>
        <w:tc>
          <w:tcPr>
            <w:tcW w:type="dxa" w:w="2768"/>
            <w:tcBorders>
              <w:bottom w:sz="6.163187026977539" w:val="single" w:color="#000000"/>
            </w:tcBorders>
            <w:shd w:fill="f5f5f5"/>
            <w:tcMar>
              <w:start w:w="0" w:type="dxa"/>
              <w:end w:w="0" w:type="dxa"/>
            </w:tcMar>
          </w:tcPr>
          <w:p>
            <w:pPr>
              <w:autoSpaceDN w:val="0"/>
              <w:autoSpaceDE w:val="0"/>
              <w:widowControl/>
              <w:spacing w:line="230" w:lineRule="auto" w:before="86" w:after="0"/>
              <w:ind w:left="0" w:right="20" w:firstLine="0"/>
              <w:jc w:val="right"/>
            </w:pPr>
            <w:r>
              <w:rPr>
                <w:rFonts w:ascii="Times New Roman" w:hAnsi="Times New Roman" w:eastAsia="Times New Roman"/>
                <w:b w:val="0"/>
                <w:i/>
                <w:color w:val="000000"/>
                <w:sz w:val="33"/>
              </w:rPr>
              <w:t>GPA</w:t>
            </w:r>
          </w:p>
        </w:tc>
        <w:tc>
          <w:tcPr>
            <w:tcW w:type="dxa" w:w="286"/>
            <w:tcBorders>
              <w:bottom w:sz="6.163187026977539" w:val="single" w:color="#000000"/>
            </w:tcBorders>
            <w:shd w:fill="f5f5f5"/>
            <w:tcMar>
              <w:start w:w="0" w:type="dxa"/>
              <w:end w:w="0" w:type="dxa"/>
            </w:tcMar>
          </w:tcPr>
          <w:p>
            <w:pPr>
              <w:autoSpaceDN w:val="0"/>
              <w:autoSpaceDE w:val="0"/>
              <w:widowControl/>
              <w:spacing w:line="238" w:lineRule="auto" w:before="50" w:after="0"/>
              <w:ind w:left="0" w:right="0" w:firstLine="0"/>
              <w:jc w:val="center"/>
            </w:pPr>
            <w:r>
              <w:rPr>
                <w:rFonts w:ascii="Symbol" w:hAnsi="Symbol" w:eastAsia="Symbol"/>
                <w:b w:val="0"/>
                <w:i w:val="0"/>
                <w:color w:val="000000"/>
                <w:sz w:val="33"/>
              </w:rPr>
              <w:t></w:t>
            </w:r>
          </w:p>
        </w:tc>
        <w:tc>
          <w:tcPr>
            <w:tcW w:type="dxa" w:w="654"/>
            <w:tcBorders>
              <w:bottom w:sz="6.163187026977539" w:val="single" w:color="#000000"/>
            </w:tcBorders>
            <w:shd w:fill="f5f5f5"/>
            <w:tcMar>
              <w:start w:w="0" w:type="dxa"/>
              <w:end w:w="0" w:type="dxa"/>
            </w:tcMar>
          </w:tcPr>
          <w:p>
            <w:pPr>
              <w:autoSpaceDN w:val="0"/>
              <w:tabs>
                <w:tab w:pos="248" w:val="left"/>
                <w:tab w:pos="546" w:val="left"/>
              </w:tabs>
              <w:autoSpaceDE w:val="0"/>
              <w:widowControl/>
              <w:spacing w:line="264" w:lineRule="auto" w:before="34" w:after="0"/>
              <w:ind w:left="38" w:right="0" w:firstLine="0"/>
              <w:jc w:val="left"/>
            </w:pPr>
            <w:r>
              <w:rPr>
                <w:rFonts w:ascii="Times New Roman" w:hAnsi="Times New Roman" w:eastAsia="Times New Roman"/>
                <w:b w:val="0"/>
                <w:i/>
                <w:color w:val="000000"/>
                <w:sz w:val="33"/>
              </w:rPr>
              <w:t xml:space="preserve">K U </w:t>
            </w:r>
            <w:r>
              <w:rPr>
                <w:rFonts w:ascii="Times New Roman" w:hAnsi="Times New Roman" w:eastAsia="Times New Roman"/>
                <w:b w:val="0"/>
                <w:i w:val="0"/>
                <w:color w:val="000000"/>
                <w:sz w:val="19"/>
              </w:rPr>
              <w:t xml:space="preserve">1 </w:t>
            </w:r>
            <w:r>
              <w:tab/>
            </w:r>
            <w:r>
              <w:rPr>
                <w:rFonts w:ascii="Times New Roman" w:hAnsi="Times New Roman" w:eastAsia="Times New Roman"/>
                <w:b w:val="0"/>
                <w:i w:val="0"/>
                <w:color w:val="000000"/>
                <w:sz w:val="19"/>
              </w:rPr>
              <w:t>1</w:t>
            </w:r>
          </w:p>
        </w:tc>
        <w:tc>
          <w:tcPr>
            <w:tcW w:type="dxa" w:w="320"/>
            <w:tcBorders>
              <w:bottom w:sz="6.163187026977539" w:val="single" w:color="#000000"/>
            </w:tcBorders>
            <w:shd w:fill="f5f5f5"/>
            <w:tcMar>
              <w:start w:w="0" w:type="dxa"/>
              <w:end w:w="0" w:type="dxa"/>
            </w:tcMar>
          </w:tcPr>
          <w:p>
            <w:pPr>
              <w:autoSpaceDN w:val="0"/>
              <w:autoSpaceDE w:val="0"/>
              <w:widowControl/>
              <w:spacing w:line="238" w:lineRule="auto" w:before="0" w:after="0"/>
              <w:ind w:left="0" w:right="0" w:firstLine="0"/>
              <w:jc w:val="center"/>
            </w:pPr>
            <w:r>
              <w:rPr>
                <w:rFonts w:ascii="Symbol" w:hAnsi="Symbol" w:eastAsia="Symbol"/>
                <w:b w:val="0"/>
                <w:i w:val="0"/>
                <w:color w:val="000000"/>
                <w:sz w:val="33"/>
              </w:rPr>
              <w:t></w:t>
            </w:r>
          </w:p>
        </w:tc>
        <w:tc>
          <w:tcPr>
            <w:tcW w:type="dxa" w:w="540"/>
            <w:gridSpan w:val="2"/>
            <w:tcBorders>
              <w:bottom w:sz="6.163187026977539" w:val="single" w:color="#000000"/>
            </w:tcBorders>
            <w:shd w:fill="f5f5f5"/>
            <w:tcMar>
              <w:start w:w="0" w:type="dxa"/>
              <w:end w:w="0" w:type="dxa"/>
            </w:tcMar>
            <w:tcMar>
              <w:start w:w="0" w:type="dxa"/>
              <w:end w:w="0" w:type="dxa"/>
            </w:tcMar>
          </w:tcPr>
          <w:p>
            <w:pPr>
              <w:autoSpaceDN w:val="0"/>
              <w:autoSpaceDE w:val="0"/>
              <w:widowControl/>
              <w:spacing w:line="264" w:lineRule="auto" w:before="34" w:after="0"/>
              <w:ind w:left="0" w:right="0" w:firstLine="0"/>
              <w:jc w:val="center"/>
            </w:pPr>
            <w:r>
              <w:rPr>
                <w:rFonts w:ascii="Times New Roman" w:hAnsi="Times New Roman" w:eastAsia="Times New Roman"/>
                <w:b w:val="0"/>
                <w:i/>
                <w:color w:val="000000"/>
                <w:sz w:val="33"/>
              </w:rPr>
              <w:t xml:space="preserve">K U </w:t>
            </w:r>
            <w:r>
              <w:rPr>
                <w:rFonts w:ascii="Times New Roman" w:hAnsi="Times New Roman" w:eastAsia="Times New Roman"/>
                <w:b w:val="0"/>
                <w:i w:val="0"/>
                <w:color w:val="000000"/>
                <w:sz w:val="19"/>
              </w:rPr>
              <w:t>2</w:t>
            </w:r>
          </w:p>
        </w:tc>
        <w:tc>
          <w:tcPr>
            <w:tcW w:type="dxa" w:w="140"/>
            <w:tcBorders>
              <w:bottom w:sz="6.163187026977539" w:val="single" w:color="#000000"/>
            </w:tcBorders>
            <w:shd w:fill="f5f5f5"/>
            <w:tcMar>
              <w:start w:w="0" w:type="dxa"/>
              <w:end w:w="0" w:type="dxa"/>
            </w:tcMar>
          </w:tcPr>
          <w:p>
            <w:pPr>
              <w:autoSpaceDN w:val="0"/>
              <w:autoSpaceDE w:val="0"/>
              <w:widowControl/>
              <w:spacing w:line="230" w:lineRule="auto" w:before="238" w:after="0"/>
              <w:ind w:left="0" w:right="0" w:firstLine="0"/>
              <w:jc w:val="center"/>
            </w:pPr>
            <w:r>
              <w:rPr>
                <w:rFonts w:ascii="Times New Roman" w:hAnsi="Times New Roman" w:eastAsia="Times New Roman"/>
                <w:b w:val="0"/>
                <w:i w:val="0"/>
                <w:color w:val="000000"/>
                <w:sz w:val="19"/>
              </w:rPr>
              <w:t>2</w:t>
            </w:r>
          </w:p>
        </w:tc>
        <w:tc>
          <w:tcPr>
            <w:tcW w:type="dxa" w:w="260"/>
            <w:tcBorders>
              <w:bottom w:sz="6.163187026977539" w:val="single" w:color="#000000"/>
            </w:tcBorders>
            <w:shd w:fill="f5f5f5"/>
            <w:tcMar>
              <w:start w:w="0" w:type="dxa"/>
              <w:end w:w="0" w:type="dxa"/>
            </w:tcMar>
          </w:tcPr>
          <w:p>
            <w:pPr>
              <w:autoSpaceDN w:val="0"/>
              <w:autoSpaceDE w:val="0"/>
              <w:widowControl/>
              <w:spacing w:line="238" w:lineRule="auto" w:before="0" w:after="0"/>
              <w:ind w:left="0" w:right="0" w:firstLine="0"/>
              <w:jc w:val="center"/>
            </w:pPr>
            <w:r>
              <w:rPr>
                <w:rFonts w:ascii="Symbol" w:hAnsi="Symbol" w:eastAsia="Symbol"/>
                <w:b w:val="0"/>
                <w:i w:val="0"/>
                <w:color w:val="000000"/>
                <w:sz w:val="33"/>
              </w:rPr>
              <w:t></w:t>
            </w:r>
          </w:p>
        </w:tc>
        <w:tc>
          <w:tcPr>
            <w:tcW w:type="dxa" w:w="580"/>
            <w:gridSpan w:val="3"/>
            <w:tcBorders>
              <w:bottom w:sz="6.163187026977539" w:val="single" w:color="#000000"/>
            </w:tcBorders>
            <w:shd w:fill="f5f5f5"/>
            <w:tcMar>
              <w:start w:w="0" w:type="dxa"/>
              <w:end w:w="0" w:type="dxa"/>
            </w:tcMar>
            <w:tcMar>
              <w:start w:w="0" w:type="dxa"/>
              <w:end w:w="0" w:type="dxa"/>
            </w:tcMar>
            <w:tcMar>
              <w:start w:w="0" w:type="dxa"/>
              <w:end w:w="0" w:type="dxa"/>
            </w:tcMar>
          </w:tcPr>
          <w:p>
            <w:pPr>
              <w:autoSpaceDN w:val="0"/>
              <w:autoSpaceDE w:val="0"/>
              <w:widowControl/>
              <w:spacing w:line="264" w:lineRule="auto" w:before="34" w:after="0"/>
              <w:ind w:left="0" w:right="0" w:firstLine="0"/>
              <w:jc w:val="center"/>
            </w:pPr>
            <w:r>
              <w:rPr>
                <w:rFonts w:ascii="Times New Roman" w:hAnsi="Times New Roman" w:eastAsia="Times New Roman"/>
                <w:b w:val="0"/>
                <w:i/>
                <w:color w:val="000000"/>
                <w:sz w:val="33"/>
              </w:rPr>
              <w:t xml:space="preserve">K U </w:t>
            </w:r>
            <w:r>
              <w:rPr>
                <w:rFonts w:ascii="Times New Roman" w:hAnsi="Times New Roman" w:eastAsia="Times New Roman"/>
                <w:b w:val="0"/>
                <w:i w:val="0"/>
                <w:color w:val="000000"/>
                <w:sz w:val="19"/>
              </w:rPr>
              <w:t>3</w:t>
            </w:r>
          </w:p>
        </w:tc>
        <w:tc>
          <w:tcPr>
            <w:tcW w:type="dxa" w:w="140"/>
            <w:tcBorders>
              <w:bottom w:sz="6.163187026977539" w:val="single" w:color="#000000"/>
            </w:tcBorders>
            <w:shd w:fill="f5f5f5"/>
            <w:tcMar>
              <w:start w:w="0" w:type="dxa"/>
              <w:end w:w="0" w:type="dxa"/>
            </w:tcMar>
          </w:tcPr>
          <w:p>
            <w:pPr>
              <w:autoSpaceDN w:val="0"/>
              <w:autoSpaceDE w:val="0"/>
              <w:widowControl/>
              <w:spacing w:line="230" w:lineRule="auto" w:before="238" w:after="0"/>
              <w:ind w:left="0" w:right="0" w:firstLine="0"/>
              <w:jc w:val="center"/>
            </w:pPr>
            <w:r>
              <w:rPr>
                <w:rFonts w:ascii="Times New Roman" w:hAnsi="Times New Roman" w:eastAsia="Times New Roman"/>
                <w:b w:val="0"/>
                <w:i w:val="0"/>
                <w:color w:val="000000"/>
                <w:sz w:val="19"/>
              </w:rPr>
              <w:t>3</w:t>
            </w:r>
          </w:p>
        </w:tc>
        <w:tc>
          <w:tcPr>
            <w:tcW w:type="dxa" w:w="260"/>
            <w:tcBorders>
              <w:bottom w:sz="6.163187026977539" w:val="single" w:color="#000000"/>
            </w:tcBorders>
            <w:shd w:fill="f5f5f5"/>
            <w:tcMar>
              <w:start w:w="0" w:type="dxa"/>
              <w:end w:w="0" w:type="dxa"/>
            </w:tcMar>
          </w:tcPr>
          <w:p>
            <w:pPr>
              <w:autoSpaceDN w:val="0"/>
              <w:autoSpaceDE w:val="0"/>
              <w:widowControl/>
              <w:spacing w:line="238" w:lineRule="auto" w:before="0" w:after="0"/>
              <w:ind w:left="0" w:right="0" w:firstLine="0"/>
              <w:jc w:val="center"/>
            </w:pPr>
            <w:r>
              <w:rPr>
                <w:rFonts w:ascii="Symbol" w:hAnsi="Symbol" w:eastAsia="Symbol"/>
                <w:b w:val="0"/>
                <w:i w:val="0"/>
                <w:color w:val="000000"/>
                <w:sz w:val="33"/>
              </w:rPr>
              <w:t></w:t>
            </w:r>
          </w:p>
        </w:tc>
        <w:tc>
          <w:tcPr>
            <w:tcW w:type="dxa" w:w="240"/>
            <w:tcBorders>
              <w:bottom w:sz="6.163187026977539" w:val="single" w:color="#000000"/>
            </w:tcBorders>
            <w:shd w:fill="f5f5f5"/>
            <w:tcMar>
              <w:start w:w="0" w:type="dxa"/>
              <w:end w:w="0" w:type="dxa"/>
            </w:tcMar>
          </w:tcPr>
          <w:p/>
        </w:tc>
        <w:tc>
          <w:tcPr>
            <w:tcW w:type="dxa" w:w="328"/>
            <w:gridSpan w:val="2"/>
            <w:tcBorders>
              <w:bottom w:sz="6.163187026977539" w:val="single" w:color="#000000"/>
            </w:tcBorders>
            <w:shd w:fill="f5f5f5"/>
            <w:tcMar>
              <w:start w:w="0" w:type="dxa"/>
              <w:end w:w="0" w:type="dxa"/>
            </w:tcMar>
            <w:tcMar>
              <w:start w:w="0" w:type="dxa"/>
              <w:end w:w="0" w:type="dxa"/>
            </w:tcMar>
          </w:tcPr>
          <w:p>
            <w:pPr>
              <w:autoSpaceDN w:val="0"/>
              <w:autoSpaceDE w:val="0"/>
              <w:widowControl/>
              <w:spacing w:line="238" w:lineRule="auto" w:before="0" w:after="0"/>
              <w:ind w:left="0" w:right="0" w:firstLine="0"/>
              <w:jc w:val="center"/>
            </w:pPr>
            <w:r>
              <w:rPr>
                <w:rFonts w:ascii="Symbol" w:hAnsi="Symbol" w:eastAsia="Symbol"/>
                <w:b w:val="0"/>
                <w:i w:val="0"/>
                <w:color w:val="000000"/>
                <w:sz w:val="33"/>
              </w:rPr>
              <w:t></w:t>
            </w:r>
          </w:p>
        </w:tc>
        <w:tc>
          <w:tcPr>
            <w:tcW w:type="dxa" w:w="572"/>
            <w:tcBorders>
              <w:bottom w:sz="6.163187026977539" w:val="single" w:color="#000000"/>
            </w:tcBorders>
            <w:shd w:fill="f5f5f5"/>
            <w:tcMar>
              <w:start w:w="0" w:type="dxa"/>
              <w:end w:w="0" w:type="dxa"/>
            </w:tcMar>
          </w:tcPr>
          <w:p>
            <w:pPr>
              <w:autoSpaceDN w:val="0"/>
              <w:autoSpaceDE w:val="0"/>
              <w:widowControl/>
              <w:spacing w:line="264" w:lineRule="auto" w:before="34" w:after="0"/>
              <w:ind w:left="0" w:right="0" w:firstLine="0"/>
              <w:jc w:val="center"/>
            </w:pPr>
            <w:r>
              <w:rPr>
                <w:rFonts w:ascii="Times New Roman" w:hAnsi="Times New Roman" w:eastAsia="Times New Roman"/>
                <w:b w:val="0"/>
                <w:i/>
                <w:color w:val="000000"/>
                <w:sz w:val="33"/>
              </w:rPr>
              <w:t xml:space="preserve">K U </w:t>
            </w:r>
            <w:r>
              <w:rPr>
                <w:rFonts w:ascii="Times New Roman" w:hAnsi="Times New Roman" w:eastAsia="Times New Roman"/>
                <w:b w:val="0"/>
                <w:i/>
                <w:color w:val="000000"/>
                <w:sz w:val="19"/>
              </w:rPr>
              <w:t>n</w:t>
            </w:r>
          </w:p>
        </w:tc>
        <w:tc>
          <w:tcPr>
            <w:tcW w:type="dxa" w:w="178"/>
            <w:tcBorders>
              <w:bottom w:sz="6.163187026977539" w:val="single" w:color="#000000"/>
            </w:tcBorders>
            <w:shd w:fill="f5f5f5"/>
            <w:tcMar>
              <w:start w:w="0" w:type="dxa"/>
              <w:end w:w="0" w:type="dxa"/>
            </w:tcMar>
          </w:tcPr>
          <w:p>
            <w:pPr>
              <w:autoSpaceDN w:val="0"/>
              <w:autoSpaceDE w:val="0"/>
              <w:widowControl/>
              <w:spacing w:line="230" w:lineRule="auto" w:before="238" w:after="0"/>
              <w:ind w:left="0" w:right="0" w:firstLine="0"/>
              <w:jc w:val="center"/>
            </w:pPr>
            <w:r>
              <w:rPr>
                <w:rFonts w:ascii="Times New Roman" w:hAnsi="Times New Roman" w:eastAsia="Times New Roman"/>
                <w:b w:val="0"/>
                <w:i/>
                <w:color w:val="000000"/>
                <w:sz w:val="19"/>
              </w:rPr>
              <w:t>n</w:t>
            </w:r>
          </w:p>
        </w:tc>
      </w:tr>
      <w:tr>
        <w:trPr>
          <w:trHeight w:hRule="exact" w:val="462"/>
        </w:trPr>
        <w:tc>
          <w:tcPr>
            <w:tcW w:type="dxa" w:w="2768"/>
            <w:tcBorders>
              <w:top w:sz="6.163187026977539" w:val="single" w:color="#000000"/>
            </w:tcBorders>
            <w:shd w:fill="f5f5f5"/>
            <w:tcMar>
              <w:start w:w="0" w:type="dxa"/>
              <w:end w:w="0" w:type="dxa"/>
            </w:tcMar>
          </w:tcPr>
          <w:p/>
        </w:tc>
        <w:tc>
          <w:tcPr>
            <w:tcW w:type="dxa" w:w="286"/>
            <w:tcBorders>
              <w:top w:sz="6.163187026977539" w:val="single" w:color="#000000"/>
            </w:tcBorders>
            <w:shd w:fill="f5f5f5"/>
            <w:tcMar>
              <w:start w:w="0" w:type="dxa"/>
              <w:end w:w="0" w:type="dxa"/>
            </w:tcMar>
          </w:tcPr>
          <w:p/>
        </w:tc>
        <w:tc>
          <w:tcPr>
            <w:tcW w:type="dxa" w:w="654"/>
            <w:tcBorders>
              <w:top w:sz="6.163187026977539" w:val="single" w:color="#000000"/>
            </w:tcBorders>
            <w:shd w:fill="f5f5f5"/>
            <w:tcMar>
              <w:start w:w="0" w:type="dxa"/>
              <w:end w:w="0" w:type="dxa"/>
            </w:tcMar>
          </w:tcPr>
          <w:p/>
        </w:tc>
        <w:tc>
          <w:tcPr>
            <w:tcW w:type="dxa" w:w="320"/>
            <w:tcBorders>
              <w:top w:sz="6.163187026977539" w:val="single" w:color="#000000"/>
            </w:tcBorders>
            <w:shd w:fill="f5f5f5"/>
            <w:tcMar>
              <w:start w:w="0" w:type="dxa"/>
              <w:end w:w="0" w:type="dxa"/>
            </w:tcMar>
          </w:tcPr>
          <w:p>
            <w:pPr>
              <w:autoSpaceDN w:val="0"/>
              <w:autoSpaceDE w:val="0"/>
              <w:widowControl/>
              <w:spacing w:line="264" w:lineRule="auto" w:before="38" w:after="0"/>
              <w:ind w:left="0" w:right="0" w:firstLine="0"/>
              <w:jc w:val="center"/>
            </w:pPr>
            <w:r>
              <w:rPr>
                <w:rFonts w:ascii="Times New Roman" w:hAnsi="Times New Roman" w:eastAsia="Times New Roman"/>
                <w:b w:val="0"/>
                <w:i/>
                <w:color w:val="000000"/>
                <w:sz w:val="33"/>
              </w:rPr>
              <w:t xml:space="preserve">K </w:t>
            </w:r>
            <w:r>
              <w:rPr>
                <w:rFonts w:ascii="Times New Roman" w:hAnsi="Times New Roman" w:eastAsia="Times New Roman"/>
                <w:b w:val="0"/>
                <w:i w:val="0"/>
                <w:color w:val="000000"/>
                <w:sz w:val="19"/>
              </w:rPr>
              <w:t>1</w:t>
            </w:r>
          </w:p>
        </w:tc>
        <w:tc>
          <w:tcPr>
            <w:tcW w:type="dxa" w:w="300"/>
            <w:tcBorders>
              <w:top w:sz="6.163187026977539" w:val="single" w:color="#000000"/>
            </w:tcBorders>
            <w:shd w:fill="f5f5f5"/>
            <w:tcMar>
              <w:start w:w="0" w:type="dxa"/>
              <w:end w:w="0" w:type="dxa"/>
            </w:tcMar>
          </w:tcPr>
          <w:p>
            <w:pPr>
              <w:autoSpaceDN w:val="0"/>
              <w:autoSpaceDE w:val="0"/>
              <w:widowControl/>
              <w:spacing w:line="238" w:lineRule="auto" w:before="2" w:after="0"/>
              <w:ind w:left="0" w:right="0" w:firstLine="0"/>
              <w:jc w:val="center"/>
            </w:pPr>
            <w:r>
              <w:rPr>
                <w:rFonts w:ascii="Symbol" w:hAnsi="Symbol" w:eastAsia="Symbol"/>
                <w:b w:val="0"/>
                <w:i w:val="0"/>
                <w:color w:val="000000"/>
                <w:sz w:val="33"/>
              </w:rPr>
              <w:t></w:t>
            </w:r>
          </w:p>
        </w:tc>
        <w:tc>
          <w:tcPr>
            <w:tcW w:type="dxa" w:w="240"/>
            <w:tcBorders>
              <w:top w:sz="6.163187026977539" w:val="single" w:color="#000000"/>
            </w:tcBorders>
            <w:shd w:fill="f5f5f5"/>
            <w:tcMar>
              <w:start w:w="0" w:type="dxa"/>
              <w:end w:w="0" w:type="dxa"/>
            </w:tcMar>
          </w:tcPr>
          <w:p>
            <w:pPr>
              <w:autoSpaceDN w:val="0"/>
              <w:autoSpaceDE w:val="0"/>
              <w:widowControl/>
              <w:spacing w:line="230" w:lineRule="auto" w:before="38" w:after="0"/>
              <w:ind w:left="0" w:right="0" w:firstLine="0"/>
              <w:jc w:val="center"/>
            </w:pPr>
            <w:r>
              <w:rPr>
                <w:rFonts w:ascii="Times New Roman" w:hAnsi="Times New Roman" w:eastAsia="Times New Roman"/>
                <w:b w:val="0"/>
                <w:i/>
                <w:color w:val="000000"/>
                <w:sz w:val="33"/>
              </w:rPr>
              <w:t>K</w:t>
            </w:r>
          </w:p>
        </w:tc>
        <w:tc>
          <w:tcPr>
            <w:tcW w:type="dxa" w:w="140"/>
            <w:tcBorders>
              <w:top w:sz="6.163187026977539" w:val="single" w:color="#000000"/>
            </w:tcBorders>
            <w:shd w:fill="f5f5f5"/>
            <w:tcMar>
              <w:start w:w="0" w:type="dxa"/>
              <w:end w:w="0" w:type="dxa"/>
            </w:tcMar>
          </w:tcPr>
          <w:p>
            <w:pPr>
              <w:autoSpaceDN w:val="0"/>
              <w:autoSpaceDE w:val="0"/>
              <w:widowControl/>
              <w:spacing w:line="230" w:lineRule="auto" w:before="244" w:after="0"/>
              <w:ind w:left="0" w:right="0" w:firstLine="0"/>
              <w:jc w:val="center"/>
            </w:pPr>
            <w:r>
              <w:rPr>
                <w:rFonts w:ascii="Times New Roman" w:hAnsi="Times New Roman" w:eastAsia="Times New Roman"/>
                <w:b w:val="0"/>
                <w:i w:val="0"/>
                <w:color w:val="000000"/>
                <w:sz w:val="19"/>
              </w:rPr>
              <w:t>2</w:t>
            </w:r>
          </w:p>
        </w:tc>
        <w:tc>
          <w:tcPr>
            <w:tcW w:type="dxa" w:w="260"/>
            <w:tcBorders>
              <w:top w:sz="6.163187026977539" w:val="single" w:color="#000000"/>
            </w:tcBorders>
            <w:shd w:fill="f5f5f5"/>
            <w:tcMar>
              <w:start w:w="0" w:type="dxa"/>
              <w:end w:w="0" w:type="dxa"/>
            </w:tcMar>
          </w:tcPr>
          <w:p>
            <w:pPr>
              <w:autoSpaceDN w:val="0"/>
              <w:autoSpaceDE w:val="0"/>
              <w:widowControl/>
              <w:spacing w:line="238" w:lineRule="auto" w:before="2" w:after="0"/>
              <w:ind w:left="0" w:right="0" w:firstLine="0"/>
              <w:jc w:val="center"/>
            </w:pPr>
            <w:r>
              <w:rPr>
                <w:rFonts w:ascii="Symbol" w:hAnsi="Symbol" w:eastAsia="Symbol"/>
                <w:b w:val="0"/>
                <w:i w:val="0"/>
                <w:color w:val="000000"/>
                <w:sz w:val="33"/>
              </w:rPr>
              <w:t></w:t>
            </w:r>
          </w:p>
        </w:tc>
        <w:tc>
          <w:tcPr>
            <w:tcW w:type="dxa" w:w="280"/>
            <w:tcBorders>
              <w:top w:sz="6.163187026977539" w:val="single" w:color="#000000"/>
            </w:tcBorders>
            <w:shd w:fill="f5f5f5"/>
            <w:tcMar>
              <w:start w:w="0" w:type="dxa"/>
              <w:end w:w="0" w:type="dxa"/>
            </w:tcMar>
          </w:tcPr>
          <w:p>
            <w:pPr>
              <w:autoSpaceDN w:val="0"/>
              <w:autoSpaceDE w:val="0"/>
              <w:widowControl/>
              <w:spacing w:line="230" w:lineRule="auto" w:before="38" w:after="0"/>
              <w:ind w:left="0" w:right="0" w:firstLine="0"/>
              <w:jc w:val="center"/>
            </w:pPr>
            <w:r>
              <w:rPr>
                <w:rFonts w:ascii="Times New Roman" w:hAnsi="Times New Roman" w:eastAsia="Times New Roman"/>
                <w:b w:val="0"/>
                <w:i/>
                <w:color w:val="000000"/>
                <w:sz w:val="33"/>
              </w:rPr>
              <w:t>K</w:t>
            </w:r>
          </w:p>
        </w:tc>
        <w:tc>
          <w:tcPr>
            <w:tcW w:type="dxa" w:w="120"/>
            <w:tcBorders>
              <w:top w:sz="6.163187026977539" w:val="single" w:color="#000000"/>
            </w:tcBorders>
            <w:shd w:fill="f5f5f5"/>
            <w:tcMar>
              <w:start w:w="0" w:type="dxa"/>
              <w:end w:w="0" w:type="dxa"/>
            </w:tcMar>
          </w:tcPr>
          <w:p>
            <w:pPr>
              <w:autoSpaceDN w:val="0"/>
              <w:autoSpaceDE w:val="0"/>
              <w:widowControl/>
              <w:spacing w:line="230" w:lineRule="auto" w:before="244" w:after="0"/>
              <w:ind w:left="0" w:right="0" w:firstLine="0"/>
              <w:jc w:val="center"/>
            </w:pPr>
            <w:r>
              <w:rPr>
                <w:rFonts w:ascii="Times New Roman" w:hAnsi="Times New Roman" w:eastAsia="Times New Roman"/>
                <w:b w:val="0"/>
                <w:i w:val="0"/>
                <w:color w:val="000000"/>
                <w:sz w:val="19"/>
              </w:rPr>
              <w:t>3</w:t>
            </w:r>
          </w:p>
        </w:tc>
        <w:tc>
          <w:tcPr>
            <w:tcW w:type="dxa" w:w="320"/>
            <w:gridSpan w:val="2"/>
            <w:tcBorders>
              <w:top w:sz="6.163187026977539" w:val="single" w:color="#000000"/>
            </w:tcBorders>
            <w:shd w:fill="f5f5f5"/>
            <w:tcMar>
              <w:start w:w="0" w:type="dxa"/>
              <w:end w:w="0" w:type="dxa"/>
            </w:tcMar>
            <w:tcMar>
              <w:start w:w="0" w:type="dxa"/>
              <w:end w:w="0" w:type="dxa"/>
            </w:tcMar>
          </w:tcPr>
          <w:p>
            <w:pPr>
              <w:autoSpaceDN w:val="0"/>
              <w:autoSpaceDE w:val="0"/>
              <w:widowControl/>
              <w:spacing w:line="238" w:lineRule="auto" w:before="2" w:after="0"/>
              <w:ind w:left="0" w:right="0" w:firstLine="0"/>
              <w:jc w:val="center"/>
            </w:pPr>
            <w:r>
              <w:rPr>
                <w:rFonts w:ascii="Symbol" w:hAnsi="Symbol" w:eastAsia="Symbol"/>
                <w:b w:val="0"/>
                <w:i w:val="0"/>
                <w:color w:val="000000"/>
                <w:sz w:val="33"/>
              </w:rPr>
              <w:t></w:t>
            </w:r>
          </w:p>
        </w:tc>
        <w:tc>
          <w:tcPr>
            <w:tcW w:type="dxa" w:w="260"/>
            <w:tcBorders>
              <w:top w:sz="6.163187026977539" w:val="single" w:color="#000000"/>
            </w:tcBorders>
            <w:shd w:fill="f5f5f5"/>
            <w:tcMar>
              <w:start w:w="0" w:type="dxa"/>
              <w:end w:w="0" w:type="dxa"/>
            </w:tcMar>
          </w:tcPr>
          <w:p/>
        </w:tc>
        <w:tc>
          <w:tcPr>
            <w:tcW w:type="dxa" w:w="240"/>
            <w:tcBorders>
              <w:top w:sz="6.163187026977539" w:val="single" w:color="#000000"/>
            </w:tcBorders>
            <w:shd w:fill="f5f5f5"/>
            <w:tcMar>
              <w:start w:w="0" w:type="dxa"/>
              <w:end w:w="0" w:type="dxa"/>
            </w:tcMar>
          </w:tcPr>
          <w:p>
            <w:pPr>
              <w:autoSpaceDN w:val="0"/>
              <w:autoSpaceDE w:val="0"/>
              <w:widowControl/>
              <w:spacing w:line="238" w:lineRule="auto" w:before="2" w:after="0"/>
              <w:ind w:left="0" w:right="0" w:firstLine="0"/>
              <w:jc w:val="center"/>
            </w:pPr>
            <w:r>
              <w:rPr>
                <w:rFonts w:ascii="Symbol" w:hAnsi="Symbol" w:eastAsia="Symbol"/>
                <w:b w:val="0"/>
                <w:i w:val="0"/>
                <w:color w:val="000000"/>
                <w:sz w:val="33"/>
              </w:rPr>
              <w:t></w:t>
            </w:r>
          </w:p>
        </w:tc>
        <w:tc>
          <w:tcPr>
            <w:tcW w:type="dxa" w:w="260"/>
            <w:tcBorders>
              <w:top w:sz="6.163187026977539" w:val="single" w:color="#000000"/>
            </w:tcBorders>
            <w:shd w:fill="f5f5f5"/>
            <w:tcMar>
              <w:start w:w="0" w:type="dxa"/>
              <w:end w:w="0" w:type="dxa"/>
            </w:tcMar>
          </w:tcPr>
          <w:p>
            <w:pPr>
              <w:autoSpaceDN w:val="0"/>
              <w:autoSpaceDE w:val="0"/>
              <w:widowControl/>
              <w:spacing w:line="230" w:lineRule="auto" w:before="38" w:after="0"/>
              <w:ind w:left="0" w:right="0" w:firstLine="0"/>
              <w:jc w:val="center"/>
            </w:pPr>
            <w:r>
              <w:rPr>
                <w:rFonts w:ascii="Times New Roman" w:hAnsi="Times New Roman" w:eastAsia="Times New Roman"/>
                <w:b w:val="0"/>
                <w:i/>
                <w:color w:val="000000"/>
                <w:sz w:val="33"/>
              </w:rPr>
              <w:t>K</w:t>
            </w:r>
          </w:p>
        </w:tc>
        <w:tc>
          <w:tcPr>
            <w:tcW w:type="dxa" w:w="640"/>
            <w:gridSpan w:val="2"/>
            <w:tcBorders>
              <w:top w:sz="6.163187026977539" w:val="single" w:color="#000000"/>
            </w:tcBorders>
            <w:shd w:fill="f5f5f5"/>
            <w:tcMar>
              <w:start w:w="0" w:type="dxa"/>
              <w:end w:w="0" w:type="dxa"/>
            </w:tcMar>
            <w:tcMar>
              <w:start w:w="0" w:type="dxa"/>
              <w:end w:w="0" w:type="dxa"/>
            </w:tcMar>
          </w:tcPr>
          <w:p>
            <w:pPr>
              <w:autoSpaceDN w:val="0"/>
              <w:autoSpaceDE w:val="0"/>
              <w:widowControl/>
              <w:spacing w:line="230" w:lineRule="auto" w:before="244" w:after="0"/>
              <w:ind w:left="24" w:right="0" w:firstLine="0"/>
              <w:jc w:val="left"/>
            </w:pPr>
            <w:r>
              <w:rPr>
                <w:rFonts w:ascii="Times New Roman" w:hAnsi="Times New Roman" w:eastAsia="Times New Roman"/>
                <w:b w:val="0"/>
                <w:i/>
                <w:color w:val="000000"/>
                <w:sz w:val="19"/>
              </w:rPr>
              <w:t>n</w:t>
            </w:r>
          </w:p>
        </w:tc>
        <w:tc>
          <w:tcPr>
            <w:tcW w:type="dxa" w:w="178"/>
            <w:tcBorders>
              <w:top w:sz="6.163187026977539" w:val="single" w:color="#000000"/>
            </w:tcBorders>
            <w:shd w:fill="f5f5f5"/>
            <w:tcMar>
              <w:start w:w="0" w:type="dxa"/>
              <w:end w:w="0" w:type="dxa"/>
            </w:tcMar>
          </w:tcPr>
          <w:p/>
        </w:tc>
      </w:tr>
    </w:tbl>
    <w:p>
      <w:pPr>
        <w:autoSpaceDN w:val="0"/>
        <w:autoSpaceDE w:val="0"/>
        <w:widowControl/>
        <w:spacing w:line="233" w:lineRule="auto" w:before="4" w:after="0"/>
        <w:ind w:left="28" w:right="0" w:firstLine="0"/>
        <w:jc w:val="left"/>
      </w:pPr>
      <w:r>
        <w:rPr>
          <w:rFonts w:ascii="Arial" w:hAnsi="Arial" w:eastAsia="Arial"/>
          <w:b w:val="0"/>
          <w:i w:val="0"/>
          <w:color w:val="000000"/>
          <w:sz w:val="24"/>
        </w:rPr>
        <w:t>bu yerda:</w:t>
      </w:r>
    </w:p>
    <w:p>
      <w:pPr>
        <w:autoSpaceDN w:val="0"/>
        <w:tabs>
          <w:tab w:pos="748" w:val="left"/>
        </w:tabs>
        <w:autoSpaceDE w:val="0"/>
        <w:widowControl/>
        <w:spacing w:line="245" w:lineRule="auto" w:before="192" w:after="0"/>
        <w:ind w:left="388" w:right="2304" w:firstLine="0"/>
        <w:jc w:val="left"/>
      </w:pPr>
      <w:r>
        <w:rPr>
          <w:rFonts w:ascii="Arial" w:hAnsi="Arial" w:eastAsia="Arial"/>
          <w:b w:val="0"/>
          <w:i w:val="0"/>
          <w:color w:val="000000"/>
          <w:sz w:val="24"/>
        </w:rPr>
        <w:t xml:space="preserve">• </w:t>
        <w:tab/>
        <w:t xml:space="preserve">K — har bir fan/modulga ajratilgan kreditlar soni; • </w:t>
        <w:tab/>
        <w:t>U — talabaning har bir fan/modulda olgan bahosi.</w:t>
      </w:r>
      <w:r/>
      <w:r>
        <w:rPr>
          <w:rFonts w:ascii="Arial" w:hAnsi="Arial" w:eastAsia="Arial"/>
          <w:b/>
          <w:i w:val="0"/>
          <w:color w:val="000000"/>
          <w:sz w:val="24"/>
        </w:rPr>
      </w:r>
      <w:r>
        <w:rPr>
          <w:rFonts w:ascii="Arial" w:hAnsi="Arial" w:eastAsia="Arial"/>
          <w:b w:val="0"/>
          <w:i w:val="0"/>
          <w:color w:val="000000"/>
          <w:sz w:val="24"/>
        </w:rPr>
      </w:r>
      <w:r>
        <w:rPr>
          <w:rFonts w:ascii="Arial" w:hAnsi="Arial" w:eastAsia="Arial"/>
          <w:b w:val="0"/>
          <w:i w:val="0"/>
          <w:color w:val="000000"/>
          <w:sz w:val="24"/>
        </w:rPr>
      </w:r>
      <w:r/>
      <w:r>
        <w:rPr>
          <w:rFonts w:ascii="Arial" w:hAnsi="Arial" w:eastAsia="Arial"/>
          <w:b/>
          <w:i w:val="0"/>
          <w:color w:val="000000"/>
          <w:sz w:val="24"/>
        </w:rPr>
      </w:r>
      <w:r>
        <w:rPr>
          <w:rFonts w:ascii="Arial" w:hAnsi="Arial" w:eastAsia="Arial"/>
          <w:b w:val="0"/>
          <w:i w:val="0"/>
          <w:color w:val="000000"/>
          <w:sz w:val="24"/>
        </w:rPr>
      </w:r>
    </w:p>
    <w:p>
      <w:pPr>
        <w:autoSpaceDN w:val="0"/>
        <w:autoSpaceDE w:val="0"/>
        <w:widowControl/>
        <w:spacing w:line="247" w:lineRule="auto" w:before="190" w:after="0"/>
        <w:ind w:left="28" w:right="0" w:firstLine="0"/>
        <w:jc w:val="left"/>
      </w:pPr>
      <w:r>
        <w:rPr>
          <w:rFonts w:ascii="Arial" w:hAnsi="Arial" w:eastAsia="Arial"/>
          <w:b/>
          <w:i w:val="0"/>
          <w:color w:val="000000"/>
          <w:sz w:val="24"/>
        </w:rPr>
        <w:t>Amaliy misol. Magistratura talabasi semestrda uchta modulni tugatadi: 6 kredit — 4,5 baho, 4 kredit — 4,0 baho va 5 kredit — 3,5 baho.</w:t>
      </w:r>
      <w:r>
        <w:rPr>
          <w:rFonts w:ascii="Arial" w:hAnsi="Arial" w:eastAsia="Arial"/>
          <w:b w:val="0"/>
          <w:i w:val="0"/>
          <w:color w:val="000000"/>
          <w:sz w:val="24"/>
        </w:rPr>
      </w:r>
      <w:r>
        <w:rPr>
          <w:rFonts w:ascii="Arial" w:hAnsi="Arial" w:eastAsia="Arial"/>
          <w:b w:val="0"/>
          <w:i w:val="0"/>
          <w:color w:val="000000"/>
          <w:sz w:val="24"/>
        </w:rPr>
      </w:r>
    </w:p>
    <w:p>
      <w:pPr>
        <w:autoSpaceDN w:val="0"/>
        <w:autoSpaceDE w:val="0"/>
        <w:widowControl/>
        <w:spacing w:line="233" w:lineRule="auto" w:before="188" w:after="0"/>
        <w:ind w:left="0" w:right="0" w:firstLine="0"/>
        <w:jc w:val="center"/>
      </w:pPr>
      <w:r>
        <w:rPr>
          <w:rFonts w:ascii="Arial" w:hAnsi="Arial" w:eastAsia="Arial"/>
          <w:b w:val="0"/>
          <w:i w:val="0"/>
          <w:color w:val="000000"/>
          <w:sz w:val="24"/>
        </w:rPr>
        <w:t>GPA = (6x4,5 + 4x4,0 + 5x3,5) / (6+4+5) = (27 + 16 + 17,5) / 15 = 60,5 / 15 = 4,03</w:t>
      </w:r>
    </w:p>
    <w:p>
      <w:pPr>
        <w:autoSpaceDN w:val="0"/>
        <w:autoSpaceDE w:val="0"/>
        <w:widowControl/>
        <w:spacing w:line="252" w:lineRule="auto" w:before="192" w:after="0"/>
        <w:ind w:left="28" w:right="24" w:firstLine="0"/>
        <w:jc w:val="both"/>
      </w:pPr>
      <w:r>
        <w:rPr>
          <w:rFonts w:ascii="Arial" w:hAnsi="Arial" w:eastAsia="Arial"/>
          <w:b w:val="0"/>
          <w:i w:val="0"/>
          <w:color w:val="000000"/>
          <w:sz w:val="24"/>
        </w:rPr>
        <w:t>GPA shuningdek bir kursdan keyingisiga o'tishni boshqaradi: universitet kengashi 2,4-3,0 oralig'ida minimal o'tish GPA ni belgilaydi. Bunga erishmaydigan magistratura talabasi kursni qayta o'qiydi; akademik qarzdor talaba o'qishdan chiqarilmaydi, balki faqat qarz fanlarni tegishli kontrakt to'lovida qayta o'qiydi.</w:t>
      </w:r>
      <w:r>
        <w:rPr>
          <w:rFonts w:ascii="Arial" w:hAnsi="Arial" w:eastAsia="Arial"/>
          <w:b w:val="0"/>
          <w:i w:val="0"/>
          <w:color w:val="000000"/>
          <w:sz w:val="24"/>
        </w:rPr>
      </w:r>
      <w:r>
        <w:rPr>
          <w:rFonts w:ascii="Arial" w:hAnsi="Arial" w:eastAsia="Arial"/>
          <w:b w:val="0"/>
          <w:i w:val="0"/>
          <w:color w:val="000000"/>
          <w:sz w:val="24"/>
        </w:rPr>
      </w:r>
      <w:r>
        <w:rPr>
          <w:rFonts w:ascii="Arial" w:hAnsi="Arial" w:eastAsia="Arial"/>
          <w:b w:val="0"/>
          <w:i w:val="0"/>
          <w:color w:val="000000"/>
          <w:sz w:val="24"/>
        </w:rPr>
      </w:r>
    </w:p>
    <w:p>
      <w:pPr>
        <w:autoSpaceDN w:val="0"/>
        <w:autoSpaceDE w:val="0"/>
        <w:widowControl/>
        <w:spacing w:line="233" w:lineRule="auto" w:before="312" w:after="0"/>
        <w:ind w:left="28" w:right="0" w:firstLine="0"/>
        <w:jc w:val="left"/>
      </w:pPr>
      <w:r>
        <w:rPr>
          <w:rFonts w:ascii="Arial" w:hAnsi="Arial" w:eastAsia="Arial"/>
          <w:b/>
          <w:i w:val="0"/>
          <w:color w:val="000000"/>
          <w:sz w:val="24"/>
        </w:rPr>
        <w:t>5. 36-son Qaror bo'yicha magistraturaga xos faoliyatlar</w:t>
      </w:r>
    </w:p>
    <w:p>
      <w:pPr>
        <w:autoSpaceDN w:val="0"/>
        <w:autoSpaceDE w:val="0"/>
        <w:widowControl/>
        <w:spacing w:line="250" w:lineRule="auto" w:before="132" w:after="0"/>
        <w:ind w:left="28" w:right="28" w:firstLine="0"/>
        <w:jc w:val="both"/>
      </w:pPr>
      <w:r>
        <w:rPr>
          <w:rFonts w:ascii="Arial" w:hAnsi="Arial" w:eastAsia="Arial"/>
          <w:b w:val="0"/>
          <w:i w:val="0"/>
          <w:color w:val="000000"/>
          <w:sz w:val="24"/>
        </w:rPr>
        <w:t>3-4-bo'limlar magistratura talabasi kreditlari va GPA si qanday hisoblanishini belgilar ekan, 36-son Qaror ushbu o'quv yuklamasini tashkil etuvchi asosiy faoliyatlarning qanday tashkil etilishini boshqaradi. U quyidagilarni qamrab oladi:</w:t>
      </w:r>
      <w:r>
        <w:rPr>
          <w:rFonts w:ascii="Arial" w:hAnsi="Arial" w:eastAsia="Arial"/>
          <w:b w:val="0"/>
          <w:i w:val="0"/>
          <w:color w:val="000000"/>
          <w:sz w:val="24"/>
        </w:rPr>
      </w:r>
      <w:r>
        <w:rPr>
          <w:rFonts w:ascii="Arial" w:hAnsi="Arial" w:eastAsia="Arial"/>
          <w:b w:val="0"/>
          <w:i w:val="0"/>
          <w:color w:val="000000"/>
          <w:sz w:val="24"/>
        </w:rPr>
      </w:r>
    </w:p>
    <w:p>
      <w:pPr>
        <w:autoSpaceDN w:val="0"/>
        <w:tabs>
          <w:tab w:pos="748" w:val="left"/>
        </w:tabs>
        <w:autoSpaceDE w:val="0"/>
        <w:widowControl/>
        <w:spacing w:line="247" w:lineRule="auto" w:before="194" w:after="0"/>
        <w:ind w:left="388" w:right="0" w:firstLine="0"/>
        <w:jc w:val="left"/>
      </w:pPr>
      <w:r>
        <w:rPr>
          <w:rFonts w:ascii="Arial" w:hAnsi="Arial" w:eastAsia="Arial"/>
          <w:b w:val="0"/>
          <w:i w:val="0"/>
          <w:color w:val="000000"/>
          <w:sz w:val="24"/>
        </w:rPr>
        <w:t xml:space="preserve">• </w:t>
        <w:tab/>
        <w:t>O'quv-uslubiy ish — magistratura dasturi doirasidagi kurs ishlari va tizimlashtirilgan o'qish.</w:t>
      </w:r>
      <w:r/>
      <w:r>
        <w:rPr>
          <w:rFonts w:ascii="Arial" w:hAnsi="Arial" w:eastAsia="Arial"/>
          <w:b/>
          <w:i w:val="0"/>
          <w:color w:val="000000"/>
          <w:sz w:val="24"/>
        </w:rPr>
      </w:r>
      <w:r>
        <w:rPr>
          <w:rFonts w:ascii="Arial" w:hAnsi="Arial" w:eastAsia="Arial"/>
          <w:b w:val="0"/>
          <w:i w:val="0"/>
          <w:color w:val="000000"/>
          <w:sz w:val="24"/>
        </w:rPr>
      </w:r>
      <w:r/>
      <w:r>
        <w:rPr>
          <w:rFonts w:ascii="Arial" w:hAnsi="Arial" w:eastAsia="Arial"/>
          <w:b w:val="0"/>
          <w:i w:val="0"/>
          <w:color w:val="000000"/>
          <w:sz w:val="24"/>
        </w:rPr>
      </w:r>
    </w:p>
    <w:p>
      <w:pPr>
        <w:autoSpaceDN w:val="0"/>
        <w:tabs>
          <w:tab w:pos="748" w:val="left"/>
        </w:tabs>
        <w:autoSpaceDE w:val="0"/>
        <w:widowControl/>
        <w:spacing w:line="233" w:lineRule="auto" w:before="30" w:after="0"/>
        <w:ind w:left="388" w:right="0" w:firstLine="0"/>
        <w:jc w:val="left"/>
      </w:pPr>
      <w:r>
        <w:rPr>
          <w:rFonts w:ascii="Arial" w:hAnsi="Arial" w:eastAsia="Arial"/>
          <w:b w:val="0"/>
          <w:i w:val="0"/>
          <w:color w:val="000000"/>
          <w:sz w:val="24"/>
        </w:rPr>
        <w:t xml:space="preserve">• </w:t>
        <w:tab/>
        <w:t>Ilmiy-tadqiqot ishi — dissertatsiyaga yo'naltirilgan tadqiqot faoliyati.</w:t>
      </w:r>
      <w:r/>
      <w:r>
        <w:rPr>
          <w:rFonts w:ascii="Arial" w:hAnsi="Arial" w:eastAsia="Arial"/>
          <w:b/>
          <w:i w:val="0"/>
          <w:color w:val="000000"/>
          <w:sz w:val="24"/>
        </w:rPr>
      </w:r>
      <w:r>
        <w:rPr>
          <w:rFonts w:ascii="Arial" w:hAnsi="Arial" w:eastAsia="Arial"/>
          <w:b w:val="0"/>
          <w:i w:val="0"/>
          <w:color w:val="000000"/>
          <w:sz w:val="24"/>
        </w:rPr>
      </w:r>
    </w:p>
    <w:p>
      <w:pPr>
        <w:autoSpaceDN w:val="0"/>
        <w:tabs>
          <w:tab w:pos="748" w:val="left"/>
        </w:tabs>
        <w:autoSpaceDE w:val="0"/>
        <w:widowControl/>
        <w:spacing w:line="245" w:lineRule="auto" w:before="30" w:after="0"/>
        <w:ind w:left="388" w:right="0" w:firstLine="0"/>
        <w:jc w:val="left"/>
      </w:pPr>
      <w:r>
        <w:rPr>
          <w:rFonts w:ascii="Arial" w:hAnsi="Arial" w:eastAsia="Arial"/>
          <w:b w:val="0"/>
          <w:i w:val="0"/>
          <w:color w:val="000000"/>
          <w:sz w:val="24"/>
        </w:rPr>
        <w:t xml:space="preserve">• </w:t>
        <w:tab/>
        <w:t>Pedagogik ish — dasturning o'qitish amaliyoti tarkibiy qismlari, agar belgilangan bo'lsa.</w:t>
      </w:r>
      <w:r/>
      <w:r>
        <w:rPr>
          <w:rFonts w:ascii="Arial" w:hAnsi="Arial" w:eastAsia="Arial"/>
          <w:b/>
          <w:i w:val="0"/>
          <w:color w:val="000000"/>
          <w:sz w:val="24"/>
        </w:rPr>
      </w:r>
      <w:r>
        <w:rPr>
          <w:rFonts w:ascii="Arial" w:hAnsi="Arial" w:eastAsia="Arial"/>
          <w:b w:val="0"/>
          <w:i w:val="0"/>
          <w:color w:val="000000"/>
          <w:sz w:val="24"/>
        </w:rPr>
      </w:r>
      <w:r/>
      <w:r>
        <w:rPr>
          <w:rFonts w:ascii="Arial" w:hAnsi="Arial" w:eastAsia="Arial"/>
          <w:b w:val="0"/>
          <w:i w:val="0"/>
          <w:color w:val="000000"/>
          <w:sz w:val="24"/>
        </w:rPr>
      </w:r>
    </w:p>
    <w:p>
      <w:pPr>
        <w:autoSpaceDN w:val="0"/>
        <w:tabs>
          <w:tab w:pos="748" w:val="left"/>
        </w:tabs>
        <w:autoSpaceDE w:val="0"/>
        <w:widowControl/>
        <w:spacing w:line="245" w:lineRule="auto" w:before="30" w:after="0"/>
        <w:ind w:left="388" w:right="0" w:firstLine="0"/>
        <w:jc w:val="left"/>
      </w:pPr>
      <w:r>
        <w:rPr>
          <w:rFonts w:ascii="Arial" w:hAnsi="Arial" w:eastAsia="Arial"/>
          <w:b w:val="0"/>
          <w:i w:val="0"/>
          <w:color w:val="000000"/>
          <w:sz w:val="24"/>
        </w:rPr>
        <w:t xml:space="preserve">• </w:t>
        <w:tab/>
        <w:t xml:space="preserve">Amaliyot va stajirovkalar — hamkor tashkilotlardagi amaliy joylashtirish. • </w:t>
        <w:tab/>
        <w:t>Dissertatsiya tayyorlash — dissertatsiyaning tajriba yoki dala tarkibiy qismini o'z ichiga oladi.</w:t>
      </w:r>
      <w:r/>
      <w:r>
        <w:rPr>
          <w:rFonts w:ascii="Arial" w:hAnsi="Arial" w:eastAsia="Arial"/>
          <w:b/>
          <w:i w:val="0"/>
          <w:color w:val="000000"/>
          <w:sz w:val="24"/>
        </w:rPr>
      </w:r>
      <w:r>
        <w:rPr>
          <w:rFonts w:ascii="Arial" w:hAnsi="Arial" w:eastAsia="Arial"/>
          <w:b w:val="0"/>
          <w:i w:val="0"/>
          <w:color w:val="000000"/>
          <w:sz w:val="24"/>
        </w:rPr>
      </w:r>
      <w:r>
        <w:rPr>
          <w:rFonts w:ascii="Arial" w:hAnsi="Arial" w:eastAsia="Arial"/>
          <w:b w:val="0"/>
          <w:i w:val="0"/>
          <w:color w:val="000000"/>
          <w:sz w:val="24"/>
        </w:rPr>
      </w:r>
      <w:r/>
      <w:r>
        <w:rPr>
          <w:rFonts w:ascii="Arial" w:hAnsi="Arial" w:eastAsia="Arial"/>
          <w:b/>
          <w:i w:val="0"/>
          <w:color w:val="000000"/>
          <w:sz w:val="24"/>
        </w:rPr>
      </w:r>
      <w:r>
        <w:rPr>
          <w:rFonts w:ascii="Arial" w:hAnsi="Arial" w:eastAsia="Arial"/>
          <w:b w:val="0"/>
          <w:i w:val="0"/>
          <w:color w:val="000000"/>
          <w:sz w:val="24"/>
        </w:rPr>
      </w:r>
    </w:p>
    <w:p>
      <w:pPr>
        <w:autoSpaceDN w:val="0"/>
        <w:autoSpaceDE w:val="0"/>
        <w:widowControl/>
        <w:spacing w:line="252" w:lineRule="auto" w:before="192" w:after="0"/>
        <w:ind w:left="28" w:right="20" w:firstLine="0"/>
        <w:jc w:val="both"/>
      </w:pPr>
      <w:r>
        <w:rPr>
          <w:rFonts w:ascii="Arial" w:hAnsi="Arial" w:eastAsia="Arial"/>
          <w:b w:val="0"/>
          <w:i w:val="0"/>
          <w:color w:val="000000"/>
          <w:sz w:val="24"/>
        </w:rPr>
        <w:t>Ularning har biri 3-bo'limdagi ECTS asosidagi hisoblash bo'yicha (kredit uchun auditoriya va mustaqil ish soatlari) ifodalanadi va kreditlanadi; 36-son Qaror ularni yetkazib berish va nazorat qilishni imkonini beradigan muassasa sharoitlarini belgilaydi, 6-bo'limda tavsiflangan.</w:t>
      </w:r>
      <w:r>
        <w:rPr>
          <w:rFonts w:ascii="Arial" w:hAnsi="Arial" w:eastAsia="Arial"/>
          <w:b w:val="0"/>
          <w:i w:val="0"/>
          <w:color w:val="000000"/>
          <w:sz w:val="24"/>
        </w:rPr>
      </w:r>
      <w:r>
        <w:rPr>
          <w:rFonts w:ascii="Arial" w:hAnsi="Arial" w:eastAsia="Arial"/>
          <w:b w:val="0"/>
          <w:i w:val="0"/>
          <w:color w:val="000000"/>
          <w:sz w:val="24"/>
        </w:rPr>
      </w:r>
      <w:r>
        <w:rPr>
          <w:rFonts w:ascii="Arial" w:hAnsi="Arial" w:eastAsia="Arial"/>
          <w:b w:val="0"/>
          <w:i w:val="0"/>
          <w:color w:val="000000"/>
          <w:sz w:val="24"/>
        </w:rPr>
      </w:r>
    </w:p>
    <w:p>
      <w:pPr>
        <w:autoSpaceDN w:val="0"/>
        <w:autoSpaceDE w:val="0"/>
        <w:widowControl/>
        <w:spacing w:line="233" w:lineRule="auto" w:before="312" w:after="0"/>
        <w:ind w:left="28" w:right="0" w:firstLine="0"/>
        <w:jc w:val="left"/>
      </w:pPr>
      <w:r>
        <w:rPr>
          <w:rFonts w:ascii="Arial" w:hAnsi="Arial" w:eastAsia="Arial"/>
          <w:b/>
          <w:i w:val="0"/>
          <w:color w:val="000000"/>
          <w:sz w:val="24"/>
        </w:rPr>
        <w:t>6. 36-son Qaror bo'yicha muassasa majburiyatlari</w:t>
      </w:r>
    </w:p>
    <w:p>
      <w:pPr>
        <w:autoSpaceDN w:val="0"/>
        <w:autoSpaceDE w:val="0"/>
        <w:widowControl/>
        <w:spacing w:line="245" w:lineRule="auto" w:before="132" w:after="0"/>
        <w:ind w:left="28" w:right="0" w:firstLine="0"/>
        <w:jc w:val="left"/>
      </w:pPr>
      <w:r>
        <w:rPr>
          <w:rFonts w:ascii="Arial" w:hAnsi="Arial" w:eastAsia="Arial"/>
          <w:b w:val="0"/>
          <w:i w:val="0"/>
          <w:color w:val="000000"/>
          <w:sz w:val="24"/>
        </w:rPr>
        <w:t>Magistratura darajasidagi o'quv-uslubiy, ilmiy va pedagogik ishni, amaliyotlarni, stajirovkalarni va dissertatsiya tayyorlashni tashkil etish uchun universitet quyidagilarni ta'minlashi kerak:</w:t>
      </w:r>
      <w:r>
        <w:rPr>
          <w:rFonts w:ascii="Arial" w:hAnsi="Arial" w:eastAsia="Arial"/>
          <w:b w:val="0"/>
          <w:i w:val="0"/>
          <w:color w:val="000000"/>
          <w:sz w:val="24"/>
        </w:rPr>
      </w:r>
    </w:p>
    <w:p>
      <w:pPr>
        <w:autoSpaceDN w:val="0"/>
        <w:tabs>
          <w:tab w:pos="748" w:val="left"/>
        </w:tabs>
        <w:autoSpaceDE w:val="0"/>
        <w:widowControl/>
        <w:spacing w:line="247" w:lineRule="auto" w:before="192" w:after="0"/>
        <w:ind w:left="388" w:right="0" w:firstLine="0"/>
        <w:jc w:val="left"/>
      </w:pPr>
      <w:r>
        <w:rPr>
          <w:rFonts w:ascii="Arial" w:hAnsi="Arial" w:eastAsia="Arial"/>
          <w:b w:val="0"/>
          <w:i w:val="0"/>
          <w:color w:val="000000"/>
          <w:sz w:val="24"/>
        </w:rPr>
        <w:t>1. Tegishli ilmiy va pedagogik kadrlar bilan ta'minlash — dastur yo'nalishiga mos mutaxassisligi bo'lgan professor va dotsentlarni tayinlash.</w:t>
      </w:r>
      <w:r>
        <w:rPr>
          <w:rFonts w:ascii="Arial" w:hAnsi="Arial" w:eastAsia="Arial"/>
          <w:b/>
          <w:i w:val="0"/>
          <w:color w:val="000000"/>
          <w:sz w:val="24"/>
        </w:rPr>
      </w:r>
      <w:r>
        <w:rPr>
          <w:rFonts w:ascii="Arial" w:hAnsi="Arial" w:eastAsia="Arial"/>
          <w:b w:val="0"/>
          <w:i w:val="0"/>
          <w:color w:val="000000"/>
          <w:sz w:val="24"/>
        </w:rPr>
      </w:r>
      <w:r/>
      <w:r>
        <w:rPr>
          <w:rFonts w:ascii="Arial" w:hAnsi="Arial" w:eastAsia="Arial"/>
          <w:b w:val="0"/>
          <w:i w:val="0"/>
          <w:color w:val="000000"/>
          <w:sz w:val="24"/>
        </w:rPr>
      </w:r>
    </w:p>
    <w:p>
      <w:pPr>
        <w:autoSpaceDN w:val="0"/>
        <w:tabs>
          <w:tab w:pos="748" w:val="left"/>
        </w:tabs>
        <w:autoSpaceDE w:val="0"/>
        <w:widowControl/>
        <w:spacing w:line="247" w:lineRule="auto" w:before="30" w:after="0"/>
        <w:ind w:left="388" w:right="0" w:firstLine="0"/>
        <w:jc w:val="left"/>
      </w:pPr>
      <w:r>
        <w:rPr>
          <w:rFonts w:ascii="Arial" w:hAnsi="Arial" w:eastAsia="Arial"/>
          <w:b w:val="0"/>
          <w:i w:val="0"/>
          <w:color w:val="000000"/>
          <w:sz w:val="24"/>
        </w:rPr>
        <w:t>2. Nazariy, laboratoriya va ilmiy-tadqiqot ishi uchun zarur o'quv-uslubiy va moddiy-texnik bazani ta'minlash.</w:t>
      </w:r>
      <w:r>
        <w:rPr>
          <w:rFonts w:ascii="Arial" w:hAnsi="Arial" w:eastAsia="Arial"/>
          <w:b/>
          <w:i w:val="0"/>
          <w:color w:val="000000"/>
          <w:sz w:val="24"/>
        </w:rPr>
      </w:r>
      <w:r>
        <w:rPr>
          <w:rFonts w:ascii="Arial" w:hAnsi="Arial" w:eastAsia="Arial"/>
          <w:b w:val="0"/>
          <w:i w:val="0"/>
          <w:color w:val="000000"/>
          <w:sz w:val="24"/>
        </w:rPr>
      </w:r>
      <w:r/>
      <w:r>
        <w:rPr>
          <w:rFonts w:ascii="Arial" w:hAnsi="Arial" w:eastAsia="Arial"/>
          <w:b w:val="0"/>
          <w:i w:val="0"/>
          <w:color w:val="000000"/>
          <w:sz w:val="24"/>
        </w:rPr>
      </w:r>
    </w:p>
    <w:p>
      <w:pPr>
        <w:autoSpaceDN w:val="0"/>
        <w:tabs>
          <w:tab w:pos="748" w:val="left"/>
        </w:tabs>
        <w:autoSpaceDE w:val="0"/>
        <w:widowControl/>
        <w:spacing w:line="245" w:lineRule="auto" w:before="30" w:after="0"/>
        <w:ind w:left="388" w:right="0" w:firstLine="0"/>
        <w:jc w:val="left"/>
      </w:pPr>
      <w:r>
        <w:rPr>
          <w:rFonts w:ascii="Arial" w:hAnsi="Arial" w:eastAsia="Arial"/>
          <w:b w:val="0"/>
          <w:i w:val="0"/>
          <w:color w:val="000000"/>
          <w:sz w:val="24"/>
        </w:rPr>
        <w:t>3. Talabalar amaliyoti va magistrlik dissertatsiyalarining tajriba tarkibiy qismlari uchun tegishli tashkilotlar bilan rasmiy bitimlar tuzish.</w:t>
      </w:r>
      <w:r>
        <w:rPr>
          <w:rFonts w:ascii="Arial" w:hAnsi="Arial" w:eastAsia="Arial"/>
          <w:b/>
          <w:i w:val="0"/>
          <w:color w:val="000000"/>
          <w:sz w:val="24"/>
        </w:rPr>
      </w:r>
      <w:r>
        <w:rPr>
          <w:rFonts w:ascii="Arial" w:hAnsi="Arial" w:eastAsia="Arial"/>
          <w:b w:val="0"/>
          <w:i w:val="0"/>
          <w:color w:val="000000"/>
          <w:sz w:val="24"/>
        </w:rPr>
      </w:r>
      <w:r/>
      <w:r>
        <w:rPr>
          <w:rFonts w:ascii="Arial" w:hAnsi="Arial" w:eastAsia="Arial"/>
          <w:b w:val="0"/>
          <w:i w:val="0"/>
          <w:color w:val="000000"/>
          <w:sz w:val="24"/>
        </w:rPr>
      </w:r>
    </w:p>
    <w:p>
      <w:pPr>
        <w:sectPr>
          <w:pgSz w:w="12240" w:h="15840"/>
          <w:pgMar w:top="704" w:right="1352" w:bottom="766" w:left="1412" w:header="720" w:footer="720" w:gutter="0"/>
          <w:cols/>
          <w:docGrid w:linePitch="360"/>
        </w:sectPr>
      </w:pPr>
    </w:p>
    <w:p>
      <w:pPr>
        <w:autoSpaceDN w:val="0"/>
        <w:autoSpaceDE w:val="0"/>
        <w:widowControl/>
        <w:spacing w:line="220" w:lineRule="exact" w:before="0" w:after="502"/>
        <w:ind w:left="0" w:right="0"/>
      </w:pPr>
    </w:p>
    <w:p>
      <w:pPr>
        <w:autoSpaceDN w:val="0"/>
        <w:autoSpaceDE w:val="0"/>
        <w:widowControl/>
        <w:spacing w:line="250" w:lineRule="auto" w:before="0" w:after="0"/>
        <w:ind w:left="720" w:right="20" w:hanging="360"/>
        <w:jc w:val="both"/>
      </w:pPr>
      <w:r>
        <w:rPr>
          <w:rFonts w:ascii="Arial" w:hAnsi="Arial" w:eastAsia="Arial"/>
          <w:b w:val="0"/>
          <w:i w:val="0"/>
          <w:color w:val="000000"/>
          <w:sz w:val="24"/>
        </w:rPr>
        <w:t>4. Fanlar akademiyasi, tarmoq ilmiy-tadqiqot muassasalari va xorijiy muassasalarning yetakchi olim va mutaxassislarini soatbay ish haqi asosida jalb qilish.</w:t>
      </w:r>
      <w:r>
        <w:rPr>
          <w:rFonts w:ascii="Arial" w:hAnsi="Arial" w:eastAsia="Arial"/>
          <w:b/>
          <w:i w:val="0"/>
          <w:color w:val="000000"/>
          <w:sz w:val="24"/>
        </w:rPr>
      </w:r>
      <w:r>
        <w:rPr>
          <w:rFonts w:ascii="Arial" w:hAnsi="Arial" w:eastAsia="Arial"/>
          <w:b w:val="0"/>
          <w:i w:val="0"/>
          <w:color w:val="000000"/>
          <w:sz w:val="24"/>
        </w:rPr>
      </w:r>
      <w:r>
        <w:rPr>
          <w:rFonts w:ascii="Arial" w:hAnsi="Arial" w:eastAsia="Arial"/>
          <w:b w:val="0"/>
          <w:i w:val="0"/>
          <w:color w:val="000000"/>
          <w:sz w:val="24"/>
        </w:rPr>
      </w:r>
      <w:r>
        <w:rPr>
          <w:rFonts w:ascii="Arial" w:hAnsi="Arial" w:eastAsia="Arial"/>
          <w:b w:val="0"/>
          <w:i w:val="0"/>
          <w:color w:val="000000"/>
          <w:sz w:val="24"/>
        </w:rPr>
      </w:r>
    </w:p>
    <w:p>
      <w:pPr>
        <w:autoSpaceDN w:val="0"/>
        <w:autoSpaceDE w:val="0"/>
        <w:widowControl/>
        <w:spacing w:line="250" w:lineRule="auto" w:before="194" w:after="0"/>
        <w:ind w:left="0" w:right="24" w:firstLine="0"/>
        <w:jc w:val="both"/>
      </w:pPr>
      <w:r>
        <w:rPr>
          <w:rFonts w:ascii="Arial" w:hAnsi="Arial" w:eastAsia="Arial"/>
          <w:b w:val="0"/>
          <w:i w:val="0"/>
          <w:color w:val="000000"/>
          <w:sz w:val="24"/>
        </w:rPr>
        <w:t>Ushbu majburiyatlar 3-bo'limdagi kredit asosidagi o'quv yuklamasi hisobiga qo'shimcha ravishda va uni qo'llab-quvvatlaydi: ular kafedra magistratura dasturi talab qiladigan auditoriya va mustaqil ish soatlarini amalda yetkazib berishni ta'minlaydi.</w:t>
      </w:r>
      <w:r>
        <w:rPr>
          <w:rFonts w:ascii="Arial" w:hAnsi="Arial" w:eastAsia="Arial"/>
          <w:b w:val="0"/>
          <w:i w:val="0"/>
          <w:color w:val="000000"/>
          <w:sz w:val="24"/>
        </w:rPr>
      </w:r>
      <w:r>
        <w:rPr>
          <w:rFonts w:ascii="Arial" w:hAnsi="Arial" w:eastAsia="Arial"/>
          <w:b w:val="0"/>
          <w:i w:val="0"/>
          <w:color w:val="000000"/>
          <w:sz w:val="24"/>
        </w:rPr>
      </w:r>
    </w:p>
    <w:p>
      <w:pPr>
        <w:autoSpaceDN w:val="0"/>
        <w:autoSpaceDE w:val="0"/>
        <w:widowControl/>
        <w:spacing w:line="230" w:lineRule="auto" w:before="312" w:after="0"/>
        <w:ind w:left="0" w:right="0" w:firstLine="0"/>
        <w:jc w:val="left"/>
      </w:pPr>
      <w:r>
        <w:rPr>
          <w:rFonts w:ascii="Arial" w:hAnsi="Arial" w:eastAsia="Arial"/>
          <w:b/>
          <w:i w:val="0"/>
          <w:color w:val="000000"/>
          <w:sz w:val="24"/>
        </w:rPr>
        <w:t>7. Kalendar ish rejasi va hisobot</w:t>
      </w:r>
    </w:p>
    <w:p>
      <w:pPr>
        <w:autoSpaceDN w:val="0"/>
        <w:autoSpaceDE w:val="0"/>
        <w:widowControl/>
        <w:spacing w:line="252" w:lineRule="auto" w:before="134" w:after="0"/>
        <w:ind w:left="0" w:right="20" w:firstLine="0"/>
        <w:jc w:val="both"/>
      </w:pPr>
      <w:r>
        <w:rPr>
          <w:rFonts w:ascii="Arial" w:hAnsi="Arial" w:eastAsia="Arial"/>
          <w:b/>
          <w:i w:val="0"/>
          <w:color w:val="000000"/>
          <w:sz w:val="24"/>
        </w:rPr>
        <w:t>Ishlab chiqish va tasdiqlash. Har bir magistratura talabasi kalendar ish rejasi — davr uchun o'quv-uslubiy, ilmiy, pedagogik va amaliy faoliyatlarni qamrab oluvchi — ilmiy rahbar bilan birgalikda ishlab chiqiladi va o'quv ishlari bo'yicha prorektor (yoki direktor o'rinbosari) tomonidan tasdiqlanadi.</w:t>
      </w:r>
      <w:r>
        <w:rPr>
          <w:rFonts w:ascii="Arial" w:hAnsi="Arial" w:eastAsia="Arial"/>
          <w:b w:val="0"/>
          <w:i w:val="0"/>
          <w:color w:val="000000"/>
          <w:sz w:val="24"/>
        </w:rPr>
      </w:r>
      <w:r>
        <w:rPr>
          <w:rFonts w:ascii="Arial" w:hAnsi="Arial" w:eastAsia="Arial"/>
          <w:b w:val="0"/>
          <w:i w:val="0"/>
          <w:color w:val="000000"/>
          <w:sz w:val="24"/>
        </w:rPr>
      </w:r>
      <w:r>
        <w:rPr>
          <w:rFonts w:ascii="Arial" w:hAnsi="Arial" w:eastAsia="Arial"/>
          <w:b w:val="0"/>
          <w:i w:val="0"/>
          <w:color w:val="000000"/>
          <w:sz w:val="24"/>
        </w:rPr>
      </w:r>
      <w:r>
        <w:rPr>
          <w:rFonts w:ascii="Arial" w:hAnsi="Arial" w:eastAsia="Arial"/>
          <w:b w:val="0"/>
          <w:i w:val="0"/>
          <w:color w:val="000000"/>
          <w:sz w:val="24"/>
        </w:rPr>
      </w:r>
    </w:p>
    <w:p>
      <w:pPr>
        <w:autoSpaceDN w:val="0"/>
        <w:autoSpaceDE w:val="0"/>
        <w:widowControl/>
        <w:spacing w:line="230" w:lineRule="auto" w:before="192" w:after="184"/>
        <w:ind w:left="0" w:right="0" w:firstLine="0"/>
        <w:jc w:val="left"/>
      </w:pPr>
      <w:r>
        <w:rPr>
          <w:rFonts w:ascii="Arial" w:hAnsi="Arial" w:eastAsia="Arial"/>
          <w:b/>
          <w:i w:val="0"/>
          <w:color w:val="000000"/>
          <w:sz w:val="24"/>
        </w:rPr>
        <w:t>Hisobot davri:</w:t>
      </w:r>
    </w:p>
    <w:tbl>
      <w:tblPr>
        <w:tblW w:type="auto" w:w="0"/>
        <w:tblLayout w:type="fixed"/>
        <w:tblLook w:firstColumn="1" w:firstRow="1" w:lastColumn="0" w:lastRow="0" w:noHBand="0" w:noVBand="1" w:val="04A0"/>
        <w:tblInd w:w="4.000000000000057" w:type="dxa"/>
      </w:tblPr>
      <w:tblGrid>
        <w:gridCol w:w="3149"/>
        <w:gridCol w:w="3149"/>
        <w:gridCol w:w="3149"/>
      </w:tblGrid>
      <w:tr>
        <w:trPr>
          <w:trHeight w:hRule="exact" w:val="470"/>
        </w:trPr>
        <w:tc>
          <w:tcPr>
            <w:tcW w:type="dxa" w:w="3122"/>
            <w:tcBorders>
              <w:start w:sz="4.0" w:val="single" w:color="#000000"/>
              <w:top w:sz="4.0" w:val="single" w:color="#000000"/>
              <w:end w:sz="3.2000000000000455" w:val="single" w:color="#000000"/>
              <w:bottom w:sz="4.0" w:val="single" w:color="#000000"/>
            </w:tcBorders>
            <w:shd w:fill="f1f2f1"/>
            <w:tcMar>
              <w:start w:w="0" w:type="dxa"/>
              <w:end w:w="0" w:type="dxa"/>
            </w:tcMar>
          </w:tcPr>
          <w:p>
            <w:pPr>
              <w:autoSpaceDN w:val="0"/>
              <w:autoSpaceDE w:val="0"/>
              <w:widowControl/>
              <w:spacing w:line="230" w:lineRule="auto" w:before="8" w:after="0"/>
              <w:ind w:left="104" w:right="0" w:firstLine="0"/>
              <w:jc w:val="left"/>
            </w:pPr>
            <w:r>
              <w:rPr>
                <w:rFonts w:ascii="Arial" w:hAnsi="Arial" w:eastAsia="Arial"/>
                <w:b w:val="0"/>
                <w:i w:val="0"/>
                <w:color w:val="000000"/>
                <w:sz w:val="24"/>
              </w:rPr>
              <w:t>Kim</w:t>
            </w:r>
          </w:p>
        </w:tc>
        <w:tc>
          <w:tcPr>
            <w:tcW w:type="dxa" w:w="3122"/>
            <w:tcBorders>
              <w:start w:sz="3.2000000000000455" w:val="single" w:color="#000000"/>
              <w:top w:sz="4.0" w:val="single" w:color="#000000"/>
              <w:end w:sz="4.0" w:val="single" w:color="#000000"/>
              <w:bottom w:sz="4.0" w:val="single" w:color="#000000"/>
            </w:tcBorders>
            <w:shd w:fill="f1f2f1"/>
            <w:tcMar>
              <w:start w:w="0" w:type="dxa"/>
              <w:end w:w="0" w:type="dxa"/>
            </w:tcMar>
          </w:tcPr>
          <w:p>
            <w:pPr>
              <w:autoSpaceDN w:val="0"/>
              <w:autoSpaceDE w:val="0"/>
              <w:widowControl/>
              <w:spacing w:line="230" w:lineRule="auto" w:before="8" w:after="0"/>
              <w:ind w:left="104" w:right="0" w:firstLine="0"/>
              <w:jc w:val="left"/>
            </w:pPr>
            <w:r>
              <w:rPr>
                <w:rFonts w:ascii="Arial" w:hAnsi="Arial" w:eastAsia="Arial"/>
                <w:b w:val="0"/>
                <w:i w:val="0"/>
                <w:color w:val="000000"/>
                <w:sz w:val="24"/>
              </w:rPr>
              <w:t>Kimga hisobot beradi</w:t>
            </w:r>
          </w:p>
        </w:tc>
        <w:tc>
          <w:tcPr>
            <w:tcW w:type="dxa" w:w="3120"/>
            <w:tcBorders>
              <w:start w:sz="4.0" w:val="single" w:color="#000000"/>
              <w:top w:sz="4.0" w:val="single" w:color="#000000"/>
              <w:end w:sz="4.0" w:val="single" w:color="#000000"/>
              <w:bottom w:sz="4.0" w:val="single" w:color="#000000"/>
            </w:tcBorders>
            <w:shd w:fill="f1f2f1"/>
            <w:tcMar>
              <w:start w:w="0" w:type="dxa"/>
              <w:end w:w="0" w:type="dxa"/>
            </w:tcMar>
          </w:tcPr>
          <w:p>
            <w:pPr>
              <w:autoSpaceDN w:val="0"/>
              <w:autoSpaceDE w:val="0"/>
              <w:widowControl/>
              <w:spacing w:line="230" w:lineRule="auto" w:before="8" w:after="0"/>
              <w:ind w:left="102" w:right="0" w:firstLine="0"/>
              <w:jc w:val="left"/>
            </w:pPr>
            <w:r>
              <w:rPr>
                <w:rFonts w:ascii="Arial" w:hAnsi="Arial" w:eastAsia="Arial"/>
                <w:b w:val="0"/>
                <w:i w:val="0"/>
                <w:color w:val="000000"/>
                <w:sz w:val="24"/>
              </w:rPr>
              <w:t>Davriylik</w:t>
            </w:r>
          </w:p>
        </w:tc>
      </w:tr>
      <w:tr>
        <w:trPr>
          <w:trHeight w:hRule="exact" w:val="468"/>
        </w:trPr>
        <w:tc>
          <w:tcPr>
            <w:tcW w:type="dxa" w:w="3122"/>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6" w:after="0"/>
              <w:ind w:left="104" w:right="0" w:firstLine="0"/>
              <w:jc w:val="left"/>
            </w:pPr>
            <w:r>
              <w:rPr>
                <w:rFonts w:ascii="Arial" w:hAnsi="Arial" w:eastAsia="Arial"/>
                <w:b w:val="0"/>
                <w:i w:val="0"/>
                <w:color w:val="000000"/>
                <w:sz w:val="24"/>
              </w:rPr>
              <w:t>Magistratura talabasi</w:t>
            </w:r>
          </w:p>
        </w:tc>
        <w:tc>
          <w:tcPr>
            <w:tcW w:type="dxa" w:w="312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 w:after="0"/>
              <w:ind w:left="104" w:right="0" w:firstLine="0"/>
              <w:jc w:val="left"/>
            </w:pPr>
            <w:r>
              <w:rPr>
                <w:rFonts w:ascii="Arial" w:hAnsi="Arial" w:eastAsia="Arial"/>
                <w:b w:val="0"/>
                <w:i w:val="0"/>
                <w:color w:val="000000"/>
                <w:sz w:val="24"/>
              </w:rPr>
              <w:t>Kafedra yig'ilishi</w:t>
            </w:r>
          </w:p>
        </w:tc>
        <w:tc>
          <w:tcPr>
            <w:tcW w:type="dxa" w:w="31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 w:after="0"/>
              <w:ind w:left="102" w:right="0" w:firstLine="0"/>
              <w:jc w:val="left"/>
            </w:pPr>
            <w:r>
              <w:rPr>
                <w:rFonts w:ascii="Arial" w:hAnsi="Arial" w:eastAsia="Arial"/>
                <w:b w:val="0"/>
                <w:i w:val="0"/>
                <w:color w:val="000000"/>
                <w:sz w:val="24"/>
              </w:rPr>
              <w:t>Oylik</w:t>
            </w:r>
          </w:p>
        </w:tc>
      </w:tr>
      <w:tr>
        <w:trPr>
          <w:trHeight w:hRule="exact" w:val="766"/>
        </w:trPr>
        <w:tc>
          <w:tcPr>
            <w:tcW w:type="dxa" w:w="3122"/>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230" w:lineRule="auto" w:before="2" w:after="0"/>
              <w:ind w:left="104" w:right="0" w:firstLine="0"/>
              <w:jc w:val="left"/>
            </w:pPr>
            <w:r>
              <w:rPr>
                <w:rFonts w:ascii="Arial" w:hAnsi="Arial" w:eastAsia="Arial"/>
                <w:b w:val="0"/>
                <w:i w:val="0"/>
                <w:color w:val="000000"/>
                <w:sz w:val="24"/>
              </w:rPr>
              <w:t>Kafedra mudiri</w:t>
            </w:r>
          </w:p>
        </w:tc>
        <w:tc>
          <w:tcPr>
            <w:tcW w:type="dxa" w:w="3122"/>
            <w:tcBorders>
              <w:start w:sz="3.2000000000000455" w:val="single" w:color="#000000"/>
              <w:top w:sz="4.0" w:val="single" w:color="#000000"/>
              <w:end w:sz="4.0" w:val="single" w:color="#000000"/>
              <w:bottom w:sz="4.0" w:val="single" w:color="#000000"/>
            </w:tcBorders>
            <w:tcMar>
              <w:start w:w="0" w:type="dxa"/>
              <w:end w:w="0" w:type="dxa"/>
            </w:tcMar>
          </w:tcPr>
          <w:p>
            <w:pPr>
              <w:autoSpaceDN w:val="0"/>
              <w:tabs>
                <w:tab w:pos="1700" w:val="left"/>
              </w:tabs>
              <w:autoSpaceDE w:val="0"/>
              <w:widowControl/>
              <w:spacing w:line="230" w:lineRule="auto" w:before="4" w:after="0"/>
              <w:ind w:left="104" w:right="0" w:firstLine="0"/>
              <w:jc w:val="left"/>
            </w:pPr>
            <w:r>
              <w:rPr>
                <w:rFonts w:ascii="Arial" w:hAnsi="Arial" w:eastAsia="Arial"/>
                <w:b w:val="0"/>
                <w:i w:val="0"/>
                <w:color w:val="000000"/>
                <w:sz w:val="24"/>
              </w:rPr>
              <w:t>Fakultetning o'quv-uslubiy kengashi</w:t>
            </w:r>
            <w:r/>
            <w:r>
              <w:rPr>
                <w:rFonts w:ascii="Arial" w:hAnsi="Arial" w:eastAsia="Arial"/>
                <w:b w:val="0"/>
                <w:i w:val="0"/>
                <w:color w:val="000000"/>
                <w:sz w:val="24"/>
              </w:rPr>
            </w:r>
          </w:p>
          <w:p>
            <w:pPr>
              <w:autoSpaceDN w:val="0"/>
              <w:autoSpaceDE w:val="0"/>
              <w:widowControl/>
              <w:spacing w:line="230" w:lineRule="auto" w:before="32" w:after="0"/>
              <w:ind w:left="104" w:right="0" w:firstLine="0"/>
              <w:jc w:val="left"/>
            </w:pPr>
            <w:r>
              <w:rPr>
                <w:rFonts w:ascii="Arial" w:hAnsi="Arial" w:eastAsia="Arial"/>
                <w:b w:val="0"/>
                <w:i w:val="0"/>
                <w:color w:val="000000"/>
                <w:sz w:val="24"/>
              </w:rPr>
            </w:r>
          </w:p>
        </w:tc>
        <w:tc>
          <w:tcPr>
            <w:tcW w:type="dxa" w:w="31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2" w:after="0"/>
              <w:ind w:left="102" w:right="0" w:firstLine="0"/>
              <w:jc w:val="left"/>
            </w:pPr>
            <w:r>
              <w:rPr>
                <w:rFonts w:ascii="Arial" w:hAnsi="Arial" w:eastAsia="Arial"/>
                <w:b w:val="0"/>
                <w:i w:val="0"/>
                <w:color w:val="000000"/>
                <w:sz w:val="24"/>
              </w:rPr>
              <w:t>Har semestr oxirida</w:t>
            </w:r>
          </w:p>
        </w:tc>
      </w:tr>
    </w:tbl>
    <w:p>
      <w:pPr>
        <w:autoSpaceDN w:val="0"/>
        <w:autoSpaceDE w:val="0"/>
        <w:widowControl/>
        <w:spacing w:line="252" w:lineRule="auto" w:before="6" w:after="0"/>
        <w:ind w:left="0" w:right="0" w:firstLine="0"/>
        <w:jc w:val="left"/>
      </w:pPr>
      <w:r>
        <w:rPr>
          <w:rFonts w:ascii="Arial" w:hAnsi="Arial" w:eastAsia="Arial"/>
          <w:b w:val="0"/>
          <w:i w:val="0"/>
          <w:color w:val="000000"/>
          <w:sz w:val="24"/>
        </w:rPr>
        <w:t>Kafedra mudiri semestrlik hisoboti kafedra magistratura talabalarining kalendar ish rejasi bajarilishini qamrab oladi, bu orqali fakultetning o'quv-uslubiy kengashiga 3-bo'lim bo'yicha qilingan o'quv yuklamasi majburiyatlarining amalda qanday bajarilayotganini nazorat qilish imkoniyatini beradi.</w:t>
      </w:r>
      <w:r>
        <w:rPr>
          <w:rFonts w:ascii="Arial" w:hAnsi="Arial" w:eastAsia="Arial"/>
          <w:b w:val="0"/>
          <w:i w:val="0"/>
          <w:color w:val="000000"/>
          <w:sz w:val="24"/>
        </w:rPr>
      </w:r>
      <w:r>
        <w:rPr>
          <w:rFonts w:ascii="Arial" w:hAnsi="Arial" w:eastAsia="Arial"/>
          <w:b w:val="0"/>
          <w:i w:val="0"/>
          <w:color w:val="000000"/>
          <w:sz w:val="24"/>
        </w:rPr>
      </w:r>
      <w:r>
        <w:rPr>
          <w:rFonts w:ascii="Arial" w:hAnsi="Arial" w:eastAsia="Arial"/>
          <w:b w:val="0"/>
          <w:i w:val="0"/>
          <w:color w:val="000000"/>
          <w:sz w:val="24"/>
        </w:rPr>
      </w:r>
    </w:p>
    <w:p>
      <w:pPr>
        <w:autoSpaceDN w:val="0"/>
        <w:autoSpaceDE w:val="0"/>
        <w:widowControl/>
        <w:spacing w:line="233" w:lineRule="auto" w:before="310" w:after="0"/>
        <w:ind w:left="0" w:right="0" w:firstLine="0"/>
        <w:jc w:val="left"/>
      </w:pPr>
      <w:r>
        <w:rPr>
          <w:rFonts w:ascii="Arial" w:hAnsi="Arial" w:eastAsia="Arial"/>
          <w:b/>
          <w:i w:val="0"/>
          <w:color w:val="000000"/>
          <w:sz w:val="24"/>
        </w:rPr>
        <w:t>8. Adabiyotlar</w:t>
      </w:r>
    </w:p>
    <w:p>
      <w:pPr>
        <w:autoSpaceDN w:val="0"/>
        <w:tabs>
          <w:tab w:pos="720" w:val="left"/>
        </w:tabs>
        <w:autoSpaceDE w:val="0"/>
        <w:widowControl/>
        <w:spacing w:line="250" w:lineRule="auto" w:before="132" w:after="0"/>
        <w:ind w:left="360" w:right="0" w:firstLine="0"/>
        <w:jc w:val="left"/>
      </w:pPr>
      <w:r>
        <w:rPr>
          <w:rFonts w:ascii="Arial" w:hAnsi="Arial" w:eastAsia="Arial"/>
          <w:b w:val="0"/>
          <w:i w:val="0"/>
          <w:color w:val="000000"/>
          <w:sz w:val="24"/>
        </w:rPr>
        <w:t xml:space="preserve">• </w:t>
        <w:tab/>
        <w:t>O'zbekiston Respublikasi Vazirlar Mahkamasining 824-son qarori "Oliy ta'lim muassasalarida o'quv jarayonini tashkil etish bilan bog'liq tizimni takomillashtirish chora-tadbirlari to'g'risida", Toshkent, 2020-yil 31-dekabr.</w:t>
      </w:r>
      <w:r/>
      <w:r>
        <w:rPr>
          <w:rFonts w:ascii="Arial" w:hAnsi="Arial" w:eastAsia="Arial"/>
          <w:b w:val="0"/>
          <w:i w:val="0"/>
          <w:color w:val="000000"/>
          <w:sz w:val="24"/>
        </w:rPr>
      </w:r>
      <w:r/>
      <w:r>
        <w:rPr>
          <w:rFonts w:ascii="Arial" w:hAnsi="Arial" w:eastAsia="Arial"/>
          <w:b w:val="0"/>
          <w:i w:val="0"/>
          <w:color w:val="000000"/>
          <w:sz w:val="24"/>
        </w:rPr>
      </w:r>
      <w:r/>
      <w:r>
        <w:rPr>
          <w:rFonts w:ascii="Arial" w:hAnsi="Arial" w:eastAsia="Arial"/>
          <w:b w:val="0"/>
          <w:i w:val="0"/>
          <w:color w:val="000000"/>
          <w:sz w:val="24"/>
        </w:rPr>
      </w:r>
    </w:p>
    <w:p>
      <w:pPr>
        <w:autoSpaceDN w:val="0"/>
        <w:autoSpaceDE w:val="0"/>
        <w:widowControl/>
        <w:spacing w:line="252" w:lineRule="auto" w:before="30" w:after="0"/>
        <w:ind w:left="1440" w:right="0" w:hanging="360"/>
        <w:jc w:val="left"/>
      </w:pPr>
      <w:r>
        <w:rPr>
          <w:rFonts w:ascii="Arial" w:hAnsi="Arial" w:eastAsia="Arial"/>
          <w:b w:val="0"/>
          <w:i w:val="0"/>
          <w:color w:val="000000"/>
          <w:sz w:val="24"/>
        </w:rPr>
        <w:t>o 1-ilova: Oliy ta'lim muassasalarida o'quv jarayoniga kredit-modul tizimini joriy etish tartibi to'g'risidagi nizom, 2-bob (Asosiy tushunchalar, 4-band: GPA formulasi), 4-bob (15-band: kredit-soat va o'quv yuklamasi hisoblash).</w:t>
      </w:r>
      <w:r>
        <w:rPr>
          <w:rFonts w:ascii="Arial" w:hAnsi="Arial" w:eastAsia="Arial"/>
          <w:b w:val="0"/>
          <w:i w:val="0"/>
          <w:color w:val="000000"/>
          <w:sz w:val="24"/>
        </w:rPr>
      </w:r>
      <w:r>
        <w:rPr>
          <w:rFonts w:ascii="Arial" w:hAnsi="Arial" w:eastAsia="Arial"/>
          <w:b w:val="0"/>
          <w:i w:val="0"/>
          <w:color w:val="000000"/>
          <w:sz w:val="24"/>
        </w:rPr>
      </w:r>
      <w:r>
        <w:rPr>
          <w:rFonts w:ascii="Arial" w:hAnsi="Arial" w:eastAsia="Arial"/>
          <w:b w:val="0"/>
          <w:i w:val="0"/>
          <w:color w:val="000000"/>
          <w:sz w:val="24"/>
        </w:rPr>
      </w:r>
    </w:p>
    <w:p>
      <w:pPr>
        <w:autoSpaceDN w:val="0"/>
        <w:tabs>
          <w:tab w:pos="720" w:val="left"/>
        </w:tabs>
        <w:autoSpaceDE w:val="0"/>
        <w:widowControl/>
        <w:spacing w:line="250" w:lineRule="auto" w:before="30" w:after="0"/>
        <w:ind w:left="360" w:right="0" w:firstLine="0"/>
        <w:jc w:val="left"/>
      </w:pPr>
      <w:r>
        <w:rPr>
          <w:rFonts w:ascii="Arial" w:hAnsi="Arial" w:eastAsia="Arial"/>
          <w:b w:val="0"/>
          <w:i w:val="0"/>
          <w:color w:val="000000"/>
          <w:sz w:val="24"/>
        </w:rPr>
        <w:t xml:space="preserve">• </w:t>
        <w:tab/>
        <w:t>O'zbekiston Respublikasi Vazirlar Mahkamasining 36-son qarori "Magistratura to'g'risidagi nizomni tasdiqlash haqida", 2015-yil 2-mart.</w:t>
      </w:r>
      <w:r/>
      <w:r>
        <w:rPr>
          <w:rFonts w:ascii="Arial" w:hAnsi="Arial" w:eastAsia="Arial"/>
          <w:b w:val="0"/>
          <w:i w:val="0"/>
          <w:color w:val="000000"/>
          <w:sz w:val="24"/>
        </w:rPr>
      </w:r>
      <w:r/>
      <w:r>
        <w:rPr>
          <w:rFonts w:ascii="Arial" w:hAnsi="Arial" w:eastAsia="Arial"/>
          <w:b w:val="0"/>
          <w:i w:val="0"/>
          <w:color w:val="000000"/>
          <w:sz w:val="24"/>
        </w:rPr>
      </w:r>
      <w:r/>
      <w:r>
        <w:rPr>
          <w:rFonts w:ascii="Arial" w:hAnsi="Arial" w:eastAsia="Arial"/>
          <w:b w:val="0"/>
          <w:i w:val="0"/>
          <w:color w:val="000000"/>
          <w:sz w:val="24"/>
        </w:rPr>
      </w:r>
    </w:p>
    <w:p>
      <w:pPr>
        <w:autoSpaceDN w:val="0"/>
        <w:autoSpaceDE w:val="0"/>
        <w:widowControl/>
        <w:spacing w:line="252" w:lineRule="auto" w:before="190" w:after="0"/>
        <w:ind w:left="0" w:right="20" w:firstLine="0"/>
        <w:jc w:val="both"/>
      </w:pPr>
      <w:r>
        <w:rPr>
          <w:rFonts w:ascii="Arial" w:hAnsi="Arial" w:eastAsia="Arial"/>
          <w:b w:val="0"/>
          <w:i/>
          <w:color w:val="000000"/>
          <w:sz w:val="24"/>
        </w:rPr>
        <w:t>Qo'shimcha material: ushbu yo'riqnoma universitetning umumiy "Kredit-modul tizimi bo'yicha talabalar o'quv yuklamasi bo'yicha yo'riqnoma direktivasi"ni to'ldiradi, u bakalavriat va magistratura o'quv yuklamasini birgalikda qamrab oladi; ushbu hujjat aynan magistratura darajasidagi hisoblash va tashkil etishga qaratilgan.</w:t>
      </w:r>
      <w:r>
        <w:rPr>
          <w:rFonts w:ascii="Arial" w:hAnsi="Arial" w:eastAsia="Arial"/>
          <w:b w:val="0"/>
          <w:i w:val="0"/>
          <w:color w:val="000000"/>
          <w:sz w:val="24"/>
        </w:rPr>
      </w:r>
      <w:r>
        <w:rPr>
          <w:rFonts w:ascii="Arial" w:hAnsi="Arial" w:eastAsia="Arial"/>
          <w:b w:val="0"/>
          <w:i w:val="0"/>
          <w:color w:val="000000"/>
          <w:sz w:val="24"/>
        </w:rPr>
      </w:r>
      <w:r>
        <w:rPr>
          <w:rFonts w:ascii="Arial" w:hAnsi="Arial" w:eastAsia="Arial"/>
          <w:b w:val="0"/>
          <w:i w:val="0"/>
          <w:color w:val="000000"/>
          <w:sz w:val="24"/>
        </w:rPr>
      </w:r>
      <w:r>
        <w:rPr>
          <w:rFonts w:ascii="Arial" w:hAnsi="Arial" w:eastAsia="Arial"/>
          <w:b w:val="0"/>
          <w:i w:val="0"/>
          <w:color w:val="000000"/>
          <w:sz w:val="24"/>
        </w:rPr>
      </w:r>
    </w:p>
    <w:sectPr w:rsidR="00FC693F" w:rsidRPr="0006063C" w:rsidSect="00034616">
      <w:pgSz w:w="12240" w:h="15840"/>
      <w:pgMar w:top="724" w:right="1352" w:bottom="10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