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8"/>
      </w:tblGrid>
      <w:tr>
        <w:trPr>
          <w:trHeight w:hRule="exact" w:val="322"/>
        </w:trPr>
        <w:tc>
          <w:tcPr>
            <w:tcW w:type="dxa" w:w="996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RASMIY TARJIMA</w:t>
            </w:r>
          </w:p>
        </w:tc>
      </w:tr>
    </w:tbl>
    <w:p>
      <w:pPr>
        <w:autoSpaceDN w:val="0"/>
        <w:autoSpaceDE w:val="0"/>
        <w:widowControl/>
        <w:spacing w:line="233" w:lineRule="auto" w:before="40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YO'RIQNOMA KO'RSATMASI: KREDIT-MODUL TIZIMIDA</w:t>
      </w:r>
    </w:p>
    <w:p>
      <w:pPr>
        <w:autoSpaceDN w:val="0"/>
        <w:autoSpaceDE w:val="0"/>
        <w:widowControl/>
        <w:spacing w:line="233" w:lineRule="auto" w:before="17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TALABA ISH YUKLAMASI</w:t>
      </w:r>
    </w:p>
    <w:p>
      <w:pPr>
        <w:autoSpaceDN w:val="0"/>
        <w:autoSpaceDE w:val="0"/>
        <w:widowControl/>
        <w:spacing w:line="233" w:lineRule="auto" w:before="1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O'quv ishlari bo'yicha prorektor nazorati ostida chiqarilgan</w:t>
      </w:r>
    </w:p>
    <w:p>
      <w:pPr>
        <w:autoSpaceDN w:val="0"/>
        <w:autoSpaceDE w:val="0"/>
        <w:widowControl/>
        <w:spacing w:line="233" w:lineRule="auto" w:before="316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 Maqsad va huquqiy asos</w:t>
      </w:r>
    </w:p>
    <w:p>
      <w:pPr>
        <w:autoSpaceDN w:val="0"/>
        <w:autoSpaceDE w:val="0"/>
        <w:widowControl/>
        <w:spacing w:line="254" w:lineRule="auto" w:before="134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Ushbu yo'riqnoma kredit-modul tizimida talaba ish yuklamasining qanday hisoblanishi, qayd etilishi va yetkazilishini belgilaydi hamda professor-o'qituvchilar, O'quv-uslubiy bo'lim va akademik maslahatchilarning uni izchil qo'llashdagi mas'uliyatlarini belgilaydi. U barcha bo'limlar, modul koordinatorlari va talabalar o'quv rejalarini, sillabus va baholashni rejalashtirishda yagona standartdan foydalanishi uchun o'quv ishlari bo'yicha prorektor nazorati ostida chiqarilgan.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19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Ish yuklamasi tizimi quyidagilarga asoslanadi:</w:t>
      </w:r>
    </w:p>
    <w:p>
      <w:pPr>
        <w:autoSpaceDN w:val="0"/>
        <w:autoSpaceDE w:val="0"/>
        <w:widowControl/>
        <w:spacing w:line="233" w:lineRule="auto" w:before="192" w:after="0"/>
        <w:ind w:left="3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1. O'zbekiston Respublikasi Vazirlar Mahkamasining</w:t>
      </w:r>
    </w:p>
    <w:p>
      <w:pPr>
        <w:autoSpaceDN w:val="0"/>
        <w:autoSpaceDE w:val="0"/>
        <w:widowControl/>
        <w:spacing w:line="254" w:lineRule="auto" w:before="34" w:after="0"/>
        <w:ind w:left="74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2020-yil 31-dekabrdagi 824-son "Oliy ta'lim muassasalarida o'quv jarayonini tashkil etish bilan bog'liq tizimni takomillashtirish chora-tadbirlari to'g'risida"gi qarori va uning 1-ilovasi - "Oliy ta'lim muassasalarida o'quv jarayoniga kredit-modul tizimini joriy etish tartibi to'g'risidagi nizom" ("Nizom").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tabs>
          <w:tab w:pos="748" w:val="left"/>
        </w:tabs>
        <w:autoSpaceDE w:val="0"/>
        <w:widowControl/>
        <w:spacing w:line="254" w:lineRule="auto" w:before="34" w:after="0"/>
        <w:ind w:left="3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2. O'zbekiston Respublikasi Prezidentining 2019-yil 8-oktabrdagi PF-5847-son </w:t>
        <w:tab/>
        <w:t xml:space="preserve">"2030-yilgacha O'zbekiston Respublikasi oliy ta'lim tizimini rivojlantirish </w:t>
        <w:tab/>
        <w:t xml:space="preserve">kontseptsiyasini tasdiqlash to'g'risida"gi Farmoni. 3. O'zbekiston Respublikasi Prezidentining 2020-yil 2-martdagi PF-5953-son </w:t>
        <w:tab/>
        <w:t xml:space="preserve">2017-2021-yillarda rivojlantirishning beshta ustuvor yo'nalishi bo'yicha </w:t>
        <w:tab/>
        <w:t>Harakatlar strategiyasi Davlat dasturi to'g'risidagi Farmoni.</w:t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2" w:lineRule="auto" w:before="192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2020/2021 o'quv yilidan boshlab, Yevropa kredit transfer va jamg'arish tizimiga (ECTS) asoslangan kredit-modul tizimi Nizom ilovasidagi olti bosqichli jadvalga muvofiq (8-bo'lim) universitetning o'quv jarayoniga bosqichma-bosqich joriy etilmoqda.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sectPr>
          <w:pgSz w:w="12240" w:h="15840"/>
          <w:pgMar w:top="360" w:right="80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80"/>
      </w:tblGrid>
      <w:tr>
        <w:trPr>
          <w:trHeight w:hRule="exact" w:val="322"/>
        </w:trPr>
        <w:tc>
          <w:tcPr>
            <w:tcW w:type="dxa" w:w="996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RASMIY TARJIMA</w:t>
            </w:r>
          </w:p>
        </w:tc>
      </w:tr>
    </w:tbl>
    <w:p>
      <w:pPr>
        <w:autoSpaceDN w:val="0"/>
        <w:autoSpaceDE w:val="0"/>
        <w:widowControl/>
        <w:spacing w:line="281" w:lineRule="auto" w:before="402" w:after="194"/>
        <w:ind w:left="28" w:right="4608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2. Asosiy ta'riflar</w:t>
        <w:br/>
        <w:t>Nizomning 2-bobida belgilanganidek:</w:t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4990"/>
        <w:gridCol w:w="4990"/>
      </w:tblGrid>
      <w:tr>
        <w:trPr>
          <w:trHeight w:hRule="exact" w:val="516"/>
        </w:trPr>
        <w:tc>
          <w:tcPr>
            <w:tcW w:type="dxa" w:w="30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Atama</w:t>
            </w:r>
          </w:p>
        </w:tc>
        <w:tc>
          <w:tcPr>
            <w:tcW w:type="dxa" w:w="6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Ta'rif</w:t>
            </w:r>
          </w:p>
        </w:tc>
      </w:tr>
      <w:tr>
        <w:trPr>
          <w:trHeight w:hRule="exact" w:val="1560"/>
        </w:trPr>
        <w:tc>
          <w:tcPr>
            <w:tcW w:type="dxa" w:w="30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Kredit</w:t>
            </w:r>
          </w:p>
        </w:tc>
        <w:tc>
          <w:tcPr>
            <w:tcW w:type="dxa" w:w="6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" w:after="0"/>
              <w:ind w:left="102" w:right="2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O'quv natijalari asosida talabaning fandan o'zlashtirgan o'quv yuklamasini o'lchash birligi; butun yoki kasr sonlarda ifodalanadi.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1908"/>
        </w:trPr>
        <w:tc>
          <w:tcPr>
            <w:tcW w:type="dxa" w:w="30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29"/>
              <w:gridCol w:w="1029"/>
              <w:gridCol w:w="1029"/>
            </w:tblGrid>
            <w:tr>
              <w:trPr>
                <w:trHeight w:hRule="exact" w:val="334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Study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load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13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(student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ish yuklamasi)</w:t>
            </w:r>
          </w:p>
        </w:tc>
        <w:tc>
          <w:tcPr>
            <w:tcW w:type="dxa" w:w="6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" w:after="0"/>
              <w:ind w:left="102" w:right="2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Talabaga kutilgan o'quv natijalariga erishish uchun kerak bo'ladigan soatlar soni - ma'ruzalar, amaliy mashg'ulotlar, seminarlar, laboratoriya ishlari, kurs loyihalari, amaliyotlar va mustaqil ish kabi barcha ta'lim faoliyati shakllari bo'yicha.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1214"/>
        </w:trPr>
        <w:tc>
          <w:tcPr>
            <w:tcW w:type="dxa" w:w="30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29"/>
              <w:gridCol w:w="1029"/>
              <w:gridCol w:w="1029"/>
            </w:tblGrid>
            <w:tr>
              <w:trPr>
                <w:trHeight w:hRule="exact" w:val="334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GPA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(Grade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16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Point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o'rtacha)</w:t>
            </w:r>
          </w:p>
        </w:tc>
        <w:tc>
          <w:tcPr>
            <w:tcW w:type="dxa" w:w="6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16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Talabaning baholarining kredit bilan tortilgan o'rtacha qiymati</w:t>
              <w:br/>
              <w:t>fan/modul kreditlari (formula 4-bo'limda).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1046"/>
              <w:gridCol w:w="1046"/>
              <w:gridCol w:w="1046"/>
              <w:gridCol w:w="1046"/>
              <w:gridCol w:w="1046"/>
              <w:gridCol w:w="1046"/>
            </w:tblGrid>
            <w:tr>
              <w:trPr>
                <w:trHeight w:hRule="exact" w:val="348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5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across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a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program,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weighted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by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16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each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1210"/>
        </w:trPr>
        <w:tc>
          <w:tcPr>
            <w:tcW w:type="dxa" w:w="30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Ta'lim elementi</w:t>
            </w:r>
          </w:p>
        </w:tc>
        <w:tc>
          <w:tcPr>
            <w:tcW w:type="dxa" w:w="6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" w:after="0"/>
              <w:ind w:left="102" w:right="2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Ta'lim dasturi doirasidagi o'quv natijalari va dasturda belgilangan bilimlarga hissa qo'shadigan o'qitish turi.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1214"/>
        </w:trPr>
        <w:tc>
          <w:tcPr>
            <w:tcW w:type="dxa" w:w="30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Modul/fan </w:t>
              <w:br/>
              <w:t>dasturi (sillabus)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6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8" w:after="0"/>
              <w:ind w:left="102" w:right="2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Har bir fan uchun ishlab chiqilgan ishchi dastur bo'lib, unda o'quv natijalari, kredit taqsimoti va baholash mezonlari ko'rsatilgan.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1562"/>
        </w:trPr>
        <w:tc>
          <w:tcPr>
            <w:tcW w:type="dxa" w:w="30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Akademik mobillik</w:t>
            </w:r>
          </w:p>
        </w:tc>
        <w:tc>
          <w:tcPr>
            <w:tcW w:type="dxa" w:w="6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" w:after="0"/>
              <w:ind w:left="102" w:right="2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Talabaning belgilangan muddat uchun respublika ichida yoki xorijdagi boshqa oliy ta'lim muassasasiga o'tishi, qaytganda kreditlar tan olinadi.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1214"/>
        </w:trPr>
        <w:tc>
          <w:tcPr>
            <w:tcW w:type="dxa" w:w="30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Kreditlarni jamg'arish / o'tkazish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6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1255"/>
              <w:gridCol w:w="1255"/>
              <w:gridCol w:w="1255"/>
              <w:gridCol w:w="1255"/>
              <w:gridCol w:w="1255"/>
            </w:tblGrid>
            <w:tr>
              <w:trPr>
                <w:trHeight w:hRule="exact" w:val="332"/>
              </w:trPr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Accumulating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credit 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units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earned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12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through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ta'lim va bir muassasada olingan kreditlarni boshqa muassasada malaka uchun tan olish.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1192"/>
        </w:trPr>
        <w:tc>
          <w:tcPr>
            <w:tcW w:type="dxa" w:w="308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Transkript</w:t>
            </w:r>
          </w:p>
        </w:tc>
        <w:tc>
          <w:tcPr>
            <w:tcW w:type="dxa" w:w="6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" w:after="0"/>
              <w:ind w:left="102" w:right="2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Belgilangan formatdagi hujjat bo'lib, unda o'qish davrida olingan fanlar, kreditlar va baholar (harflar va raqamlarda) ro'yxati keltirilgan.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848" w:bottom="91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22"/>
        </w:trPr>
        <w:tc>
          <w:tcPr>
            <w:tcW w:type="dxa" w:w="996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RASMIY TARJIMA</w:t>
            </w:r>
          </w:p>
        </w:tc>
      </w:tr>
    </w:tbl>
    <w:p>
      <w:pPr>
        <w:autoSpaceDN w:val="0"/>
        <w:autoSpaceDE w:val="0"/>
        <w:widowControl/>
        <w:spacing w:line="233" w:lineRule="auto" w:before="402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3. Talaba ish yuklamasini hisoblash</w:t>
      </w:r>
    </w:p>
    <w:p>
      <w:pPr>
        <w:autoSpaceDN w:val="0"/>
        <w:autoSpaceDE w:val="0"/>
        <w:widowControl/>
        <w:spacing w:line="252" w:lineRule="auto" w:before="134" w:after="0"/>
        <w:ind w:left="28" w:right="2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Nizomning 15-bandi quyidagi parametrlarni belgilaydi. Modul koordinatorlari ish yuklamasini hisoblash va kreditlarni taqsimlashda ulardan foydalanishi shart, universitet kengashi esa aniq raqamlarni ushbu oraliqlar doirasida belgilaydi va ularni universitet veb-saytida e'lon qiladi.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45" w:lineRule="auto" w:before="194" w:after="0"/>
        <w:ind w:left="28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Har bir kreditga to'g'ri keladigan soatlar. 1 kredit o'rtacha 25-30 akademik soat o'quv yuklamasiga teng.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194" w:after="19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Auditoriya va mustaqil ish soatlarining nisbati: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411"/>
        <w:gridCol w:w="3411"/>
        <w:gridCol w:w="3411"/>
      </w:tblGrid>
      <w:tr>
        <w:trPr>
          <w:trHeight w:hRule="exact" w:val="518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Daraja darajasi</w:t>
            </w:r>
          </w:p>
        </w:tc>
        <w:tc>
          <w:tcPr>
            <w:tcW w:type="dxa" w:w="31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Auditoriya soatlari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Mustaqil ish soatlari</w:t>
            </w:r>
          </w:p>
        </w:tc>
      </w:tr>
      <w:tr>
        <w:trPr>
          <w:trHeight w:hRule="exact" w:val="518"/>
        </w:trPr>
        <w:tc>
          <w:tcPr>
            <w:tcW w:type="dxa" w:w="312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Bakalavr</w:t>
            </w:r>
          </w:p>
        </w:tc>
        <w:tc>
          <w:tcPr>
            <w:tcW w:type="dxa" w:w="312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40-50% </w:t>
            </w:r>
          </w:p>
        </w:tc>
        <w:tc>
          <w:tcPr>
            <w:tcW w:type="dxa" w:w="3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50-60% </w:t>
            </w:r>
          </w:p>
        </w:tc>
      </w:tr>
      <w:tr>
        <w:trPr>
          <w:trHeight w:hRule="exact" w:val="1212"/>
        </w:trPr>
        <w:tc>
          <w:tcPr>
            <w:tcW w:type="dxa" w:w="312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2" w:val="left"/>
              </w:tabs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Magistratura (amaliyot </w:t>
              <w:br/>
              <w:t xml:space="preserve">va bitiruv loyihalari </w:t>
              <w:br/>
              <w:t>bundan mustasno)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  <w:p>
            <w:pPr>
              <w:autoSpaceDN w:val="0"/>
              <w:tabs>
                <w:tab w:pos="2538" w:val="left"/>
              </w:tabs>
              <w:autoSpaceDE w:val="0"/>
              <w:widowControl/>
              <w:spacing w:line="233" w:lineRule="auto" w:before="3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31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30-40% </w:t>
            </w:r>
          </w:p>
        </w:tc>
        <w:tc>
          <w:tcPr>
            <w:tcW w:type="dxa" w:w="3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60-70%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8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Davrga belgilangan kredit yuklamasi. Har semestrda 30 kredit; har o'quv yilida 60 kredit, bakalavr va magistratura dasturlari uchun bir xil.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196" w:after="188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Darajani olish uchun talab qilinadigan umumiy kreditlar: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411"/>
        <w:gridCol w:w="3411"/>
        <w:gridCol w:w="3411"/>
      </w:tblGrid>
      <w:tr>
        <w:trPr>
          <w:trHeight w:hRule="exact" w:val="518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Daraja</w:t>
            </w:r>
          </w:p>
        </w:tc>
        <w:tc>
          <w:tcPr>
            <w:tcW w:type="dxa" w:w="31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Minimal muddat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Umumiy kreditlar</w:t>
            </w:r>
          </w:p>
        </w:tc>
      </w:tr>
      <w:tr>
        <w:trPr>
          <w:trHeight w:hRule="exact" w:val="518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Bakalavr</w:t>
            </w:r>
          </w:p>
        </w:tc>
        <w:tc>
          <w:tcPr>
            <w:tcW w:type="dxa" w:w="31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3 yil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</w:tr>
      <w:tr>
        <w:trPr>
          <w:trHeight w:hRule="exact" w:val="518"/>
        </w:trPr>
        <w:tc>
          <w:tcPr>
            <w:tcW w:type="dxa" w:w="312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Bakalavr</w:t>
            </w:r>
          </w:p>
        </w:tc>
        <w:tc>
          <w:tcPr>
            <w:tcW w:type="dxa" w:w="31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4 yil</w:t>
            </w:r>
          </w:p>
        </w:tc>
        <w:tc>
          <w:tcPr>
            <w:tcW w:type="dxa" w:w="3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240 </w:t>
            </w:r>
          </w:p>
        </w:tc>
      </w:tr>
      <w:tr>
        <w:trPr>
          <w:trHeight w:hRule="exact" w:val="520"/>
        </w:trPr>
        <w:tc>
          <w:tcPr>
            <w:tcW w:type="dxa" w:w="312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Magistratura</w:t>
            </w:r>
          </w:p>
        </w:tc>
        <w:tc>
          <w:tcPr>
            <w:tcW w:type="dxa" w:w="312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1 yil</w:t>
            </w:r>
          </w:p>
        </w:tc>
        <w:tc>
          <w:tcPr>
            <w:tcW w:type="dxa" w:w="3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60 </w:t>
            </w:r>
          </w:p>
        </w:tc>
      </w:tr>
      <w:tr>
        <w:trPr>
          <w:trHeight w:hRule="exact" w:val="51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Magistratura</w:t>
            </w:r>
          </w:p>
        </w:tc>
        <w:tc>
          <w:tcPr>
            <w:tcW w:type="dxa" w:w="31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2 yil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120 </w:t>
            </w:r>
          </w:p>
        </w:tc>
      </w:tr>
    </w:tbl>
    <w:p>
      <w:pPr>
        <w:autoSpaceDN w:val="0"/>
        <w:autoSpaceDE w:val="0"/>
        <w:widowControl/>
        <w:spacing w:line="250" w:lineRule="auto" w:before="2" w:after="0"/>
        <w:ind w:left="28" w:right="226" w:firstLine="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>O'quv yili tuzilmasi. 36 haftagacha: 30 hafta dars o'tish, 2 hafta fan tanlash ro'yxatdan o'tishi va 4 hafta attestatsiya (imtihon) davrlari uchun, agar universitet kengashi boshqa jadval belgilamasa.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45" w:lineRule="auto" w:before="194" w:after="0"/>
        <w:ind w:left="2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Professor-o'qituvchilar va modul koordinatorlari fan dasturlarini (sillabuslarni) tuzish yoki qayta ko'rib chiqishda har bir fanning kredit qiymatini ushbu nisbatlarga muvofiq ifodalashlari shart.</w:t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314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4. GPA ni hisoblash</w:t>
      </w:r>
    </w:p>
    <w:p>
      <w:pPr>
        <w:autoSpaceDN w:val="0"/>
        <w:autoSpaceDE w:val="0"/>
        <w:widowControl/>
        <w:spacing w:line="247" w:lineRule="auto" w:before="136" w:after="0"/>
        <w:ind w:left="2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GPA - bu hisobot davrida talabaning barcha fanlar/modullar bo'yicha baholarining kredit bilan tortilgan o'rtacha qiymati (Nizom, 2-bob, 4-band):</w:t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sectPr>
          <w:pgSz w:w="12240" w:h="15840"/>
          <w:pgMar w:top="360" w:right="594" w:bottom="76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4718050</wp:posOffset>
            </wp:positionH>
            <wp:positionV relativeFrom="page">
              <wp:posOffset>863600</wp:posOffset>
            </wp:positionV>
            <wp:extent cx="1007110" cy="64404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110" cy="64404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</w:tblGrid>
      <w:tr>
        <w:trPr>
          <w:trHeight w:hRule="exact" w:val="322"/>
        </w:trPr>
        <w:tc>
          <w:tcPr>
            <w:tcW w:type="dxa" w:w="3148"/>
            <w:tcBorders/>
            <w:shd w:fill="ffc000"/>
            <w:tcMar>
              <w:start w:w="0" w:type="dxa"/>
              <w:end w:w="0" w:type="dxa"/>
            </w:tcMar>
          </w:tcPr>
          <w:p/>
        </w:tc>
        <w:tc>
          <w:tcPr>
            <w:tcW w:type="dxa" w:w="4340"/>
            <w:gridSpan w:val="15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RASMIY TARJIMA</w:t>
            </w:r>
          </w:p>
        </w:tc>
        <w:tc>
          <w:tcPr>
            <w:tcW w:type="dxa" w:w="162"/>
            <w:tcBorders/>
            <w:shd w:fill="ffc00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6"/>
        </w:trPr>
        <w:tc>
          <w:tcPr>
            <w:tcW w:type="dxa" w:w="3148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52" w:after="0"/>
              <w:ind w:left="0" w:right="16" w:firstLine="0"/>
              <w:jc w:val="right"/>
            </w:pPr>
            <w:r>
              <w:rPr>
                <w:w w:val="98.73471115574692"/>
                <w:rFonts w:ascii="Times New Roman" w:hAnsi="Times New Roman" w:eastAsia="Times New Roman"/>
                <w:b w:val="0"/>
                <w:i/>
                <w:color w:val="000000"/>
                <w:sz w:val="33"/>
              </w:rPr>
              <w:t>GPA</w:t>
            </w:r>
          </w:p>
        </w:tc>
        <w:tc>
          <w:tcPr>
            <w:tcW w:type="dxa" w:w="290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16" w:after="0"/>
              <w:ind w:left="0" w:right="0" w:firstLine="0"/>
              <w:jc w:val="center"/>
            </w:pPr>
            <w:r>
              <w:rPr>
                <w:w w:val="98.73471115574692"/>
                <w:rFonts w:ascii="Symbol" w:hAnsi="Symbol" w:eastAsia="Symbol"/>
                <w:b w:val="0"/>
                <w:i w:val="0"/>
                <w:color w:val="000000"/>
                <w:sz w:val="33"/>
              </w:rPr>
              <w:t></w:t>
            </w:r>
          </w:p>
        </w:tc>
        <w:tc>
          <w:tcPr>
            <w:tcW w:type="dxa" w:w="650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" w:val="left"/>
                <w:tab w:pos="546" w:val="left"/>
              </w:tabs>
              <w:autoSpaceDE w:val="0"/>
              <w:widowControl/>
              <w:spacing w:line="262" w:lineRule="auto" w:before="398" w:after="0"/>
              <w:ind w:left="38" w:right="0" w:firstLine="0"/>
              <w:jc w:val="left"/>
            </w:pPr>
            <w:r>
              <w:rPr>
                <w:w w:val="98.73471115574692"/>
                <w:rFonts w:ascii="Times New Roman" w:hAnsi="Times New Roman" w:eastAsia="Times New Roman"/>
                <w:b w:val="0"/>
                <w:i/>
                <w:color w:val="000000"/>
                <w:sz w:val="33"/>
              </w:rPr>
              <w:t xml:space="preserve">K 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1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320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6" w:after="0"/>
              <w:ind w:left="0" w:right="0" w:firstLine="0"/>
              <w:jc w:val="center"/>
            </w:pPr>
            <w:r>
              <w:rPr>
                <w:w w:val="98.73471115574692"/>
                <w:rFonts w:ascii="Symbol" w:hAnsi="Symbol" w:eastAsia="Symbol"/>
                <w:b w:val="0"/>
                <w:i w:val="0"/>
                <w:color w:val="000000"/>
                <w:sz w:val="33"/>
              </w:rPr>
              <w:t></w:t>
            </w:r>
          </w:p>
        </w:tc>
        <w:tc>
          <w:tcPr>
            <w:tcW w:type="dxa" w:w="540"/>
            <w:gridSpan w:val="2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8" w:after="0"/>
              <w:ind w:left="0" w:right="0" w:firstLine="0"/>
              <w:jc w:val="center"/>
            </w:pPr>
            <w:r>
              <w:rPr>
                <w:w w:val="98.73471115574692"/>
                <w:rFonts w:ascii="Times New Roman" w:hAnsi="Times New Roman" w:eastAsia="Times New Roman"/>
                <w:b w:val="0"/>
                <w:i/>
                <w:color w:val="000000"/>
                <w:sz w:val="33"/>
              </w:rPr>
              <w:t xml:space="preserve">K 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60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60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6" w:after="0"/>
              <w:ind w:left="0" w:right="0" w:firstLine="0"/>
              <w:jc w:val="center"/>
            </w:pPr>
            <w:r>
              <w:rPr>
                <w:w w:val="98.73471115574692"/>
                <w:rFonts w:ascii="Symbol" w:hAnsi="Symbol" w:eastAsia="Symbol"/>
                <w:b w:val="0"/>
                <w:i w:val="0"/>
                <w:color w:val="000000"/>
                <w:sz w:val="33"/>
              </w:rPr>
              <w:t></w:t>
            </w:r>
          </w:p>
        </w:tc>
        <w:tc>
          <w:tcPr>
            <w:tcW w:type="dxa" w:w="560"/>
            <w:gridSpan w:val="3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8" w:after="0"/>
              <w:ind w:left="0" w:right="0" w:firstLine="0"/>
              <w:jc w:val="center"/>
            </w:pPr>
            <w:r>
              <w:rPr>
                <w:w w:val="98.73471115574692"/>
                <w:rFonts w:ascii="Times New Roman" w:hAnsi="Times New Roman" w:eastAsia="Times New Roman"/>
                <w:b w:val="0"/>
                <w:i/>
                <w:color w:val="000000"/>
                <w:sz w:val="33"/>
              </w:rPr>
              <w:t xml:space="preserve">K 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40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60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6" w:after="0"/>
              <w:ind w:left="0" w:right="0" w:firstLine="0"/>
              <w:jc w:val="center"/>
            </w:pPr>
            <w:r>
              <w:rPr>
                <w:w w:val="98.73471115574692"/>
                <w:rFonts w:ascii="Symbol" w:hAnsi="Symbol" w:eastAsia="Symbol"/>
                <w:b w:val="0"/>
                <w:i w:val="0"/>
                <w:color w:val="000000"/>
                <w:sz w:val="33"/>
              </w:rPr>
              <w:t></w:t>
            </w:r>
          </w:p>
        </w:tc>
        <w:tc>
          <w:tcPr>
            <w:tcW w:type="dxa" w:w="260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6" w:after="0"/>
              <w:ind w:left="0" w:right="0" w:firstLine="0"/>
              <w:jc w:val="right"/>
            </w:pPr>
            <w:r>
              <w:rPr>
                <w:w w:val="98.73471115574692"/>
                <w:rFonts w:ascii="Symbol" w:hAnsi="Symbol" w:eastAsia="Symbol"/>
                <w:b w:val="0"/>
                <w:i w:val="0"/>
                <w:color w:val="000000"/>
                <w:sz w:val="33"/>
              </w:rPr>
              <w:t></w:t>
            </w:r>
          </w:p>
        </w:tc>
        <w:tc>
          <w:tcPr>
            <w:tcW w:type="dxa" w:w="640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8" w:after="0"/>
              <w:ind w:left="86" w:right="0" w:firstLine="0"/>
              <w:jc w:val="left"/>
            </w:pPr>
            <w:r>
              <w:rPr>
                <w:w w:val="98.73471115574692"/>
                <w:rFonts w:ascii="Times New Roman" w:hAnsi="Times New Roman" w:eastAsia="Times New Roman"/>
                <w:b w:val="0"/>
                <w:i/>
                <w:color w:val="000000"/>
                <w:sz w:val="33"/>
              </w:rPr>
              <w:t xml:space="preserve">K U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n</w:t>
            </w:r>
          </w:p>
        </w:tc>
        <w:tc>
          <w:tcPr>
            <w:tcW w:type="dxa" w:w="162"/>
            <w:tcBorders>
              <w:bottom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n</w:t>
            </w:r>
          </w:p>
        </w:tc>
      </w:tr>
      <w:tr>
        <w:trPr>
          <w:trHeight w:hRule="exact" w:val="516"/>
        </w:trPr>
        <w:tc>
          <w:tcPr>
            <w:tcW w:type="dxa" w:w="3148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8" w:after="0"/>
              <w:ind w:left="0" w:right="0" w:firstLine="0"/>
              <w:jc w:val="center"/>
            </w:pPr>
            <w:r>
              <w:rPr>
                <w:w w:val="98.73471115574692"/>
                <w:rFonts w:ascii="Times New Roman" w:hAnsi="Times New Roman" w:eastAsia="Times New Roman"/>
                <w:b w:val="0"/>
                <w:i/>
                <w:color w:val="000000"/>
                <w:sz w:val="33"/>
              </w:rPr>
              <w:t xml:space="preserve">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30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w w:val="98.73471115574692"/>
                <w:rFonts w:ascii="Symbol" w:hAnsi="Symbol" w:eastAsia="Symbol"/>
                <w:b w:val="0"/>
                <w:i w:val="0"/>
                <w:color w:val="000000"/>
                <w:sz w:val="33"/>
              </w:rPr>
              <w:t></w:t>
            </w:r>
          </w:p>
        </w:tc>
        <w:tc>
          <w:tcPr>
            <w:tcW w:type="dxa" w:w="24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w w:val="98.73471115574692"/>
                <w:rFonts w:ascii="Times New Roman" w:hAnsi="Times New Roman" w:eastAsia="Times New Roman"/>
                <w:b w:val="0"/>
                <w:i/>
                <w:color w:val="000000"/>
                <w:sz w:val="33"/>
              </w:rPr>
              <w:t>K</w:t>
            </w:r>
          </w:p>
        </w:tc>
        <w:tc>
          <w:tcPr>
            <w:tcW w:type="dxa" w:w="16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6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w w:val="98.73471115574692"/>
                <w:rFonts w:ascii="Symbol" w:hAnsi="Symbol" w:eastAsia="Symbol"/>
                <w:b w:val="0"/>
                <w:i w:val="0"/>
                <w:color w:val="000000"/>
                <w:sz w:val="33"/>
              </w:rPr>
              <w:t></w:t>
            </w:r>
          </w:p>
        </w:tc>
        <w:tc>
          <w:tcPr>
            <w:tcW w:type="dxa" w:w="26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w w:val="98.73471115574692"/>
                <w:rFonts w:ascii="Times New Roman" w:hAnsi="Times New Roman" w:eastAsia="Times New Roman"/>
                <w:b w:val="0"/>
                <w:i/>
                <w:color w:val="000000"/>
                <w:sz w:val="33"/>
              </w:rPr>
              <w:t>K</w:t>
            </w:r>
          </w:p>
        </w:tc>
        <w:tc>
          <w:tcPr>
            <w:tcW w:type="dxa" w:w="14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300"/>
            <w:gridSpan w:val="2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w w:val="98.73471115574692"/>
                <w:rFonts w:ascii="Symbol" w:hAnsi="Symbol" w:eastAsia="Symbol"/>
                <w:b w:val="0"/>
                <w:i w:val="0"/>
                <w:color w:val="000000"/>
                <w:sz w:val="33"/>
              </w:rPr>
              <w:t></w:t>
            </w:r>
          </w:p>
        </w:tc>
        <w:tc>
          <w:tcPr>
            <w:tcW w:type="dxa" w:w="26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w w:val="98.73471115574692"/>
                <w:rFonts w:ascii="Symbol" w:hAnsi="Symbol" w:eastAsia="Symbol"/>
                <w:b w:val="0"/>
                <w:i w:val="0"/>
                <w:color w:val="000000"/>
                <w:sz w:val="33"/>
              </w:rPr>
              <w:t></w:t>
            </w:r>
          </w:p>
        </w:tc>
        <w:tc>
          <w:tcPr>
            <w:tcW w:type="dxa" w:w="26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w w:val="98.73471115574692"/>
                <w:rFonts w:ascii="Times New Roman" w:hAnsi="Times New Roman" w:eastAsia="Times New Roman"/>
                <w:b w:val="0"/>
                <w:i/>
                <w:color w:val="000000"/>
                <w:sz w:val="33"/>
              </w:rPr>
              <w:t>K</w:t>
            </w:r>
          </w:p>
        </w:tc>
        <w:tc>
          <w:tcPr>
            <w:tcW w:type="dxa" w:w="640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2" w:after="0"/>
              <w:ind w:left="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n</w:t>
            </w:r>
          </w:p>
        </w:tc>
        <w:tc>
          <w:tcPr>
            <w:tcW w:type="dxa" w:w="162"/>
            <w:tcBorders>
              <w:top w:sz="6.14229297637939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13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bu yerda:</w:t>
      </w:r>
    </w:p>
    <w:p>
      <w:pPr>
        <w:autoSpaceDN w:val="0"/>
        <w:autoSpaceDE w:val="0"/>
        <w:widowControl/>
        <w:spacing w:line="247" w:lineRule="auto" w:before="192" w:after="0"/>
        <w:ind w:left="388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• K - har bir fan/modulga ajratilgan kreditlar soni; • U - talabaning har bir fan/modulda olgan bahosi.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45" w:lineRule="auto" w:before="196" w:after="70"/>
        <w:ind w:left="28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Misol. Talaba semestrda uchta fanni tugatadi: 5 kredit 4,0 baho bilan, 3 kredit 3,5 baho bilan va 4 kredit 5,0 baho bilan.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</w:tblGrid>
      <w:tr>
        <w:trPr>
          <w:trHeight w:hRule="exact" w:val="49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GPA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4.0 </w:t>
            </w:r>
            <w:r>
              <w:rPr>
                <w:w w:val="101.15663594213025"/>
                <w:rFonts w:ascii="Symbol" w:hAnsi="Symbol" w:eastAsia="Symbol"/>
                <w:b w:val="0"/>
                <w:i w:val="0"/>
                <w:color w:val="000000"/>
                <w:sz w:val="29"/>
              </w:rPr>
              <w:t>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3.5 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  <w:tab w:pos="1156" w:val="left"/>
              </w:tabs>
              <w:autoSpaceDE w:val="0"/>
              <w:widowControl/>
              <w:spacing w:line="269" w:lineRule="auto" w:before="60" w:after="0"/>
              <w:ind w:left="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4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5.0 / 5</w:t>
            </w:r>
            <w:r>
              <w:rPr>
                <w:w w:val="101.15663594213025"/>
                <w:rFonts w:ascii="Symbol" w:hAnsi="Symbol" w:eastAsia="Symbol"/>
                <w:b w:val="0"/>
                <w:i w:val="0"/>
                <w:color w:val="000000"/>
                <w:sz w:val="29"/>
              </w:rPr>
              <w:t></w:t>
            </w:r>
            <w:r>
              <w:tab/>
            </w:r>
            <w:r>
              <w:rPr>
                <w:w w:val="101.15663594213025"/>
                <w:rFonts w:ascii="Symbol" w:hAnsi="Symbol" w:eastAsia="Symbol"/>
                <w:b w:val="0"/>
                <w:i w:val="0"/>
                <w:color w:val="000000"/>
                <w:sz w:val="29"/>
              </w:rPr>
              <w:t>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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4 </w:t>
            </w:r>
            <w:r>
              <w:rPr>
                <w:w w:val="101.15663594213025"/>
                <w:rFonts w:ascii="Symbol" w:hAnsi="Symbol" w:eastAsia="Symbol"/>
                <w:b w:val="0"/>
                <w:i w:val="0"/>
                <w:color w:val="000000"/>
                <w:sz w:val="29"/>
              </w:rPr>
              <w:t>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20 </w:t>
            </w:r>
            <w:r>
              <w:rPr>
                <w:w w:val="101.15663594213025"/>
                <w:rFonts w:ascii="Symbol" w:hAnsi="Symbol" w:eastAsia="Symbol"/>
                <w:b w:val="0"/>
                <w:i w:val="0"/>
                <w:color w:val="000000"/>
                <w:sz w:val="29"/>
              </w:rPr>
              <w:t>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10.5 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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20 / 12 </w:t>
            </w:r>
            <w:r>
              <w:rPr>
                <w:w w:val="101.15663594213025"/>
                <w:rFonts w:ascii="Symbol" w:hAnsi="Symbol" w:eastAsia="Symbol"/>
                <w:b w:val="0"/>
                <w:i w:val="0"/>
                <w:color w:val="000000"/>
                <w:sz w:val="29"/>
              </w:rPr>
              <w:t>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50.5 / 12 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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4.21</w:t>
            </w:r>
          </w:p>
        </w:tc>
      </w:tr>
    </w:tbl>
    <w:p>
      <w:pPr>
        <w:autoSpaceDN w:val="0"/>
        <w:autoSpaceDE w:val="0"/>
        <w:widowControl/>
        <w:spacing w:line="245" w:lineRule="auto" w:before="32" w:after="0"/>
        <w:ind w:left="28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GPA shuningdek kursdan kursga o'tishni ham boshqaradi (7-bo'lim): universitet kengashi keyingi kursga o'tish uchun zarur bo'lgan minimal GPA ni 2,4-3,0 oralig'ida belgilaydi.</w:t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314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5. Professor-o'qituvchilar mas'uliyati</w:t>
      </w:r>
    </w:p>
    <w:p>
      <w:pPr>
        <w:autoSpaceDN w:val="0"/>
        <w:autoSpaceDE w:val="0"/>
        <w:widowControl/>
        <w:spacing w:line="233" w:lineRule="auto" w:before="13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Fan yoki modul uchun mas'ul professor-o'qituvchilar quyidagilarni bajarishlari shart:</w:t>
      </w:r>
    </w:p>
    <w:p>
      <w:pPr>
        <w:autoSpaceDN w:val="0"/>
        <w:tabs>
          <w:tab w:pos="748" w:val="left"/>
        </w:tabs>
        <w:autoSpaceDE w:val="0"/>
        <w:widowControl/>
        <w:spacing w:line="254" w:lineRule="auto" w:before="192" w:after="0"/>
        <w:ind w:left="388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1. O'quv rejasida ko'rsatilgan o'quv natijalari, qo'llaniladigan o'qitish </w:t>
        <w:tab/>
        <w:t xml:space="preserve">usullari va baholash jarayoni o'rtasida konstruktiv moslikni ta'minlash </w:t>
        <w:tab/>
        <w:t xml:space="preserve">(10-band) - har bir ta'lim dasturi uchun asosiy sifat talabi. 2. Guruh mentori va O'quv-uslubiy bo'lim bilan birgalikda talabalarga </w:t>
        <w:tab/>
        <w:t xml:space="preserve">shaxsiy o'quv traektoriyalarini tuzish va sozlashda maslahat berish hamda </w:t>
        <w:tab/>
        <w:t xml:space="preserve">oldingi yutuqlar va tajribani qanday tan olish mumkinligini tushuntirish </w:t>
        <w:tab/>
        <w:t>(8-band).</w:t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tabs>
          <w:tab w:pos="748" w:val="left"/>
        </w:tabs>
        <w:autoSpaceDE w:val="0"/>
        <w:widowControl/>
        <w:spacing w:line="247" w:lineRule="auto" w:before="32" w:after="0"/>
        <w:ind w:left="388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3. Fan ro'yxatdan o'tishi boshlanishidan oldin birinchi kurs </w:t>
        <w:tab/>
        <w:t xml:space="preserve">talabalari uchun o'z fanlari bo'yicha kirish taqdimotlarini o'tkazish </w:t>
        <w:tab/>
        <w:t>(40-band).</w:t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2" w:lineRule="auto" w:before="34" w:after="0"/>
        <w:ind w:left="748" w:right="326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4. O'z fanining ishchi dasturida (sillabusda) belgilangan baholash mezonlari va usullarini izchil va shaffof qo'llash (31-band) hamda baholar va kredit berilishi haqida ro'yxatdan o'tish xizmatiga talabaning transkriptiga kiritish uchun xabar berish.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0" w:lineRule="auto" w:before="34" w:after="0"/>
        <w:ind w:left="748" w:right="33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5. Fan dasturlarini ular asoslangan namunaviy o'quv reja, fan katalogi va tegishli milliy/xalqaro adabiyotlar bilan dolzarb holda saqlash (13-band).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0" w:lineRule="auto" w:before="194" w:after="0"/>
        <w:ind w:left="28" w:right="3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Talabalarga fan bo'yicha professorlar yoki o'qituvchilar orasidan tanlash imkoniyati berilgan hollarda, professor-o'qituvchilar semestr boshida universitet belgilagan bir haftalik onlayn ro'yxatdan o'tish oynasini qo'llab-quvvatlashlari shart (17-band).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sectPr>
          <w:pgSz w:w="12240" w:h="15840"/>
          <w:pgMar w:top="360" w:right="496" w:bottom="10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8"/>
      </w:tblGrid>
      <w:tr>
        <w:trPr>
          <w:trHeight w:hRule="exact" w:val="322"/>
        </w:trPr>
        <w:tc>
          <w:tcPr>
            <w:tcW w:type="dxa" w:w="996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RASMIY TARJIMA</w:t>
            </w:r>
          </w:p>
        </w:tc>
      </w:tr>
    </w:tbl>
    <w:p>
      <w:pPr>
        <w:autoSpaceDN w:val="0"/>
        <w:autoSpaceDE w:val="0"/>
        <w:widowControl/>
        <w:spacing w:line="233" w:lineRule="auto" w:before="402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6. Modul sillabusi (ishchi dastur) talablari</w:t>
      </w:r>
    </w:p>
    <w:p>
      <w:pPr>
        <w:autoSpaceDN w:val="0"/>
        <w:autoSpaceDE w:val="0"/>
        <w:widowControl/>
        <w:spacing w:line="233" w:lineRule="auto" w:before="13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Har bir fan/modulning ishchi dasturi (sillabusi) kamida quyidagilarni ko'rsatishi shart:</w:t>
      </w:r>
    </w:p>
    <w:p>
      <w:pPr>
        <w:autoSpaceDN w:val="0"/>
        <w:tabs>
          <w:tab w:pos="748" w:val="left"/>
        </w:tabs>
        <w:autoSpaceDE w:val="0"/>
        <w:widowControl/>
        <w:spacing w:line="247" w:lineRule="auto" w:before="196" w:after="0"/>
        <w:ind w:left="3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1. O'quv natijalari - har bir ta'lim elementi uchun kamida oltita ko'rsatkich, </w:t>
        <w:tab/>
        <w:t>o'quv rejasiga muvofiq (6-band).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32" w:after="18"/>
        <w:ind w:left="3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2. Kredit taqsimoti - fanga belgilangan kreditlar soni,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rHeight w:hRule="exact" w:val="34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3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universitetning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tasdiqlangan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har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kreditga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to'g'ri keladigan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soatlarga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muvofiq</w:t>
            </w:r>
          </w:p>
        </w:tc>
      </w:tr>
    </w:tbl>
    <w:p>
      <w:pPr>
        <w:autoSpaceDN w:val="0"/>
        <w:autoSpaceDE w:val="0"/>
        <w:widowControl/>
        <w:spacing w:line="233" w:lineRule="auto" w:before="18" w:after="0"/>
        <w:ind w:left="7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auditoriya/mustaqil ish nisbatlari (3-bo'lim).</w:t>
      </w:r>
    </w:p>
    <w:p>
      <w:pPr>
        <w:autoSpaceDN w:val="0"/>
        <w:autoSpaceDE w:val="0"/>
        <w:widowControl/>
        <w:spacing w:line="250" w:lineRule="auto" w:before="36" w:after="0"/>
        <w:ind w:left="748" w:right="2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3. Ish yuklamasi taqsimoti - fanning umumiy o'quv yuklamasini tashkil etuvchi auditoriya soatlari (ma'ruzalar, amaliyotlar, seminarlar, laboratoriya ishlari) va mustaqil ish soatlari.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0" w:lineRule="auto" w:before="34" w:after="0"/>
        <w:ind w:left="748" w:right="24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4. Baholash mezonlari va usullari - qo'llaniladigan baholash shakllari (yozma, og'zaki, amaliy, loyiha, portfolio, test) va ularning belgilangan o'quv natijalariga qanday mos kelishi (31-band).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0" w:lineRule="auto" w:before="32" w:after="0"/>
        <w:ind w:left="748" w:right="24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5. Ijobiy baho chegarasi - talabaga fan kreditlari beriladigan baho; talab qilingan o'quv natijalari erishilmasa, kreditlar berilmaydi (30-band).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0" w:lineRule="auto" w:before="194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Fan dasturlari, o'quv rejasi va fanlarning to'liq katalogi (tanlov fanlarini o'z ichiga olgan holda) o'quv yili boshlanishidan kamida bir oy oldin universitet veb-saytida yuklab olinadigan formatda e'lon qilinishi shart (9-band).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312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7. Baholash mezonlari</w:t>
      </w:r>
    </w:p>
    <w:p>
      <w:pPr>
        <w:autoSpaceDN w:val="0"/>
        <w:autoSpaceDE w:val="0"/>
        <w:widowControl/>
        <w:spacing w:line="250" w:lineRule="auto" w:before="136" w:after="0"/>
        <w:ind w:left="748" w:right="26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• Asos. Barcha talabalar ta'lim shakliga qaramasdan, Oliy va o'rta maxsus ta'lim vazirligi belgilagan baholash mezonlari asosida o'z ta'lim dasturi doirasida baholanadi (29-band).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0" w:lineRule="auto" w:before="36" w:after="0"/>
        <w:ind w:left="748" w:right="2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• Usullar. Yozma, og'zaki, amaliy ish, loyihalar, portfoliolar va testlar - tanlangan usul talabaning fanning belgilangan o'quv natijalariga erishganini aks ettirishi va tasdiqlashi kerak (31-band).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0" w:lineRule="auto" w:before="34" w:after="0"/>
        <w:ind w:left="748" w:right="22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• Kredit berish. Kreditlar faqat talaba fan dasturida belgilangan baholangan ijobiy bahoga erishganda beriladi. Belgilangan o'quv natijalariga erishilmasa, kredit berilmaydi (30-band).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2" w:lineRule="auto" w:before="36" w:after="0"/>
        <w:ind w:left="748" w:right="2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• Davomat qoidasi. Fanning auditoriya soatlarining 25% yoki undan ko'prog'ini uzrsiz sababsiz qoldirgan talaba ushbu fandan chetlatiladi, yakuniy imtihondan mahrum qilinadi va uning kreditlarini olmagan deb hisoblanadi - akademik qarzdorlik yuzaga keladi (41-band).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47" w:lineRule="auto" w:before="34" w:after="0"/>
        <w:ind w:left="748" w:right="0" w:hanging="36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• Kreditlarni konvertatsiya qilish va o'tkazish. Muassasalar o'rtasida, shu jumladan akademik mobillik davomida kreditlarni tan olish va o'tkazish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sectPr>
          <w:pgSz w:w="12240" w:h="15840"/>
          <w:pgMar w:top="360" w:right="800" w:bottom="73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8"/>
      </w:tblGrid>
      <w:tr>
        <w:trPr>
          <w:trHeight w:hRule="exact" w:val="322"/>
        </w:trPr>
        <w:tc>
          <w:tcPr>
            <w:tcW w:type="dxa" w:w="996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RASMIY TARJIMA</w:t>
            </w:r>
          </w:p>
        </w:tc>
      </w:tr>
    </w:tbl>
    <w:p>
      <w:pPr>
        <w:autoSpaceDN w:val="0"/>
        <w:autoSpaceDE w:val="0"/>
        <w:widowControl/>
        <w:spacing w:line="245" w:lineRule="auto" w:before="402" w:after="0"/>
        <w:ind w:left="7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har bir muassasaning baho konvertatsiya jadvalini qabul qiluvchi muassasaning o'z jadvaliga solishtirishga asoslanadi (32-band).</w:t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2" w:lineRule="auto" w:before="36" w:after="0"/>
        <w:ind w:left="748" w:right="22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• Kursdan kursga o'tish. Bir kursdan keyingisiga o'tish GPA ga asoslanadi, universitet kengashi minimal o'tish GPA ni 2,4-3,0 oralig'ida belgilaydi (42-band); akademik qarzdorligi bo'lgan talabalar o'qishdan chetlatilmaydi, faqat qarzdor fanlarnigina tegishli shartnoma to'lovini to'lab qaytadan o'qiydi.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314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8. Amalga oshirish va axborot yetkazish ko'rsatmalari</w:t>
      </w:r>
    </w:p>
    <w:p>
      <w:pPr>
        <w:autoSpaceDN w:val="0"/>
        <w:autoSpaceDE w:val="0"/>
        <w:widowControl/>
        <w:spacing w:line="247" w:lineRule="auto" w:before="13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Professor-o'qituvchilar va talabalar ushbu tizimni izchil qo'llashini ta'minlash uchun o'quv ishlari bo'yicha prorektor quyidagilarni ko'rsatma beradi:</w:t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4" w:lineRule="auto" w:before="192" w:after="0"/>
        <w:ind w:left="748" w:right="2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• Uslubiy materiallar. O'quv-uslubiy bo'lim kredit hisoblash va ish yuklamasi taqsimotini tushuntiruvchi standartlashtirilgan uslubiy taqdimot va ma'lumot materiallarini tayyorlaydi va yangilab turadi, ular professor-o'qituvchilar yig'ilishlarida, kafedra yig'ilishlarida va birinchi kurs talabalarini yo'naltirish tadbirlarida foydalanish uchun mo'ljallangan.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4" w:lineRule="auto" w:before="34" w:after="0"/>
        <w:ind w:left="748" w:right="2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• Institutsional yo'riqnoma hujjatlari. Ushbu yo'riqnoma va uning hamroh taqdimoti kredit-modul ish yuklamasi bo'yicha universitetning rasmiy yo'riqnomasi hisoblanadi; kafedra mudirirlari har o'quv yilining ro'yxatdan o'tish davridan oldin modul koordinatorlari va guruh mentorlarini ularning mazmuni bilan tanishtirishi shart.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192" w:after="194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Mas'ul bo'linmalar: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5014"/>
        <w:gridCol w:w="5014"/>
      </w:tblGrid>
      <w:tr>
        <w:trPr>
          <w:trHeight w:hRule="exact" w:val="516"/>
        </w:trPr>
        <w:tc>
          <w:tcPr>
            <w:tcW w:type="dxa" w:w="4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Bo'linma</w:t>
            </w:r>
          </w:p>
        </w:tc>
        <w:tc>
          <w:tcPr>
            <w:tcW w:type="dxa" w:w="5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Vazifasi</w:t>
            </w:r>
          </w:p>
        </w:tc>
      </w:tr>
      <w:tr>
        <w:trPr>
          <w:trHeight w:hRule="exact" w:val="1560"/>
        </w:trPr>
        <w:tc>
          <w:tcPr>
            <w:tcW w:type="dxa" w:w="46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O'quv-uslubiy bo'lim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5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10"/>
              <w:gridCol w:w="1310"/>
              <w:gridCol w:w="1310"/>
              <w:gridCol w:w="1310"/>
            </w:tblGrid>
            <w:tr>
              <w:trPr>
                <w:trHeight w:hRule="exact" w:val="322"/>
              </w:trPr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5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Publishes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the </w:t>
                  </w:r>
                </w:p>
              </w:tc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curriculum,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14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subject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5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catalog,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16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and </w:t>
                  </w:r>
                </w:p>
              </w:tc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38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syllabi;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15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verifies </w:t>
                  </w:r>
                </w:p>
              </w:tc>
            </w:tr>
            <w:tr>
              <w:trPr>
                <w:trHeight w:hRule="exact" w:val="366"/>
              </w:trPr>
              <w:tc>
                <w:tcPr>
                  <w:tcW w:type="dxa" w:w="2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5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credit/workload </w:t>
                  </w:r>
                </w:p>
              </w:tc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consistency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0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across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fan dasturlari.</w:t>
            </w:r>
          </w:p>
        </w:tc>
      </w:tr>
      <w:tr>
        <w:trPr>
          <w:trHeight w:hRule="exact" w:val="1216"/>
        </w:trPr>
        <w:tc>
          <w:tcPr>
            <w:tcW w:type="dxa" w:w="4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Ro'yxatdan o'tish xizmati</w:t>
            </w:r>
          </w:p>
        </w:tc>
        <w:tc>
          <w:tcPr>
            <w:tcW w:type="dxa" w:w="5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" w:after="0"/>
              <w:ind w:left="102" w:right="2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Talabalarni ro'yxatdan o'tkazish, shaxsiy o'quv traektoriyalari, transkriptlar va akademik reyting yozuvlarini boshqaradi.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1192"/>
        </w:trPr>
        <w:tc>
          <w:tcPr>
            <w:tcW w:type="dxa" w:w="4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Guruh mentorlari</w:t>
            </w:r>
          </w:p>
        </w:tc>
        <w:tc>
          <w:tcPr>
            <w:tcW w:type="dxa" w:w="5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16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Talabalarga o'quv traektoriyalarini tuzish va sozlashda </w:t>
              <w:br/>
              <w:t>o'quv yili davomida rahbarlik qiladi.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10"/>
              <w:gridCol w:w="1310"/>
              <w:gridCol w:w="1310"/>
              <w:gridCol w:w="1310"/>
            </w:tblGrid>
            <w:tr>
              <w:trPr>
                <w:trHeight w:hRule="exact" w:val="346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personal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learning </w:t>
                  </w:r>
                </w:p>
              </w:tc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trajectories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12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each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800" w:bottom="103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80"/>
      </w:tblGrid>
      <w:tr>
        <w:trPr>
          <w:trHeight w:hRule="exact" w:val="322"/>
        </w:trPr>
        <w:tc>
          <w:tcPr>
            <w:tcW w:type="dxa" w:w="996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RASMIY TARJIMA</w:t>
            </w:r>
          </w:p>
        </w:tc>
      </w:tr>
    </w:tbl>
    <w:p>
      <w:pPr>
        <w:autoSpaceDN w:val="0"/>
        <w:autoSpaceDE w:val="0"/>
        <w:widowControl/>
        <w:spacing w:line="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4990"/>
        <w:gridCol w:w="4990"/>
      </w:tblGrid>
      <w:tr>
        <w:trPr>
          <w:trHeight w:hRule="exact" w:val="520"/>
        </w:trPr>
        <w:tc>
          <w:tcPr>
            <w:tcW w:type="dxa" w:w="4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Bo'linma</w:t>
            </w:r>
          </w:p>
        </w:tc>
        <w:tc>
          <w:tcPr>
            <w:tcW w:type="dxa" w:w="5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Vazifasi</w:t>
            </w:r>
          </w:p>
        </w:tc>
      </w:tr>
      <w:tr>
        <w:trPr>
          <w:trHeight w:hRule="exact" w:val="1212"/>
        </w:trPr>
        <w:tc>
          <w:tcPr>
            <w:tcW w:type="dxa" w:w="4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Professor-o'qituvchilar / modul koordinatorlari</w:t>
            </w:r>
          </w:p>
        </w:tc>
        <w:tc>
          <w:tcPr>
            <w:tcW w:type="dxa" w:w="5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10"/>
              <w:gridCol w:w="1310"/>
              <w:gridCol w:w="1310"/>
              <w:gridCol w:w="1310"/>
            </w:tblGrid>
            <w:tr>
              <w:trPr>
                <w:trHeight w:hRule="exact" w:val="334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5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Apply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workload </w:t>
                  </w: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calculations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o'z fanlari doirasidagi baholash mezonlari (5-7-bo'limlar).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</w:tbl>
    <w:p>
      <w:pPr>
        <w:autoSpaceDN w:val="0"/>
        <w:autoSpaceDE w:val="0"/>
        <w:widowControl/>
        <w:spacing w:line="233" w:lineRule="auto" w:before="2" w:after="19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Bosqichma-bosqich joriy etish (Nizom ilovasi, olti bosqich):</w:t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495"/>
        <w:gridCol w:w="2495"/>
        <w:gridCol w:w="2495"/>
        <w:gridCol w:w="2495"/>
      </w:tblGrid>
      <w:tr>
        <w:trPr>
          <w:trHeight w:hRule="exact" w:val="518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Bosqich</w:t>
            </w:r>
          </w:p>
        </w:tc>
        <w:tc>
          <w:tcPr>
            <w:tcW w:type="dxa" w:w="23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Yo'nalish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Mas'ul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Muddat</w:t>
            </w:r>
          </w:p>
        </w:tc>
      </w:tr>
      <w:tr>
        <w:trPr>
          <w:trHeight w:hRule="exact" w:val="2950"/>
        </w:trPr>
        <w:tc>
          <w:tcPr>
            <w:tcW w:type="dxa" w:w="234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1</w:t>
            </w:r>
          </w:p>
        </w:tc>
        <w:tc>
          <w:tcPr>
            <w:tcW w:type="dxa" w:w="234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2" w:val="left"/>
                <w:tab w:pos="1342" w:val="left"/>
                <w:tab w:pos="1762" w:val="left"/>
              </w:tabs>
              <w:autoSpaceDE w:val="0"/>
              <w:widowControl/>
              <w:spacing w:line="254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O'quv rejalarini/fan dasturlarini moslashtirish va tasdiqlash; fanlar bo'yicha kreditlarni taqsimlash; fan katalogini e'lon qilish</w:t>
            </w:r>
            <w:r/>
            <w:r/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Oliy ta'lim muassasasi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18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O'quv yili boshlanishidan oldin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780"/>
              <w:gridCol w:w="780"/>
              <w:gridCol w:w="780"/>
            </w:tblGrid>
            <w:tr>
              <w:trPr>
                <w:trHeight w:hRule="exact" w:val="348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5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of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the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15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school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1908"/>
        </w:trPr>
        <w:tc>
          <w:tcPr>
            <w:tcW w:type="dxa" w:w="234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2</w:t>
            </w:r>
          </w:p>
        </w:tc>
        <w:tc>
          <w:tcPr>
            <w:tcW w:type="dxa" w:w="234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70" w:val="left"/>
                <w:tab w:pos="1216" w:val="left"/>
              </w:tabs>
              <w:autoSpaceDE w:val="0"/>
              <w:widowControl/>
              <w:spacing w:line="252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Birinchi kurs bakalavr/magistr talabalarini kredit tizimi asosida qabul qilish</w:t>
            </w:r>
            <w:r/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Oliy ta'lim muassasasi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18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O'quv yili boshlanishidan oldin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780"/>
              <w:gridCol w:w="780"/>
              <w:gridCol w:w="780"/>
            </w:tblGrid>
            <w:tr>
              <w:trPr>
                <w:trHeight w:hRule="exact" w:val="348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5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of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the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15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8"/>
                    </w:rPr>
                    <w:t xml:space="preserve">school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1908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3</w:t>
            </w:r>
          </w:p>
        </w:tc>
        <w:tc>
          <w:tcPr>
            <w:tcW w:type="dxa" w:w="23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22" w:val="left"/>
              </w:tabs>
              <w:autoSpaceDE w:val="0"/>
              <w:widowControl/>
              <w:spacing w:line="252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Har bir talabaning shaxsiy o'quv traektoriyasini belgilash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Oliy ta'lim muassasasi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22" w:val="left"/>
              </w:tabs>
              <w:autoSpaceDE w:val="0"/>
              <w:widowControl/>
              <w:spacing w:line="250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2020/2021 dan, har o'quv yili oldidan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2604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type="dxa" w:w="23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Mobillikni tashkil etish: hamkorlik shartnomalari, mobillik oynalari, mobillik dasturlari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" w:after="0"/>
              <w:ind w:left="10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Muassasa, vazirliklar/idoralar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2020/2021 dan, doimiy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  <w:tr>
        <w:trPr>
          <w:trHeight w:hRule="exact" w:val="1190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5</w:t>
            </w:r>
          </w:p>
        </w:tc>
        <w:tc>
          <w:tcPr>
            <w:tcW w:type="dxa" w:w="23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Sifatni ta'minlash: akkreditatsiya shartnomalari va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" w:after="0"/>
              <w:ind w:left="10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Muassasa, vazirliklar/idoralar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2021/2022 dan, doimiy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848" w:bottom="5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8"/>
      </w:tblGrid>
      <w:tr>
        <w:trPr>
          <w:trHeight w:hRule="exact" w:val="322"/>
        </w:trPr>
        <w:tc>
          <w:tcPr>
            <w:tcW w:type="dxa" w:w="996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RASMIY TARJIMA</w:t>
            </w:r>
          </w:p>
        </w:tc>
      </w:tr>
    </w:tbl>
    <w:p>
      <w:pPr>
        <w:autoSpaceDN w:val="0"/>
        <w:autoSpaceDE w:val="0"/>
        <w:widowControl/>
        <w:spacing w:line="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507"/>
        <w:gridCol w:w="2507"/>
        <w:gridCol w:w="2507"/>
        <w:gridCol w:w="2507"/>
      </w:tblGrid>
      <w:tr>
        <w:trPr>
          <w:trHeight w:hRule="exact" w:val="520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Bosqich</w:t>
            </w:r>
          </w:p>
        </w:tc>
        <w:tc>
          <w:tcPr>
            <w:tcW w:type="dxa" w:w="23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Yo'nalish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Mas'ul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Muddat</w:t>
            </w:r>
          </w:p>
        </w:tc>
      </w:tr>
      <w:tr>
        <w:trPr>
          <w:trHeight w:hRule="exact" w:val="1212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96" w:val="left"/>
              </w:tabs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kredit-modul tizimini akkreditatsiya qilish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233" w:lineRule="auto" w:before="3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60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6</w:t>
            </w:r>
          </w:p>
        </w:tc>
        <w:tc>
          <w:tcPr>
            <w:tcW w:type="dxa" w:w="23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" w:after="0"/>
              <w:ind w:left="10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Xalqaro miqyosda tan olingan diplomlarni berish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Oliy ta'lim muassasasi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8" w:val="left"/>
              </w:tabs>
              <w:autoSpaceDE w:val="0"/>
              <w:widowControl/>
              <w:spacing w:line="233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Dastur tugallanganda, 2022-yildan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</w:tbl>
    <w:p>
      <w:pPr>
        <w:autoSpaceDN w:val="0"/>
        <w:autoSpaceDE w:val="0"/>
        <w:widowControl/>
        <w:spacing w:line="250" w:lineRule="auto" w:before="2" w:after="0"/>
        <w:ind w:left="28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>E'lon qilish muddati. Nizomning 9-bandiga ko'ra, barcha ish yuklamasi, o'quv rejasi va sillabus ma'lumotlari har o'quv yili boshlanishidan kamida bir oy oldin universitet veb-saytida joylashtirilishi shart.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316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9. Havolalar</w:t>
      </w:r>
    </w:p>
    <w:p>
      <w:pPr>
        <w:autoSpaceDN w:val="0"/>
        <w:autoSpaceDE w:val="0"/>
        <w:widowControl/>
        <w:spacing w:line="233" w:lineRule="auto" w:before="132" w:after="0"/>
        <w:ind w:left="3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• O'zbekiston Respublikasi Vazirlar Mahkamasining</w:t>
      </w:r>
    </w:p>
    <w:p>
      <w:pPr>
        <w:autoSpaceDN w:val="0"/>
        <w:autoSpaceDE w:val="0"/>
        <w:widowControl/>
        <w:spacing w:line="250" w:lineRule="auto" w:before="34" w:after="0"/>
        <w:ind w:left="74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2020-yil 31-dekabrdagi 824-son "Oliy ta'lim muassasalarida o'quv jarayonini tashkil etish bilan bog'liq tizimni takomillashtirish chora-tadbirlari to'g'risida"gi qarori, Toshkent.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0" w:lineRule="auto" w:before="32" w:after="0"/>
        <w:ind w:left="1468" w:right="0" w:hanging="36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o 1-ilova: Oliy ta'lim muassasalarida o'quv jarayoniga kredit-modul tizimini joriy etish tartibi to'g'risidagi nizom (1-9-boblar).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tabs>
          <w:tab w:pos="1468" w:val="left"/>
        </w:tabs>
        <w:autoSpaceDE w:val="0"/>
        <w:widowControl/>
        <w:spacing w:line="247" w:lineRule="auto" w:before="34" w:after="0"/>
        <w:ind w:left="11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o 1-ilovaga ilova: Kredit-modul tizimini bosqichma-bosqich joriy etish </w:t>
        <w:tab/>
        <w:t>sxemasi (olti bosqich).</w:t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tabs>
          <w:tab w:pos="748" w:val="left"/>
          <w:tab w:pos="1108" w:val="left"/>
          <w:tab w:pos="1468" w:val="left"/>
        </w:tabs>
        <w:autoSpaceDE w:val="0"/>
        <w:widowControl/>
        <w:spacing w:line="254" w:lineRule="auto" w:before="32" w:after="0"/>
        <w:ind w:left="388" w:right="0" w:firstLine="0"/>
        <w:jc w:val="left"/>
      </w:pPr>
      <w:r>
        <w:tab/>
        <w:tab/>
        <w:t xml:space="preserve">o 2-ilova: 2019-yil 3-dekabrdagi 967-son "Oliy ta'lim muassasalarini </w:t>
        <w:tab/>
        <w:tab/>
        <w:tab/>
        <w:t xml:space="preserve">bosqichma-bosqich o'z-o'zini moliyalashtirish tizimiga o'tkazish </w:t>
        <w:tab/>
        <w:tab/>
        <w:tab/>
        <w:t>to'g'risida"gi qarorga qo'shimchalar.</w:t>
        <w:br/>
        <w:t xml:space="preserve">• O'zbekiston Respublikasi Prezidentining PF-5847-son "2030-yilgacha </w:t>
        <w:tab/>
        <w:t xml:space="preserve">O'zbekiston Respublikasi oliy ta'lim tizimini rivojlantirish kontseptsiyasini </w:t>
        <w:tab/>
        <w:t>tasdiqlash to'g'risida"gi Farmoni, 2019-yil 8-oktabr.</w:t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2" w:lineRule="auto" w:before="34" w:after="0"/>
        <w:ind w:left="748" w:right="2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• O'zbekiston Respublikasi Prezidentining PF-5953-son "O'zbekiston Respublikasini 2017-2021-yillarda rivojlantirishning beshta ustuvor yo'nalishi bo'yicha Harakatlar strategiyasini amalga oshirish Davlat dasturi to'g'risida"gi Farmoni, 2020-yil 2-mart.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45" w:lineRule="auto" w:before="196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8"/>
        </w:rPr>
        <w:t>Hamroh material: professor-o'qituvchilar va talabalar uchun ma'lumot berish yig'ilishlarida 3-8-bo'limlarni umumlashtiruvchi uslubiy taqdimot.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sectPr w:rsidR="00FC693F" w:rsidRPr="0006063C" w:rsidSect="00034616">
      <w:pgSz w:w="12240" w:h="15840"/>
      <w:pgMar w:top="360" w:right="800" w:bottom="952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