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2"/>
      </w:tblGrid>
      <w:tr>
        <w:trPr>
          <w:trHeight w:hRule="exact" w:val="324"/>
        </w:trPr>
        <w:tc>
          <w:tcPr>
            <w:tcW w:type="dxa" w:w="9410"/>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356" w:lineRule="exact" w:before="112" w:after="0"/>
        <w:ind w:left="970" w:right="0" w:firstLine="0"/>
        <w:jc w:val="left"/>
      </w:pPr>
      <w:r>
        <w:rPr>
          <w:rFonts w:ascii="Arial" w:hAnsi="Arial" w:eastAsia="Arial"/>
          <w:b/>
          <w:i w:val="0"/>
          <w:color w:val="000000"/>
          <w:sz w:val="32"/>
        </w:rPr>
        <w:t>RASMIY TARTIBGA SOLUVCHI BILDIRISHNOMA</w:t>
      </w:r>
    </w:p>
    <w:p>
      <w:pPr>
        <w:autoSpaceDN w:val="0"/>
        <w:autoSpaceDE w:val="0"/>
        <w:widowControl/>
        <w:spacing w:line="268" w:lineRule="exact" w:before="170" w:after="0"/>
        <w:ind w:left="1094" w:right="0" w:firstLine="0"/>
        <w:jc w:val="left"/>
      </w:pPr>
      <w:r>
        <w:rPr>
          <w:rFonts w:ascii="ArialMT" w:hAnsi="ArialMT" w:eastAsia="ArialMT"/>
          <w:b w:val="0"/>
          <w:i w:val="0"/>
          <w:color w:val="000000"/>
          <w:sz w:val="24"/>
        </w:rPr>
        <w:t>O'quv ishlari bo'limi va Sifatni ta'minlash bo'limi tomonidan chiqarilgan</w:t>
      </w:r>
    </w:p>
    <w:p>
      <w:pPr>
        <w:autoSpaceDN w:val="0"/>
        <w:autoSpaceDE w:val="0"/>
        <w:widowControl/>
        <w:spacing w:line="266" w:lineRule="exact" w:before="606" w:after="0"/>
        <w:ind w:left="262" w:right="0" w:firstLine="0"/>
        <w:jc w:val="left"/>
      </w:pPr>
      <w:r>
        <w:rPr>
          <w:rFonts w:ascii="ArialMT" w:hAnsi="ArialMT" w:eastAsia="ArialMT"/>
          <w:b w:val="0"/>
          <w:i w:val="0"/>
          <w:color w:val="000000"/>
          <w:sz w:val="24"/>
        </w:rPr>
        <w:t>Ref raqami: 2025/AA-QA/042                                               Sana: 2018 yil 31 dekabr</w:t>
      </w:r>
    </w:p>
    <w:p>
      <w:pPr>
        <w:autoSpaceDN w:val="0"/>
        <w:autoSpaceDE w:val="0"/>
        <w:widowControl/>
        <w:spacing w:line="414" w:lineRule="exact" w:before="102" w:after="0"/>
        <w:ind w:left="262" w:right="1296" w:firstLine="0"/>
        <w:jc w:val="left"/>
      </w:pPr>
      <w:r>
        <w:rPr>
          <w:rFonts w:ascii="Arial" w:hAnsi="Arial" w:eastAsia="Arial"/>
          <w:b/>
          <w:i w:val="0"/>
          <w:color w:val="000000"/>
          <w:sz w:val="24"/>
        </w:rPr>
        <w:t>Kimga: Barcha dekanlar, kafedra mudirlari, professor-o'qituvchilar va talabalar</w:t>
        <w:br/>
        <w:t>Mavzu: Yagona akademik rivojlanish siyosati va majburiy baholash</w:t>
      </w:r>
      <w:r>
        <w:rPr>
          <w:rFonts w:ascii="ArialMT" w:hAnsi="ArialMT" w:eastAsia="ArialMT"/>
          <w:b w:val="0"/>
          <w:i w:val="0"/>
          <w:color w:val="000000"/>
          <w:sz w:val="24"/>
        </w:rPr>
      </w:r>
      <w:r/>
      <w:r>
        <w:rPr>
          <w:rFonts w:ascii="Arial" w:hAnsi="Arial" w:eastAsia="Arial"/>
          <w:b/>
          <w:i w:val="0"/>
          <w:color w:val="000000"/>
          <w:sz w:val="24"/>
        </w:rPr>
      </w:r>
      <w:r>
        <w:rPr>
          <w:rFonts w:ascii="ArialMT" w:hAnsi="ArialMT" w:eastAsia="ArialMT"/>
          <w:b w:val="0"/>
          <w:i w:val="0"/>
          <w:color w:val="000000"/>
          <w:sz w:val="24"/>
        </w:rPr>
      </w:r>
    </w:p>
    <w:p>
      <w:pPr>
        <w:autoSpaceDN w:val="0"/>
        <w:tabs>
          <w:tab w:pos="970" w:val="left"/>
        </w:tabs>
        <w:autoSpaceDE w:val="0"/>
        <w:widowControl/>
        <w:spacing w:line="414" w:lineRule="exact" w:before="160" w:after="140"/>
        <w:ind w:left="262" w:right="0" w:firstLine="0"/>
        <w:jc w:val="left"/>
      </w:pPr>
      <w:r>
        <w:tab/>
        <w:t>Oliy ta'lim vazirining 2018 yil 26 sentyabrdagi 3069-sonli "Talabalar bilimini monitoring qilish va baholash tizimi to'g'risidagi nizom haqida" buyrug'iga va Vazirlar Mahkamasining 2020 yil 31 dekabrdagi 824-sonli "Oliy ta'lim muassasalarida o'quv jarayonini tashkil etish bilan bog'liq tizimni takomillashtirish chora-tadbirlari to'g'risida"gi qaroriga muvofiq hamda xalqaro sifat ta'minlash standartlariga asosan, Termiz davlat universitetining O'quv ishlari bo'limi va Sifatni ta'minlash bo'limi quyidagilarni belgilaydi:</w:t>
        <w:br/>
        <w:tab/>
        <w:t>"Hech bir talaba Uzluksiz baholash bosqichida kamida 20 ball to'plamasdan biron-bir modul bo'yicha Oraliq baholashda (oraliq imtihonida) ishtirok etishga ruxsat etilmaydi."</w:t>
        <w:br/>
        <w:tab/>
        <w:t>Ushbu qaror Termiz davlat universitetining barcha ta'lim dasturlari bo'yicha barcha modullar uchun standartlashtirilgan baholash tizimini belgilaydi. Asosiy maqsad — institutsional baholash amaliyotini xalqaro sifat standartlariga moslashtirishni ta'minlash, yakuniy baholashlar faqat asosiy kompetensiyalarning tasdiqlangan darajasiga erishilgandan keyin o'tkazilishidir. Talabalar o'quv natijalarini har tomonlama baholashni ta'minlash uchun barcha modullar turli xil baholash vositalaridan foydalanishi kerak. 20 balllik chegara quyidagilardan tashkil topadi:</w:t>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
      <w:r>
        <w:rPr>
          <w:rFonts w:ascii="Arial" w:hAnsi="Arial" w:eastAsia="Arial"/>
          <w:b w:val="0"/>
          <w:i/>
          <w:color w:val="000000"/>
          <w:sz w:val="24"/>
        </w:rPr>
      </w:r>
      <w:r>
        <w:rPr>
          <w:rFonts w:ascii="Arial" w:hAnsi="Arial" w:eastAsia="Arial"/>
          <w:b w:val="0"/>
          <w:i/>
          <w:color w:val="000000"/>
          <w:sz w:val="24"/>
        </w:rPr>
      </w:r>
      <w:r>
        <w:rPr>
          <w:rFonts w:ascii="Arial" w:hAnsi="Arial" w:eastAsia="Arial"/>
          <w:b w:val="0"/>
          <w:i/>
          <w:color w:val="000000"/>
          <w:sz w:val="24"/>
        </w:rPr>
      </w:r>
      <w: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p>
    <w:tbl>
      <w:tblPr>
        <w:tblW w:type="auto" w:w="0"/>
        <w:tblLayout w:type="fixed"/>
        <w:tblLook w:firstColumn="1" w:firstRow="1" w:lastColumn="0" w:lastRow="0" w:noHBand="0" w:noVBand="1" w:val="04A0"/>
        <w:tblInd w:w="265.99999999999994" w:type="dxa"/>
      </w:tblPr>
      <w:tblGrid>
        <w:gridCol w:w="3234"/>
        <w:gridCol w:w="3234"/>
        <w:gridCol w:w="3234"/>
      </w:tblGrid>
      <w:tr>
        <w:trPr>
          <w:trHeight w:hRule="exact" w:val="838"/>
        </w:trPr>
        <w:tc>
          <w:tcPr>
            <w:tcW w:type="dxa" w:w="225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8" w:lineRule="exact" w:before="8" w:after="0"/>
              <w:ind w:left="0" w:right="0" w:firstLine="0"/>
              <w:jc w:val="center"/>
            </w:pPr>
            <w:r>
              <w:rPr>
                <w:rFonts w:ascii="Arial" w:hAnsi="Arial" w:eastAsia="Arial"/>
                <w:b/>
                <w:i w:val="0"/>
                <w:color w:val="1F1F1F"/>
                <w:sz w:val="24"/>
              </w:rPr>
              <w:t>Kategoriya</w:t>
            </w:r>
          </w:p>
        </w:tc>
        <w:tc>
          <w:tcPr>
            <w:tcW w:type="dxa" w:w="246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344" w:lineRule="exact" w:before="0" w:after="0"/>
              <w:ind w:left="432" w:right="432" w:firstLine="0"/>
              <w:jc w:val="center"/>
            </w:pPr>
            <w:r>
              <w:rPr>
                <w:rFonts w:ascii="Arial" w:hAnsi="Arial" w:eastAsia="Arial"/>
                <w:b/>
                <w:i w:val="0"/>
                <w:color w:val="1F1F1F"/>
                <w:sz w:val="24"/>
              </w:rPr>
              <w:t>Baholash shakli</w:t>
            </w:r>
            <w:r>
              <w:rPr>
                <w:rFonts w:ascii="Arial" w:hAnsi="Arial" w:eastAsia="Arial"/>
                <w:b/>
                <w:i w:val="0"/>
                <w:color w:val="1F1F1F"/>
                <w:sz w:val="24"/>
              </w:rPr>
            </w:r>
          </w:p>
        </w:tc>
        <w:tc>
          <w:tcPr>
            <w:tcW w:type="dxa" w:w="461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8" w:lineRule="exact" w:before="8" w:after="0"/>
              <w:ind w:left="0" w:right="0" w:firstLine="0"/>
              <w:jc w:val="center"/>
            </w:pPr>
            <w:r>
              <w:rPr>
                <w:rFonts w:ascii="Arial" w:hAnsi="Arial" w:eastAsia="Arial"/>
                <w:b/>
                <w:i w:val="0"/>
                <w:color w:val="1F1F1F"/>
                <w:sz w:val="24"/>
              </w:rPr>
              <w:t>Tavsif</w:t>
            </w:r>
          </w:p>
        </w:tc>
      </w:tr>
      <w:tr>
        <w:trPr>
          <w:trHeight w:hRule="exact" w:val="838"/>
        </w:trPr>
        <w:tc>
          <w:tcPr>
            <w:tcW w:type="dxa" w:w="2258"/>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344" w:lineRule="exact" w:before="0" w:after="0"/>
              <w:ind w:left="104" w:right="576" w:firstLine="0"/>
              <w:jc w:val="left"/>
            </w:pPr>
            <w:r>
              <w:rPr>
                <w:rFonts w:ascii="ArialMT" w:hAnsi="ArialMT" w:eastAsia="ArialMT"/>
                <w:b w:val="0"/>
                <w:i w:val="0"/>
                <w:color w:val="1F1F1F"/>
                <w:sz w:val="24"/>
              </w:rPr>
              <w:t>Asosiy bilim</w:t>
            </w:r>
            <w:r>
              <w:rPr>
                <w:rFonts w:ascii="ArialMT" w:hAnsi="ArialMT" w:eastAsia="ArialMT"/>
                <w:b w:val="0"/>
                <w:i w:val="0"/>
                <w:color w:val="1F1F1F"/>
                <w:sz w:val="24"/>
              </w:rPr>
            </w:r>
          </w:p>
        </w:tc>
        <w:tc>
          <w:tcPr>
            <w:tcW w:type="dxa" w:w="2468"/>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344" w:lineRule="exact" w:before="0" w:after="0"/>
              <w:ind w:left="100" w:right="0" w:firstLine="0"/>
              <w:jc w:val="left"/>
            </w:pPr>
            <w:r>
              <w:rPr>
                <w:rFonts w:ascii="ArialMT" w:hAnsi="ArialMT" w:eastAsia="ArialMT"/>
                <w:b w:val="0"/>
                <w:i w:val="0"/>
                <w:color w:val="1F1F1F"/>
                <w:sz w:val="24"/>
              </w:rPr>
              <w:t>Kundalik ko'p tanlovli testlar</w:t>
            </w:r>
            <w:r>
              <w:rPr>
                <w:rFonts w:ascii="ArialMT" w:hAnsi="ArialMT" w:eastAsia="ArialMT"/>
                <w:b w:val="0"/>
                <w:i w:val="0"/>
                <w:color w:val="1F1F1F"/>
                <w:sz w:val="24"/>
              </w:rPr>
            </w:r>
          </w:p>
        </w:tc>
        <w:tc>
          <w:tcPr>
            <w:tcW w:type="dxa" w:w="4618"/>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344" w:lineRule="exact" w:before="0" w:after="0"/>
              <w:ind w:left="0" w:right="1008" w:firstLine="0"/>
              <w:jc w:val="center"/>
            </w:pPr>
            <w:r>
              <w:rPr>
                <w:rFonts w:ascii="ArialMT" w:hAnsi="ArialMT" w:eastAsia="ArialMT"/>
                <w:b w:val="0"/>
                <w:i w:val="0"/>
                <w:color w:val="1F1F1F"/>
                <w:sz w:val="24"/>
              </w:rPr>
              <w:t>Nazariy terminologiya va asosiy tushunchalarni tezkor tekshirish.</w:t>
            </w:r>
            <w:r>
              <w:rPr>
                <w:rFonts w:ascii="ArialMT" w:hAnsi="ArialMT" w:eastAsia="ArialMT"/>
                <w:b w:val="0"/>
                <w:i w:val="0"/>
                <w:color w:val="1F1F1F"/>
                <w:sz w:val="24"/>
              </w:rPr>
            </w:r>
          </w:p>
        </w:tc>
      </w:tr>
      <w:tr>
        <w:trPr>
          <w:trHeight w:hRule="exact" w:val="1252"/>
        </w:trPr>
        <w:tc>
          <w:tcPr>
            <w:tcW w:type="dxa" w:w="22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4" w:right="720" w:firstLine="0"/>
              <w:jc w:val="left"/>
            </w:pPr>
            <w:r>
              <w:rPr>
                <w:rFonts w:ascii="ArialMT" w:hAnsi="ArialMT" w:eastAsia="ArialMT"/>
                <w:b w:val="0"/>
                <w:i w:val="0"/>
                <w:color w:val="1F1F1F"/>
                <w:sz w:val="24"/>
              </w:rPr>
              <w:t>Tahliliy</w:t>
              <w:br/>
              <w:t>kompetensiya</w:t>
            </w:r>
            <w:r/>
            <w:r>
              <w:rPr>
                <w:rFonts w:ascii="ArialMT" w:hAnsi="ArialMT" w:eastAsia="ArialMT"/>
                <w:b w:val="0"/>
                <w:i w:val="0"/>
                <w:color w:val="1F1F1F"/>
                <w:sz w:val="24"/>
              </w:rPr>
            </w:r>
          </w:p>
        </w:tc>
        <w:tc>
          <w:tcPr>
            <w:tcW w:type="dxa" w:w="24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0" w:right="288" w:firstLine="0"/>
              <w:jc w:val="left"/>
            </w:pPr>
            <w:r>
              <w:rPr>
                <w:rFonts w:ascii="ArialMT" w:hAnsi="ArialMT" w:eastAsia="ArialMT"/>
                <w:b w:val="0"/>
                <w:i w:val="0"/>
                <w:color w:val="1F1F1F"/>
                <w:sz w:val="24"/>
              </w:rPr>
              <w:t>Yopiq diskursiv testlar</w:t>
            </w:r>
            <w:r>
              <w:rPr>
                <w:rFonts w:ascii="ArialMT" w:hAnsi="ArialMT" w:eastAsia="ArialMT"/>
                <w:b w:val="0"/>
                <w:i w:val="0"/>
                <w:color w:val="1F1F1F"/>
                <w:sz w:val="24"/>
              </w:rPr>
            </w:r>
          </w:p>
        </w:tc>
        <w:tc>
          <w:tcPr>
            <w:tcW w:type="dxa" w:w="46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68" w:lineRule="exact" w:before="0" w:after="0"/>
              <w:ind w:left="102" w:right="0" w:firstLine="0"/>
              <w:jc w:val="left"/>
            </w:pPr>
            <w:r>
              <w:rPr>
                <w:rFonts w:ascii="ArialMT" w:hAnsi="ArialMT" w:eastAsia="ArialMT"/>
                <w:b w:val="0"/>
                <w:i w:val="0"/>
                <w:color w:val="1F1F1F"/>
                <w:sz w:val="24"/>
              </w:rPr>
              <w:t>Taqdim etilgan variantlarsiz ma'lumotlarni mustaqil sintez qilishni talab etuvchi savollar.</w:t>
            </w:r>
            <w:r/>
            <w:r>
              <w:rPr>
                <w:rFonts w:ascii="ArialMT" w:hAnsi="ArialMT" w:eastAsia="ArialMT"/>
                <w:b w:val="0"/>
                <w:i w:val="0"/>
                <w:color w:val="1F1F1F"/>
                <w:sz w:val="24"/>
              </w:rPr>
            </w:r>
            <w:r>
              <w:rPr>
                <w:rFonts w:ascii="ArialMT" w:hAnsi="ArialMT" w:eastAsia="ArialMT"/>
                <w:b w:val="0"/>
                <w:i w:val="0"/>
                <w:color w:val="1F1F1F"/>
                <w:sz w:val="24"/>
              </w:rPr>
            </w:r>
          </w:p>
        </w:tc>
      </w:tr>
      <w:tr>
        <w:trPr>
          <w:trHeight w:hRule="exact" w:val="840"/>
        </w:trPr>
        <w:tc>
          <w:tcPr>
            <w:tcW w:type="dxa" w:w="22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8" w:lineRule="exact" w:before="8" w:after="0"/>
              <w:ind w:left="104" w:right="0" w:firstLine="0"/>
              <w:jc w:val="left"/>
            </w:pPr>
            <w:r>
              <w:rPr>
                <w:rFonts w:ascii="ArialMT" w:hAnsi="ArialMT" w:eastAsia="ArialMT"/>
                <w:b w:val="0"/>
                <w:i w:val="0"/>
                <w:color w:val="1F1F1F"/>
                <w:sz w:val="24"/>
              </w:rPr>
              <w:t>Amaliy ko'nikmalar</w:t>
            </w:r>
          </w:p>
        </w:tc>
        <w:tc>
          <w:tcPr>
            <w:tcW w:type="dxa" w:w="24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0" w:right="576" w:firstLine="0"/>
              <w:jc w:val="left"/>
            </w:pPr>
            <w:r>
              <w:rPr>
                <w:rFonts w:ascii="ArialMT" w:hAnsi="ArialMT" w:eastAsia="ArialMT"/>
                <w:b w:val="0"/>
                <w:i w:val="0"/>
                <w:color w:val="1F1F1F"/>
                <w:sz w:val="24"/>
              </w:rPr>
              <w:t>Amaliy / Laboratoriya / Seminar ishi</w:t>
            </w:r>
            <w:r>
              <w:rPr>
                <w:rFonts w:ascii="ArialMT" w:hAnsi="ArialMT" w:eastAsia="ArialMT"/>
                <w:b w:val="0"/>
                <w:i w:val="0"/>
                <w:color w:val="1F1F1F"/>
                <w:sz w:val="24"/>
              </w:rPr>
            </w:r>
          </w:p>
        </w:tc>
        <w:tc>
          <w:tcPr>
            <w:tcW w:type="dxa" w:w="46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2" w:right="144" w:firstLine="0"/>
              <w:jc w:val="left"/>
            </w:pPr>
            <w:r>
              <w:rPr>
                <w:rFonts w:ascii="ArialMT" w:hAnsi="ArialMT" w:eastAsia="ArialMT"/>
                <w:b w:val="0"/>
                <w:i w:val="0"/>
                <w:color w:val="1F1F1F"/>
                <w:sz w:val="24"/>
              </w:rPr>
              <w:t>Amaliy texnik ko'nikmalar, keys-stadi yoki soha bo'yicha mashqlarni baholash.</w:t>
            </w:r>
            <w:r>
              <w:rPr>
                <w:rFonts w:ascii="ArialMT" w:hAnsi="ArialMT" w:eastAsia="ArialMT"/>
                <w:b w:val="0"/>
                <w:i w:val="0"/>
                <w:color w:val="1F1F1F"/>
                <w:sz w:val="24"/>
              </w:rPr>
            </w:r>
          </w:p>
        </w:tc>
      </w:tr>
      <w:tr>
        <w:trPr>
          <w:trHeight w:hRule="exact" w:val="816"/>
        </w:trPr>
        <w:tc>
          <w:tcPr>
            <w:tcW w:type="dxa" w:w="22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8" w:lineRule="exact" w:before="6" w:after="0"/>
              <w:ind w:left="104" w:right="0" w:firstLine="0"/>
              <w:jc w:val="left"/>
            </w:pPr>
            <w:r>
              <w:rPr>
                <w:rFonts w:ascii="ArialMT" w:hAnsi="ArialMT" w:eastAsia="ArialMT"/>
                <w:b w:val="0"/>
                <w:i w:val="0"/>
                <w:color w:val="1F1F1F"/>
                <w:sz w:val="24"/>
              </w:rPr>
              <w:t>Hujjatlashtirish</w:t>
            </w:r>
          </w:p>
        </w:tc>
        <w:tc>
          <w:tcPr>
            <w:tcW w:type="dxa" w:w="24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44" w:lineRule="exact" w:before="0" w:after="0"/>
              <w:ind w:left="100" w:right="0" w:firstLine="0"/>
              <w:jc w:val="left"/>
            </w:pPr>
            <w:r>
              <w:rPr>
                <w:rFonts w:ascii="ArialMT" w:hAnsi="ArialMT" w:eastAsia="ArialMT"/>
                <w:b w:val="0"/>
                <w:i w:val="0"/>
                <w:color w:val="1F1F1F"/>
                <w:sz w:val="24"/>
              </w:rPr>
              <w:t>Mustaqil hisobotlar / Portfoliolar</w:t>
            </w:r>
            <w:r>
              <w:rPr>
                <w:rFonts w:ascii="ArialMT" w:hAnsi="ArialMT" w:eastAsia="ArialMT"/>
                <w:b w:val="0"/>
                <w:i w:val="0"/>
                <w:color w:val="1F1F1F"/>
                <w:sz w:val="24"/>
              </w:rPr>
            </w:r>
          </w:p>
        </w:tc>
        <w:tc>
          <w:tcPr>
            <w:tcW w:type="dxa" w:w="461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44" w:lineRule="exact" w:before="0" w:after="0"/>
              <w:ind w:left="102" w:right="720" w:firstLine="0"/>
              <w:jc w:val="left"/>
            </w:pPr>
            <w:r>
              <w:rPr>
                <w:rFonts w:ascii="ArialMT" w:hAnsi="ArialMT" w:eastAsia="ArialMT"/>
                <w:b w:val="0"/>
                <w:i w:val="0"/>
                <w:color w:val="1F1F1F"/>
                <w:sz w:val="24"/>
              </w:rPr>
              <w:t>Talabaning tadqiqoti, ma'lumotlar tahlili yoki reflektiv amaliyoti dalillari.</w:t>
            </w:r>
            <w:r>
              <w:rPr>
                <w:rFonts w:ascii="ArialMT" w:hAnsi="ArialMT" w:eastAsia="ArialMT"/>
                <w:b w:val="0"/>
                <w:i w:val="0"/>
                <w:color w:val="1F1F1F"/>
                <w:sz w:val="24"/>
              </w:rPr>
            </w:r>
          </w:p>
        </w:tc>
      </w:tr>
    </w:tbl>
    <w:p>
      <w:pPr>
        <w:autoSpaceDN w:val="0"/>
        <w:autoSpaceDE w:val="0"/>
        <w:widowControl/>
        <w:spacing w:line="14" w:lineRule="exact" w:before="0" w:after="0"/>
        <w:ind w:left="0" w:right="0"/>
      </w:pPr>
    </w:p>
    <w:p>
      <w:pPr>
        <w:sectPr>
          <w:pgSz w:w="11906" w:h="16838"/>
          <w:pgMar w:top="354" w:right="764" w:bottom="57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4"/>
      </w:tblGrid>
      <w:tr>
        <w:trPr>
          <w:trHeight w:hRule="exact" w:val="324"/>
        </w:trPr>
        <w:tc>
          <w:tcPr>
            <w:tcW w:type="dxa" w:w="9410"/>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14" w:lineRule="exact" w:before="378" w:after="0"/>
        <w:ind w:left="262" w:right="0" w:firstLine="2718"/>
        <w:jc w:val="left"/>
      </w:pPr>
      <w:r>
        <w:rPr>
          <w:rFonts w:ascii="Arial" w:hAnsi="Arial" w:eastAsia="Arial"/>
          <w:b/>
          <w:i w:val="0"/>
          <w:color w:val="000000"/>
          <w:sz w:val="24"/>
        </w:rPr>
        <w:t>PROTSEDURA AMALGA OSHIRISH</w:t>
        <w:br/>
        <w:t>Tekshirish: O'quv ishlari bo'limi oraliq imtihon davridan 48 soat oldin raqamli baho daftarlari asosida har bir talabaning muvofiqlik holatini tekshiradi.</w:t>
      </w:r>
      <w:r/>
      <w:r>
        <w:rPr>
          <w:rFonts w:ascii="Arial" w:hAnsi="Arial" w:eastAsia="Arial"/>
          <w:b/>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p>
    <w:p>
      <w:pPr>
        <w:autoSpaceDN w:val="0"/>
        <w:autoSpaceDE w:val="0"/>
        <w:widowControl/>
        <w:spacing w:line="414" w:lineRule="exact" w:before="0" w:after="0"/>
        <w:ind w:left="262" w:right="144" w:firstLine="0"/>
        <w:jc w:val="left"/>
      </w:pPr>
      <w:r>
        <w:rPr>
          <w:rFonts w:ascii="Arial" w:hAnsi="Arial" w:eastAsia="Arial"/>
          <w:b/>
          <w:i w:val="0"/>
          <w:color w:val="000000"/>
          <w:sz w:val="24"/>
        </w:rPr>
        <w:t>Talabani xabardor qilish: Professor-o'qituvchilar semestrning o'rta nuqtasida uzluksiz baholash bali 10 balldan past bo'lgan talabalarga "Rivojlanish haqida ogohlantirish" berish uchun mas'uldir.</w:t>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p>
    <w:p>
      <w:pPr>
        <w:autoSpaceDN w:val="0"/>
        <w:tabs>
          <w:tab w:pos="970" w:val="left"/>
          <w:tab w:pos="2878" w:val="left"/>
        </w:tabs>
        <w:autoSpaceDE w:val="0"/>
        <w:widowControl/>
        <w:spacing w:line="414" w:lineRule="exact" w:before="0" w:after="0"/>
        <w:ind w:left="262" w:right="0" w:firstLine="0"/>
        <w:jc w:val="left"/>
      </w:pPr>
      <w:r>
        <w:rPr>
          <w:rFonts w:ascii="Arial" w:hAnsi="Arial" w:eastAsia="Arial"/>
          <w:b/>
          <w:i w:val="0"/>
          <w:color w:val="000000"/>
          <w:sz w:val="24"/>
        </w:rPr>
        <w:t>Nomuvofiqlik: 20 balllik talabni bajara olmagan talabalar imtihon zaliga kirishdan mahrum etiladi va "Uzluksiz rivojlanishning yetarli emasligi sababli nomuvofiq" deb qayd etiladi.</w:t>
        <w:br/>
        <w:tab/>
        <w:tab/>
        <w:t>SIFATNI TA'MINLASH NAZORATI</w:t>
        <w:br/>
        <w:tab/>
        <w:t>Sifatni ta'minlash bo'limi Uzluksiz baholash topshiriqlarini davriy ravishda audit qiladi, bunda Kundalik test savollari va Diskursiv savollarning qiyinlik darajasi tegishli dasturlarning Mo'ljallangan o'quv natijalari (ILO) bilan muvofiqligi ta'minlanadi.</w:t>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
      <w:r/>
      <w:r>
        <w:rPr>
          <w:rFonts w:ascii="Arial" w:hAnsi="Arial" w:eastAsia="Arial"/>
          <w:b/>
          <w:i w:val="0"/>
          <w:color w:val="000000"/>
          <w:sz w:val="24"/>
        </w:rPr>
      </w:r>
      <w: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p>
    <w:p>
      <w:pPr>
        <w:autoSpaceDN w:val="0"/>
        <w:autoSpaceDE w:val="0"/>
        <w:widowControl/>
        <w:spacing w:line="266" w:lineRule="exact" w:before="148" w:after="0"/>
        <w:ind w:left="0" w:right="3140" w:firstLine="0"/>
        <w:jc w:val="right"/>
      </w:pPr>
      <w:r>
        <w:rPr>
          <w:rFonts w:ascii="Arial" w:hAnsi="Arial" w:eastAsia="Arial"/>
          <w:b/>
          <w:i w:val="0"/>
          <w:color w:val="000000"/>
          <w:sz w:val="24"/>
        </w:rPr>
        <w:t>RASMIY TASDIQLASH:</w:t>
      </w:r>
    </w:p>
    <w:p>
      <w:pPr>
        <w:autoSpaceDN w:val="0"/>
        <w:autoSpaceDE w:val="0"/>
        <w:widowControl/>
        <w:spacing w:line="266" w:lineRule="exact" w:before="368" w:after="0"/>
        <w:ind w:left="262" w:right="0" w:firstLine="0"/>
        <w:jc w:val="left"/>
      </w:pPr>
      <w:r>
        <w:rPr>
          <w:rFonts w:ascii="ArialMT" w:hAnsi="ArialMT" w:eastAsia="ArialMT"/>
          <w:b w:val="0"/>
          <w:i w:val="0"/>
          <w:color w:val="000000"/>
          <w:sz w:val="24"/>
        </w:rPr>
        <w:t>(Imzo) __________________________</w:t>
      </w:r>
    </w:p>
    <w:p>
      <w:pPr>
        <w:autoSpaceDN w:val="0"/>
        <w:autoSpaceDE w:val="0"/>
        <w:widowControl/>
        <w:spacing w:line="266" w:lineRule="exact" w:before="370" w:after="0"/>
        <w:ind w:left="262" w:right="0" w:firstLine="0"/>
        <w:jc w:val="left"/>
      </w:pPr>
      <w:r>
        <w:rPr>
          <w:rFonts w:ascii="ArialMT" w:hAnsi="ArialMT" w:eastAsia="ArialMT"/>
          <w:b w:val="0"/>
          <w:i w:val="0"/>
          <w:color w:val="000000"/>
          <w:sz w:val="24"/>
        </w:rPr>
        <w:t>O'quv ishlari bo'limi boshlig'i: I. Shoymardonov</w:t>
      </w:r>
    </w:p>
    <w:p>
      <w:pPr>
        <w:autoSpaceDN w:val="0"/>
        <w:autoSpaceDE w:val="0"/>
        <w:widowControl/>
        <w:spacing w:line="266" w:lineRule="exact" w:before="368" w:after="0"/>
        <w:ind w:left="262" w:right="0" w:firstLine="0"/>
        <w:jc w:val="left"/>
      </w:pPr>
      <w:r>
        <w:rPr>
          <w:rFonts w:ascii="ArialMT" w:hAnsi="ArialMT" w:eastAsia="ArialMT"/>
          <w:b w:val="0"/>
          <w:i w:val="0"/>
          <w:color w:val="000000"/>
          <w:sz w:val="24"/>
        </w:rPr>
        <w:t>(Imzo) __________________________</w:t>
      </w:r>
    </w:p>
    <w:p>
      <w:pPr>
        <w:autoSpaceDN w:val="0"/>
        <w:autoSpaceDE w:val="0"/>
        <w:widowControl/>
        <w:spacing w:line="268" w:lineRule="exact" w:before="326" w:after="0"/>
        <w:ind w:left="262" w:right="0" w:firstLine="0"/>
        <w:jc w:val="left"/>
      </w:pPr>
      <w:r>
        <w:rPr>
          <w:rFonts w:ascii="ArialMT" w:hAnsi="ArialMT" w:eastAsia="ArialMT"/>
          <w:b w:val="0"/>
          <w:i w:val="0"/>
          <w:color w:val="000000"/>
          <w:sz w:val="24"/>
        </w:rPr>
        <w:t>Sifatni ta'minlash bo'limi boshlig'i: U. Xaliyarov</w:t>
      </w:r>
    </w:p>
    <w:p>
      <w:pPr>
        <w:autoSpaceDN w:val="0"/>
        <w:autoSpaceDE w:val="0"/>
        <w:widowControl/>
        <w:spacing w:line="240" w:lineRule="auto" w:before="1378" w:after="0"/>
        <w:ind w:left="262" w:right="0" w:firstLine="0"/>
        <w:jc w:val="left"/>
      </w:pPr>
      <w:r>
        <w:drawing>
          <wp:inline xmlns:a="http://schemas.openxmlformats.org/drawingml/2006/main" xmlns:pic="http://schemas.openxmlformats.org/drawingml/2006/picture">
            <wp:extent cx="5939789" cy="22631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39789" cy="2263140"/>
                    </a:xfrm>
                    <a:prstGeom prst="rect"/>
                  </pic:spPr>
                </pic:pic>
              </a:graphicData>
            </a:graphic>
          </wp:inline>
        </w:drawing>
      </w:r>
    </w:p>
    <w:sectPr w:rsidR="00FC693F" w:rsidRPr="0006063C" w:rsidSect="00034616">
      <w:pgSz w:w="11906" w:h="16838"/>
      <w:pgMar w:top="354" w:right="762" w:bottom="89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