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RASMIY TARJIMA</w:t>
            </w:r>
          </w:p>
        </w:tc>
      </w:tr>
    </w:tbl>
    <w:p>
      <w:pPr>
        <w:autoSpaceDN w:val="0"/>
        <w:autoSpaceDE w:val="0"/>
        <w:widowControl/>
        <w:spacing w:line="233" w:lineRule="auto" w:before="9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RASMIY RUXSATNOMA: FAVQULODDA IMTIHON RUXSATI</w:t>
      </w:r>
    </w:p>
    <w:p>
      <w:pPr>
        <w:autoSpaceDN w:val="0"/>
        <w:autoSpaceDE w:val="0"/>
        <w:widowControl/>
        <w:spacing w:line="233" w:lineRule="auto" w:before="17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Ref raqami: TSU-DEAN-2025/_____</w:t>
      </w:r>
    </w:p>
    <w:p>
      <w:pPr>
        <w:autoSpaceDN w:val="0"/>
        <w:autoSpaceDE w:val="0"/>
        <w:widowControl/>
        <w:spacing w:line="268" w:lineRule="exact" w:before="170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KIMGA: Modul o'qituvchisi / Ro'yxatga olish bo'limi</w:t>
      </w:r>
    </w:p>
    <w:p>
      <w:pPr>
        <w:autoSpaceDN w:val="0"/>
        <w:autoSpaceDE w:val="0"/>
        <w:widowControl/>
        <w:spacing w:line="414" w:lineRule="exact" w:before="414" w:after="0"/>
        <w:ind w:left="28" w:right="14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Kimdan: Dekan devoni, __________________________ fakulteti</w:t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414" w:lineRule="exact" w:before="240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1. RUXSAT TAFSILOTLARI</w:t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4"/>
        </w:rPr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416" w:lineRule="exact" w:before="238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Vazirlik buyrug'i №3069, 3-bob, 23-bandiga muvofiq, quyidagi talabaga "Favqulodda holatlar" doirasida qayta rejalashtirilgan baholashdan o'tish uchun ruxsat beriladi.</w:t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414" w:lineRule="exact" w:before="0" w:after="0"/>
        <w:ind w:left="28" w:right="302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Talaba ismi (F.I.SH.): __________________________________________</w:t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414" w:lineRule="exact" w:before="0" w:after="0"/>
        <w:ind w:left="2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Talaba ID / Guruh: ______________________________________</w:t>
      </w:r>
      <w:r>
        <w:rPr>
          <w:rFonts w:ascii="ArialMT" w:hAnsi="ArialMT" w:eastAsia="Arial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414" w:lineRule="exact" w:before="238" w:after="0"/>
        <w:ind w:left="28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Modul nomi: ____________________________________________</w:t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414" w:lineRule="exact" w:before="2" w:after="0"/>
        <w:ind w:left="2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Dastlabki imtihon sanasi: ______________________________________</w:t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414" w:lineRule="exact" w:before="0" w:after="0"/>
        <w:ind w:left="28" w:right="259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2. BAHOLASH HOLATI</w:t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4"/>
        </w:rPr>
      </w:r>
    </w:p>
    <w:p>
      <w:pPr>
        <w:sectPr>
          <w:pgSz w:w="12240" w:h="15840"/>
          <w:pgMar w:top="360" w:right="1340" w:bottom="782" w:left="1412" w:header="720" w:footer="720" w:gutter="0"/>
          <w:cols/>
          <w:docGrid w:linePitch="360"/>
        </w:sectPr>
      </w:pPr>
      <w:r>
        <w:t>Dekan devoni taqdim etilgan dalillarni tekshirdi (Ariza Ref: ________) va favqulodda holatning haqiqiyligini tasdiqladi.</w:t>
      </w: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t>Baholash kategoriyasi: [ ] Oraliq / [ ] Yakuniy</w:t>
        <w:br/>
        <w:t>Baho holati: Bu asosiy urinish sifatida qayd etiladi.</w:t>
        <w:br/>
        <w:t>Stipendiyaga ta'siri: Talaba akademik stipendiyaga nomzodligini saqlab qoladi ("Qayta topshirish" jazosi qo'llanilmaydi).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OFFICIAL TRANSLATION </w:t>
            </w:r>
          </w:p>
        </w:tc>
      </w:tr>
    </w:tbl>
    <w:p>
      <w:pPr>
        <w:autoSpaceDN w:val="0"/>
        <w:autoSpaceDE w:val="0"/>
        <w:widowControl/>
        <w:spacing w:line="240" w:lineRule="auto" w:before="92" w:after="0"/>
        <w:ind w:left="28" w:right="0" w:firstLine="0"/>
        <w:jc w:val="left"/>
      </w:pPr>
      <w:r>
        <w:t>3. O'QITUVCHI UCHUN KO'RSATMALAR</w:t>
      </w:r>
    </w:p>
    <w:sectPr w:rsidR="00FC693F" w:rsidRPr="0006063C" w:rsidSect="00034616">
      <w:pgSz w:w="12240" w:h="15840"/>
      <w:pgMar w:top="360" w:right="1340" w:bottom="1440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