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40"/>
        <w:ind w:left="0" w:right="0"/>
      </w:pPr>
    </w:p>
    <w:tbl>
      <w:tblPr>
        <w:tblW w:type="auto" w:w="0"/>
        <w:tblLayout w:type="fixed"/>
        <w:tblLook w:firstColumn="1" w:firstRow="1" w:lastColumn="0" w:lastRow="0" w:noHBand="0" w:noVBand="1" w:val="04A0"/>
        <w:tblInd w:w="0.0" w:type="dxa"/>
      </w:tblPr>
      <w:tblGrid>
        <w:gridCol w:w="9488"/>
      </w:tblGrid>
      <w:tr>
        <w:trPr>
          <w:trHeight w:hRule="exact" w:val="322"/>
        </w:trPr>
        <w:tc>
          <w:tcPr>
            <w:tcW w:type="dxa" w:w="9468"/>
            <w:tcBorders/>
            <w:tcMar>
              <w:start w:w="0" w:type="dxa"/>
              <w:end w:w="0" w:type="dxa"/>
            </w:tcMar>
          </w:tcPr>
          <w:p>
            <w:pPr>
              <w:autoSpaceDN w:val="0"/>
              <w:autoSpaceDE w:val="0"/>
              <w:widowControl/>
              <w:spacing w:line="312" w:lineRule="exact" w:before="8" w:after="0"/>
              <w:ind w:left="0" w:right="0" w:firstLine="0"/>
              <w:jc w:val="right"/>
            </w:pPr>
            <w:r>
              <w:rPr>
                <w:rFonts w:ascii="Arial" w:hAnsi="Arial" w:eastAsia="Arial"/>
                <w:b/>
                <w:i w:val="0"/>
                <w:color w:val="000000"/>
                <w:sz w:val="28"/>
              </w:rPr>
              <w:t>RASMIY TARJIMA</w:t>
            </w:r>
          </w:p>
        </w:tc>
      </w:tr>
    </w:tbl>
    <w:p>
      <w:pPr>
        <w:autoSpaceDN w:val="0"/>
        <w:autoSpaceDE w:val="0"/>
        <w:widowControl/>
        <w:spacing w:line="314" w:lineRule="exact" w:before="98" w:after="0"/>
        <w:ind w:left="0" w:right="0" w:firstLine="0"/>
        <w:jc w:val="center"/>
      </w:pPr>
      <w:r>
        <w:rPr>
          <w:rFonts w:ascii="Arial" w:hAnsi="Arial" w:eastAsia="Arial"/>
          <w:b/>
          <w:i w:val="0"/>
          <w:color w:val="000000"/>
          <w:sz w:val="28"/>
        </w:rPr>
        <w:t>INDIVIDUAL O'QUV REJASI (ILP) SERTIFIKATI</w:t>
      </w:r>
    </w:p>
    <w:p>
      <w:pPr>
        <w:autoSpaceDN w:val="0"/>
        <w:autoSpaceDE w:val="0"/>
        <w:widowControl/>
        <w:spacing w:line="312" w:lineRule="exact" w:before="172" w:after="0"/>
        <w:ind w:left="0" w:right="0" w:firstLine="0"/>
        <w:jc w:val="center"/>
      </w:pPr>
      <w:r>
        <w:rPr>
          <w:rFonts w:ascii="Arial" w:hAnsi="Arial" w:eastAsia="Arial"/>
          <w:b/>
          <w:i w:val="0"/>
          <w:color w:val="000000"/>
          <w:sz w:val="28"/>
        </w:rPr>
        <w:t>Termiz davlat universiteti O'quv ishlari bo'limi tomonidan berilgan</w:t>
      </w:r>
    </w:p>
    <w:p>
      <w:pPr>
        <w:autoSpaceDN w:val="0"/>
        <w:autoSpaceDE w:val="0"/>
        <w:widowControl/>
        <w:spacing w:line="416" w:lineRule="exact" w:before="504" w:after="0"/>
        <w:ind w:left="28" w:right="1728" w:firstLine="0"/>
        <w:jc w:val="left"/>
      </w:pPr>
      <w:r>
        <w:rPr>
          <w:rFonts w:ascii="ArialMT" w:hAnsi="ArialMT" w:eastAsia="ArialMT"/>
          <w:b w:val="0"/>
          <w:i w:val="0"/>
          <w:color w:val="000000"/>
          <w:sz w:val="24"/>
        </w:rPr>
        <w:t>Sertifikat raqami: TSU-ILP-2026/_____</w:t>
      </w:r>
      <w:r/>
      <w:r>
        <w:rPr>
          <w:rFonts w:ascii="ArialMT" w:hAnsi="ArialMT" w:eastAsia="ArialMT"/>
          <w:b w:val="0"/>
          <w:i w:val="0"/>
          <w:color w:val="000000"/>
          <w:sz w:val="24"/>
        </w:rPr>
      </w:r>
    </w:p>
    <w:p>
      <w:pPr>
        <w:autoSpaceDN w:val="0"/>
        <w:autoSpaceDE w:val="0"/>
        <w:widowControl/>
        <w:spacing w:line="414" w:lineRule="exact" w:before="238" w:after="0"/>
        <w:ind w:left="28" w:right="2448" w:firstLine="0"/>
        <w:jc w:val="left"/>
      </w:pPr>
      <w:r>
        <w:rPr>
          <w:rFonts w:ascii="Arial" w:hAnsi="Arial" w:eastAsia="Arial"/>
          <w:b/>
          <w:i w:val="0"/>
          <w:color w:val="000000"/>
          <w:sz w:val="24"/>
        </w:rPr>
        <w:t>Amal qilish muddati: [ ] Joriy semestr / [ ] O'quv yili / [ ] Doimiy</w:t>
      </w: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p>
    <w:p>
      <w:pPr>
        <w:autoSpaceDN w:val="0"/>
        <w:tabs>
          <w:tab w:pos="736" w:val="left"/>
        </w:tabs>
        <w:autoSpaceDE w:val="0"/>
        <w:widowControl/>
        <w:spacing w:line="414" w:lineRule="exact" w:before="414" w:after="0"/>
        <w:ind w:left="28" w:right="0" w:firstLine="0"/>
        <w:jc w:val="left"/>
      </w:pPr>
      <w:r>
        <w:rPr>
          <w:rFonts w:ascii="Arial" w:hAnsi="Arial" w:eastAsia="Arial"/>
          <w:b/>
          <w:i w:val="0"/>
          <w:color w:val="000000"/>
          <w:sz w:val="24"/>
        </w:rPr>
        <w:t>1. TALABA MA'LUMOTLARI</w:t>
      </w:r>
      <w:r/>
      <w:r/>
      <w:r>
        <w:rPr>
          <w:rFonts w:ascii="ArialMT" w:hAnsi="ArialMT" w:eastAsia="ArialMT"/>
          <w:b w:val="0"/>
          <w:i w:val="0"/>
          <w:color w:val="000000"/>
          <w:sz w:val="24"/>
        </w:rPr>
      </w:r>
      <w:r>
        <w:rPr>
          <w:rFonts w:ascii="ArialMT" w:hAnsi="ArialMT" w:eastAsia="ArialMT"/>
          <w:b w:val="0"/>
          <w:i w:val="0"/>
          <w:color w:val="000000"/>
          <w:sz w:val="24"/>
        </w:rPr>
      </w:r>
      <w:r/>
      <w:r>
        <w:rPr>
          <w:rFonts w:ascii="ArialMT" w:hAnsi="ArialMT" w:eastAsia="ArialMT"/>
          <w:b w:val="0"/>
          <w:i w:val="0"/>
          <w:color w:val="000000"/>
          <w:sz w:val="24"/>
        </w:rPr>
      </w:r>
      <w:r>
        <w:rPr>
          <w:rFonts w:ascii="ArialMT" w:hAnsi="ArialMT" w:eastAsia="ArialMT"/>
          <w:b w:val="0"/>
          <w:i w:val="0"/>
          <w:color w:val="000000"/>
          <w:sz w:val="24"/>
        </w:rPr>
      </w:r>
    </w:p>
    <w:p>
      <w:pPr>
        <w:autoSpaceDN w:val="0"/>
        <w:autoSpaceDE w:val="0"/>
        <w:widowControl/>
        <w:spacing w:line="414" w:lineRule="exact" w:before="0" w:after="0"/>
        <w:ind w:left="28" w:right="0" w:firstLine="0"/>
        <w:jc w:val="left"/>
      </w:pPr>
      <w:r>
        <w:rPr>
          <w:rFonts w:ascii="ArialMT" w:hAnsi="ArialMT" w:eastAsia="ArialMT"/>
          <w:b w:val="0"/>
          <w:i w:val="0"/>
          <w:color w:val="000000"/>
          <w:sz w:val="24"/>
        </w:rPr>
        <w:t>F.I.SH.: __________________________________________</w:t>
      </w:r>
      <w:r>
        <w:rPr>
          <w:rFonts w:ascii="ArialMT" w:hAnsi="ArialMT" w:eastAsia="ArialMT"/>
          <w:b w:val="0"/>
          <w:i w:val="0"/>
          <w:color w:val="000000"/>
          <w:sz w:val="24"/>
        </w:rPr>
      </w:r>
    </w:p>
    <w:p>
      <w:pPr>
        <w:autoSpaceDN w:val="0"/>
        <w:autoSpaceDE w:val="0"/>
        <w:widowControl/>
        <w:spacing w:line="412" w:lineRule="exact" w:before="2" w:after="0"/>
        <w:ind w:left="28" w:right="144" w:firstLine="0"/>
        <w:jc w:val="left"/>
      </w:pPr>
      <w:r>
        <w:rPr>
          <w:rFonts w:ascii="ArialMT" w:hAnsi="ArialMT" w:eastAsia="ArialMT"/>
          <w:b w:val="0"/>
          <w:i w:val="0"/>
          <w:color w:val="000000"/>
          <w:sz w:val="24"/>
        </w:rPr>
        <w:t>Talaba ID: __________________________________________</w:t>
      </w:r>
      <w:r>
        <w:rPr>
          <w:rFonts w:ascii="ArialMT" w:hAnsi="ArialMT" w:eastAsia="ArialMT"/>
          <w:b w:val="0"/>
          <w:i w:val="0"/>
          <w:color w:val="000000"/>
          <w:sz w:val="24"/>
        </w:rPr>
      </w:r>
    </w:p>
    <w:p>
      <w:pPr>
        <w:autoSpaceDN w:val="0"/>
        <w:autoSpaceDE w:val="0"/>
        <w:widowControl/>
        <w:spacing w:line="412" w:lineRule="exact" w:before="4" w:after="0"/>
        <w:ind w:left="28" w:right="432" w:firstLine="0"/>
        <w:jc w:val="left"/>
      </w:pPr>
      <w:r>
        <w:rPr>
          <w:rFonts w:ascii="ArialMT" w:hAnsi="ArialMT" w:eastAsia="ArialMT"/>
          <w:b w:val="0"/>
          <w:i w:val="0"/>
          <w:color w:val="000000"/>
          <w:sz w:val="24"/>
        </w:rPr>
        <w:t>Fakultet/Kafedra: __________________________________</w:t>
      </w:r>
      <w:r>
        <w:rPr>
          <w:rFonts w:ascii="ArialMT" w:hAnsi="ArialMT" w:eastAsia="ArialMT"/>
          <w:b w:val="0"/>
          <w:i w:val="0"/>
          <w:color w:val="000000"/>
          <w:sz w:val="24"/>
        </w:rPr>
      </w:r>
    </w:p>
    <w:p>
      <w:pPr>
        <w:autoSpaceDN w:val="0"/>
        <w:autoSpaceDE w:val="0"/>
        <w:widowControl/>
        <w:spacing w:line="412" w:lineRule="exact" w:before="4" w:after="0"/>
        <w:ind w:left="28" w:right="576" w:firstLine="0"/>
        <w:jc w:val="left"/>
      </w:pPr>
      <w:r>
        <w:rPr>
          <w:rFonts w:ascii="ArialMT" w:hAnsi="ArialMT" w:eastAsia="ArialMT"/>
          <w:b w:val="0"/>
          <w:i w:val="0"/>
          <w:color w:val="000000"/>
          <w:sz w:val="24"/>
        </w:rPr>
        <w:t>2. RUXSAT ETILGAN MOSLASHMALAR</w:t>
      </w:r>
      <w:r>
        <w:rPr>
          <w:rFonts w:ascii="ArialMT" w:hAnsi="ArialMT" w:eastAsia="ArialMT"/>
          <w:b w:val="0"/>
          <w:i w:val="0"/>
          <w:color w:val="000000"/>
          <w:sz w:val="24"/>
        </w:rPr>
      </w:r>
    </w:p>
    <w:p>
      <w:pPr>
        <w:autoSpaceDN w:val="0"/>
        <w:autoSpaceDE w:val="0"/>
        <w:widowControl/>
        <w:spacing w:line="414" w:lineRule="exact" w:before="162" w:after="0"/>
        <w:ind w:left="28" w:right="0" w:firstLine="0"/>
        <w:jc w:val="left"/>
      </w:pPr>
      <w:r>
        <w:rPr>
          <w:rFonts w:ascii="Arial" w:hAnsi="Arial" w:eastAsia="Arial"/>
          <w:b/>
          <w:i w:val="0"/>
          <w:color w:val="000000"/>
          <w:sz w:val="24"/>
        </w:rPr>
        <w:t>Tasdiqlangan ariza va qo'llab-quvvatlovchi hujjatlar asosida standart baholash muhitiga quyidagi o'zgartirishlar majburiy hisoblanadi:</w:t>
      </w: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r>
        <w:rPr>
          <w:rFonts w:ascii="ArialMT" w:hAnsi="ArialMT" w:eastAsia="ArialMT"/>
          <w:b w:val="0"/>
          <w:i w:val="0"/>
          <w:color w:val="000000"/>
          <w:sz w:val="24"/>
        </w:rPr>
      </w:r>
    </w:p>
    <w:p>
      <w:pPr>
        <w:autoSpaceDN w:val="0"/>
        <w:autoSpaceDE w:val="0"/>
        <w:widowControl/>
        <w:spacing w:line="414" w:lineRule="exact" w:before="0" w:after="0"/>
        <w:ind w:left="28" w:right="2736" w:firstLine="0"/>
        <w:jc w:val="left"/>
      </w:pPr>
      <w:r>
        <w:rPr>
          <w:rFonts w:ascii="ArialMT" w:hAnsi="ArialMT" w:eastAsia="ArialMT"/>
          <w:b w:val="0"/>
          <w:i w:val="0"/>
          <w:color w:val="000000"/>
          <w:sz w:val="24"/>
        </w:rPr>
        <w:t>[ ] Vaqt uzaytirish: Talaba barcha yozma imtihonlar uchun _______% qo'shimcha vaqt olish huquqiga ega (standart: +25%).</w:t>
        <w:br/>
        <w:t>[ ] Moslashuvchan muddatlar: Talaba uy topshiriqlari/hisobotlar uchun _______ kungacha muddat uzaytirish so'rashi mumkin.</w:t>
        <w:br/>
        <w:t>[ ] O'zgartirilgan format: Pedagogik maqsadlar imkon bergan hollarda standart yozma test o'rniga [ ] Og'zaki imtihon yoki [ ] Amaliy namoyish o'tkazish ruxsati.</w:t>
        <w:br/>
        <w:t>[ ] Muhit ehtiyojlari: [masalan, alohida jim xona, ergonomik o'tirg'ich, raqamli yordamchi vositalar] ta'minlanishi.</w:t>
        <w:br/>
        <w:t>[ ] Davomat moslashuvchanligi: Tibbiy/parvarishlash uchrashuvlari uchun akademik jazo qo'llanilmasdan ruxsat etilgan darslardan qolish.</w:t>
      </w:r>
      <w:r/>
      <w:r>
        <w:rPr>
          <w:rFonts w:ascii="ArialMT" w:hAnsi="ArialMT" w:eastAsia="ArialMT"/>
          <w:b w:val="0"/>
          <w:i w:val="0"/>
          <w:color w:val="000000"/>
          <w:sz w:val="24"/>
        </w:rPr>
      </w:r>
      <w:r/>
      <w:r>
        <w:rPr>
          <w:rFonts w:ascii="ArialMT" w:hAnsi="ArialMT" w:eastAsia="ArialMT"/>
          <w:b w:val="0"/>
          <w:i w:val="0"/>
          <w:color w:val="000000"/>
          <w:sz w:val="24"/>
        </w:rPr>
      </w:r>
    </w:p>
    <w:p>
      <w:pPr>
        <w:sectPr>
          <w:pgSz w:w="12240" w:h="15840"/>
          <w:pgMar w:top="360" w:right="1340" w:bottom="700" w:left="1412" w:header="720" w:footer="720" w:gutter="0"/>
          <w:cols/>
          <w:docGrid w:linePitch="360"/>
        </w:sectPr>
      </w:pPr>
      <w:r>
        <w:t>3. PROFESSOR-O'QITUVCHILAR UCHUN KO'RSATMALAR</w:t>
      </w:r>
    </w:p>
    <w:p>
      <w:pPr>
        <w:autoSpaceDN w:val="0"/>
        <w:autoSpaceDE w:val="0"/>
        <w:widowControl/>
        <w:spacing w:line="220" w:lineRule="exact" w:before="0" w:after="140"/>
        <w:ind w:left="0" w:right="0"/>
      </w:pPr>
      <w:r>
        <w:t>Universitetning Teng imkoniyatlar siyosatiga muvofiq, o'qituvchilar ushbu moslashmalarni joriy etishlari shart. Ushbu choralar adolat va tenglikni ta'minlash uchun mo'ljallangan bo'lib, akademik standartlarni pasaytirish yoki modul Mo'ljallangan o'quv natijalarini (ILO) o'zgartirishni anglatmaydi.</w:t>
      </w:r>
    </w:p>
    <w:tbl>
      <w:tblPr>
        <w:tblW w:type="auto" w:w="0"/>
        <w:tblLayout w:type="fixed"/>
        <w:tblLook w:firstColumn="1" w:firstRow="1" w:lastColumn="0" w:lastRow="0" w:noHBand="0" w:noVBand="1" w:val="04A0"/>
        <w:tblInd w:w="0.0" w:type="dxa"/>
      </w:tblPr>
      <w:tblGrid>
        <w:gridCol w:w="9488"/>
      </w:tblGrid>
      <w:tr>
        <w:trPr>
          <w:trHeight w:hRule="exact" w:val="322"/>
        </w:trPr>
        <w:tc>
          <w:tcPr>
            <w:tcW w:type="dxa" w:w="9468"/>
            <w:tcBorders/>
            <w:tcMar>
              <w:start w:w="0" w:type="dxa"/>
              <w:end w:w="0" w:type="dxa"/>
            </w:tcMar>
          </w:tcPr>
          <w:p>
            <w:pPr>
              <w:autoSpaceDN w:val="0"/>
              <w:autoSpaceDE w:val="0"/>
              <w:widowControl/>
              <w:spacing w:line="312" w:lineRule="exact" w:before="8" w:after="0"/>
              <w:ind w:left="0" w:right="0" w:firstLine="0"/>
              <w:jc w:val="right"/>
            </w:pPr>
            <w:r>
              <w:rPr>
                <w:rFonts w:ascii="Arial" w:hAnsi="Arial" w:eastAsia="Arial"/>
                <w:b/>
                <w:i w:val="0"/>
                <w:color w:val="000000"/>
                <w:sz w:val="28"/>
              </w:rPr>
              <w:t xml:space="preserve">OFFICIAL TRANSLATION </w:t>
            </w:r>
          </w:p>
        </w:tc>
      </w:tr>
    </w:tbl>
    <w:p>
      <w:pPr>
        <w:autoSpaceDN w:val="0"/>
        <w:autoSpaceDE w:val="0"/>
        <w:widowControl/>
        <w:spacing w:line="240" w:lineRule="auto" w:before="92" w:after="0"/>
        <w:ind w:left="0" w:right="0" w:firstLine="0"/>
        <w:jc w:val="center"/>
      </w:pPr>
      <w:r>
        <w:t>Ruxsat bergan: ______________________________</w:t>
      </w:r>
    </w:p>
    <w:sectPr w:rsidR="00FC693F" w:rsidRPr="0006063C" w:rsidSect="00034616">
      <w:pgSz w:w="12240" w:h="15840"/>
      <w:pgMar w:top="360" w:right="1340" w:bottom="1440"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