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2"/>
      </w:tblGrid>
      <w:tr>
        <w:trPr>
          <w:trHeight w:hRule="exact" w:val="340"/>
        </w:trPr>
        <w:tc>
          <w:tcPr>
            <w:tcW w:type="dxa" w:w="10128"/>
            <w:tcBorders/>
            <w:tcMar>
              <w:start w:w="0" w:type="dxa"/>
              <w:end w:w="0" w:type="dxa"/>
            </w:tcMar>
          </w:tcPr>
          <w:p>
            <w:pPr>
              <w:autoSpaceDN w:val="0"/>
              <w:autoSpaceDE w:val="0"/>
              <w:widowControl/>
              <w:spacing w:line="240" w:lineRule="auto" w:before="0" w:after="0"/>
              <w:ind w:left="0" w:right="0" w:firstLine="0"/>
              <w:jc w:val="right"/>
            </w:pPr>
            <w:r>
              <w:rPr>
                <w:rFonts w:ascii="Aptos" w:hAnsi="Aptos" w:eastAsia="Aptos"/>
                <w:b/>
                <w:i w:val="0"/>
                <w:color w:val="000000"/>
                <w:sz w:val="28"/>
              </w:rPr>
              <w:t>RASMIY TARJIMA</w:t>
            </w:r>
          </w:p>
        </w:tc>
      </w:tr>
    </w:tbl>
    <w:p>
      <w:pPr>
        <w:autoSpaceDN w:val="0"/>
        <w:autoSpaceDE w:val="0"/>
        <w:widowControl/>
        <w:spacing w:line="278" w:lineRule="exact" w:before="390" w:after="0"/>
        <w:ind w:left="0" w:right="0" w:firstLine="0"/>
        <w:jc w:val="center"/>
      </w:pPr>
      <w:r>
        <w:rPr>
          <w:rFonts w:ascii="ArialMT" w:hAnsi="ArialMT" w:eastAsia="ArialMT"/>
          <w:b w:val="0"/>
          <w:i w:val="0"/>
          <w:color w:val="000080"/>
          <w:sz w:val="25"/>
        </w:rPr>
        <w:t>Vazirlar Mahkamasining 2025-yil 13-sentabrdagi 578-sonli qaroriga 4-ILOVA</w:t>
      </w:r>
      <w:r>
        <w:rPr>
          <w:rFonts w:ascii="ArialMT" w:hAnsi="ArialMT" w:eastAsia="ArialMT"/>
          <w:b w:val="0"/>
          <w:i w:val="0"/>
          <w:color w:val="000080"/>
          <w:sz w:val="25"/>
        </w:rPr>
      </w:r>
      <w:r>
        <w:rPr>
          <w:rFonts w:ascii="ArialMT" w:hAnsi="ArialMT" w:eastAsia="ArialMT"/>
          <w:b w:val="0"/>
          <w:i w:val="0"/>
          <w:color w:val="008080"/>
          <w:sz w:val="25"/>
          <w:u w:val="single"/>
        </w:rPr>
      </w:r>
      <w:r>
        <w:rPr>
          <w:rFonts w:ascii="ArialMT" w:hAnsi="ArialMT" w:eastAsia="ArialMT"/>
          <w:b w:val="0"/>
          <w:i w:val="0"/>
          <w:color w:val="000080"/>
          <w:sz w:val="25"/>
        </w:rPr>
      </w:r>
    </w:p>
    <w:p>
      <w:pPr>
        <w:autoSpaceDN w:val="0"/>
        <w:autoSpaceDE w:val="0"/>
        <w:widowControl/>
        <w:spacing w:line="314" w:lineRule="exact" w:before="154" w:after="0"/>
        <w:ind w:left="720" w:right="720" w:firstLine="0"/>
        <w:jc w:val="center"/>
      </w:pPr>
      <w:r>
        <w:rPr>
          <w:rFonts w:ascii="Arial" w:hAnsi="Arial" w:eastAsia="Arial"/>
          <w:b/>
          <w:i w:val="0"/>
          <w:color w:val="000080"/>
          <w:sz w:val="27"/>
        </w:rPr>
        <w:t>OLIY TAʼLIM MUASSASALARI TALABALARINING AKADEMIK MOBILLIGINI TASHKIL ETISH TARTIBI TOʻGʻRISIDA</w:t>
      </w:r>
      <w:r>
        <w:rPr>
          <w:rFonts w:ascii="Arial" w:hAnsi="Arial" w:eastAsia="Arial"/>
          <w:b/>
          <w:i w:val="0"/>
          <w:color w:val="000080"/>
          <w:sz w:val="27"/>
        </w:rPr>
      </w:r>
    </w:p>
    <w:p>
      <w:pPr>
        <w:autoSpaceDN w:val="0"/>
        <w:autoSpaceDE w:val="0"/>
        <w:widowControl/>
        <w:spacing w:line="314" w:lineRule="exact" w:before="114" w:after="0"/>
        <w:ind w:left="3024" w:right="3024" w:firstLine="0"/>
        <w:jc w:val="center"/>
      </w:pPr>
      <w:r>
        <w:rPr>
          <w:rFonts w:ascii="ArialMT" w:hAnsi="ArialMT" w:eastAsia="ArialMT"/>
          <w:b w:val="0"/>
          <w:i w:val="0"/>
          <w:color w:val="000080"/>
          <w:sz w:val="27"/>
        </w:rPr>
        <w:t>NIZOM</w:t>
        <w:br/>
        <w:t>1-bob. Umumiy qoidalar</w:t>
      </w:r>
      <w:r/>
      <w:r>
        <w:rPr>
          <w:rFonts w:ascii="Arial" w:hAnsi="Arial" w:eastAsia="Arial"/>
          <w:b/>
          <w:i w:val="0"/>
          <w:color w:val="000080"/>
          <w:sz w:val="27"/>
        </w:rPr>
      </w:r>
    </w:p>
    <w:p>
      <w:pPr>
        <w:autoSpaceDN w:val="0"/>
        <w:autoSpaceDE w:val="0"/>
        <w:widowControl/>
        <w:spacing w:line="310" w:lineRule="exact" w:before="56" w:after="0"/>
        <w:ind w:left="28" w:right="20" w:firstLine="852"/>
        <w:jc w:val="both"/>
      </w:pPr>
      <w:r>
        <w:rPr>
          <w:rFonts w:ascii="ArialMT" w:hAnsi="ArialMT" w:eastAsia="ArialMT"/>
          <w:b w:val="0"/>
          <w:i w:val="0"/>
          <w:color w:val="000000"/>
          <w:sz w:val="27"/>
        </w:rPr>
        <w:t>1. Ushbu Nizom OʻZbekiston Respublikasining oliy taʼlim muassasalari (keyingi oʻrinlarda – oliy taʼlim muassasalari) va xorijiy oliy taʼlim muassasalari bilan hamkorlikda oliy taʼlim muassasalarining bakalavriat va magistratura bosqichlarida taʼlim olayotgan talabalarning akademik mobilligini tashkil etish va amalga oshirish tartibini belgilaydi.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312" w:lineRule="exact" w:before="148" w:after="0"/>
        <w:ind w:left="28" w:right="24" w:firstLine="852"/>
        <w:jc w:val="both"/>
      </w:pPr>
      <w:r>
        <w:rPr>
          <w:rFonts w:ascii="ArialMT" w:hAnsi="ArialMT" w:eastAsia="ArialMT"/>
          <w:b w:val="0"/>
          <w:i w:val="0"/>
          <w:color w:val="000000"/>
          <w:sz w:val="27"/>
        </w:rPr>
        <w:t>Qonun hujjatlari, shu jumladan ushbu Nizomda koʻzda tutilmagan holatlar, oliy taʼlim muassasalari tomonidan imzolangan oʻzaro kelishuv shartnomalariga muvofiq tartibga solinadi.</w:t>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302" w:lineRule="exact" w:before="158" w:after="0"/>
        <w:ind w:left="880" w:right="0" w:firstLine="0"/>
        <w:jc w:val="left"/>
      </w:pPr>
      <w:r>
        <w:rPr>
          <w:rFonts w:ascii="ArialMT" w:hAnsi="ArialMT" w:eastAsia="ArialMT"/>
          <w:b w:val="0"/>
          <w:i w:val="0"/>
          <w:color w:val="000000"/>
          <w:sz w:val="27"/>
        </w:rPr>
        <w:t>2. Akademik mobillik quyidagi maqsadlarda tashkil etiladi:</w:t>
      </w:r>
    </w:p>
    <w:p>
      <w:pPr>
        <w:autoSpaceDN w:val="0"/>
        <w:tabs>
          <w:tab w:pos="880" w:val="left"/>
        </w:tabs>
        <w:autoSpaceDE w:val="0"/>
        <w:widowControl/>
        <w:spacing w:line="312" w:lineRule="exact" w:before="146" w:after="0"/>
        <w:ind w:left="28" w:right="0" w:firstLine="0"/>
        <w:jc w:val="left"/>
      </w:pPr>
      <w:r>
        <w:rPr>
          <w:rFonts w:ascii="ArialMT" w:hAnsi="ArialMT" w:eastAsia="ArialMT"/>
          <w:b w:val="0"/>
          <w:i w:val="0"/>
          <w:color w:val="000000"/>
          <w:sz w:val="27"/>
        </w:rPr>
        <w:t>talabalarga yetakchi ilmiy maktablar tashkil etilgan oliy taʼlim muassasalarida taʼlim olish imkoniyatlarini yaratish;</w:t>
      </w:r>
      <w:r>
        <w:rPr>
          <w:rFonts w:ascii="ArialMT" w:hAnsi="ArialMT" w:eastAsia="ArialMT"/>
          <w:b w:val="0"/>
          <w:i w:val="0"/>
          <w:color w:val="000000"/>
          <w:sz w:val="27"/>
        </w:rPr>
      </w:r>
    </w:p>
    <w:p>
      <w:pPr>
        <w:autoSpaceDN w:val="0"/>
        <w:autoSpaceDE w:val="0"/>
        <w:widowControl/>
        <w:spacing w:line="304" w:lineRule="exact" w:before="158" w:after="0"/>
        <w:ind w:left="880" w:right="0" w:firstLine="0"/>
        <w:jc w:val="left"/>
      </w:pPr>
      <w:r>
        <w:rPr>
          <w:rFonts w:ascii="ArialMT" w:hAnsi="ArialMT" w:eastAsia="ArialMT"/>
          <w:b w:val="0"/>
          <w:i w:val="0"/>
          <w:color w:val="000000"/>
          <w:sz w:val="27"/>
        </w:rPr>
        <w:t>talabalarning bilim sifati va rivojlanish darajasini oshirish;</w:t>
      </w:r>
    </w:p>
    <w:p>
      <w:pPr>
        <w:autoSpaceDN w:val="0"/>
        <w:tabs>
          <w:tab w:pos="880" w:val="left"/>
        </w:tabs>
        <w:autoSpaceDE w:val="0"/>
        <w:widowControl/>
        <w:spacing w:line="312" w:lineRule="exact" w:before="146" w:after="0"/>
        <w:ind w:left="28" w:right="0" w:firstLine="0"/>
        <w:jc w:val="left"/>
      </w:pPr>
      <w:r>
        <w:rPr>
          <w:rFonts w:ascii="ArialMT" w:hAnsi="ArialMT" w:eastAsia="ArialMT"/>
          <w:b w:val="0"/>
          <w:i w:val="0"/>
          <w:color w:val="000000"/>
          <w:sz w:val="27"/>
        </w:rPr>
        <w:t>talabalarga boshqa hududda taʼlim olish ehtiyojlarini hisobga olib, taʼlim olish imkoniyatlarini yaratish;</w:t>
      </w:r>
      <w:r>
        <w:rPr>
          <w:rFonts w:ascii="ArialMT" w:hAnsi="ArialMT" w:eastAsia="ArialMT"/>
          <w:b w:val="0"/>
          <w:i w:val="0"/>
          <w:color w:val="000000"/>
          <w:sz w:val="27"/>
        </w:rPr>
      </w:r>
    </w:p>
    <w:p>
      <w:pPr>
        <w:autoSpaceDN w:val="0"/>
        <w:tabs>
          <w:tab w:pos="880" w:val="left"/>
        </w:tabs>
        <w:autoSpaceDE w:val="0"/>
        <w:widowControl/>
        <w:spacing w:line="312" w:lineRule="exact" w:before="146" w:after="0"/>
        <w:ind w:left="28" w:right="0" w:firstLine="0"/>
        <w:jc w:val="left"/>
      </w:pPr>
      <w:r>
        <w:rPr>
          <w:rFonts w:ascii="ArialMT" w:hAnsi="ArialMT" w:eastAsia="ArialMT"/>
          <w:b w:val="0"/>
          <w:i w:val="0"/>
          <w:color w:val="000000"/>
          <w:sz w:val="27"/>
        </w:rPr>
        <w:t>xorijiy va mahalliy taʼlim tizimlarining yutuqlari va tajribalari bilan tanishish;</w:t>
      </w:r>
      <w:r>
        <w:rPr>
          <w:rFonts w:ascii="ArialMT" w:hAnsi="ArialMT" w:eastAsia="ArialMT"/>
          <w:b w:val="0"/>
          <w:i w:val="0"/>
          <w:color w:val="000000"/>
          <w:sz w:val="27"/>
        </w:rPr>
      </w:r>
    </w:p>
    <w:p>
      <w:pPr>
        <w:autoSpaceDN w:val="0"/>
        <w:autoSpaceDE w:val="0"/>
        <w:widowControl/>
        <w:spacing w:line="304" w:lineRule="exact" w:before="158" w:after="0"/>
        <w:ind w:left="880" w:right="0" w:firstLine="0"/>
        <w:jc w:val="left"/>
      </w:pPr>
      <w:r>
        <w:rPr>
          <w:rFonts w:ascii="ArialMT" w:hAnsi="ArialMT" w:eastAsia="ArialMT"/>
          <w:b w:val="0"/>
          <w:i w:val="0"/>
          <w:color w:val="000000"/>
          <w:sz w:val="27"/>
        </w:rPr>
        <w:t>mutaxassislik boʻyicha amaliy koʻnikma va malakalarni egallash;</w:t>
      </w:r>
    </w:p>
    <w:p>
      <w:pPr>
        <w:autoSpaceDN w:val="0"/>
        <w:autoSpaceDE w:val="0"/>
        <w:widowControl/>
        <w:spacing w:line="302" w:lineRule="exact" w:before="158" w:after="0"/>
        <w:ind w:left="880" w:right="0" w:firstLine="0"/>
        <w:jc w:val="left"/>
      </w:pPr>
      <w:r>
        <w:rPr>
          <w:rFonts w:ascii="ArialMT" w:hAnsi="ArialMT" w:eastAsia="ArialMT"/>
          <w:b w:val="0"/>
          <w:i w:val="0"/>
          <w:color w:val="000000"/>
          <w:sz w:val="27"/>
        </w:rPr>
        <w:t>oliy taʼlim muassasalari bilan hamkorlik aloqalarini oʻrnatish;</w:t>
      </w:r>
    </w:p>
    <w:p>
      <w:pPr>
        <w:autoSpaceDN w:val="0"/>
        <w:autoSpaceDE w:val="0"/>
        <w:widowControl/>
        <w:spacing w:line="302" w:lineRule="exact" w:before="158" w:after="0"/>
        <w:ind w:left="880" w:right="0" w:firstLine="0"/>
        <w:jc w:val="left"/>
      </w:pPr>
      <w:r>
        <w:rPr>
          <w:rFonts w:ascii="ArialMT" w:hAnsi="ArialMT" w:eastAsia="ArialMT"/>
          <w:b w:val="0"/>
          <w:i w:val="0"/>
          <w:color w:val="000000"/>
          <w:sz w:val="27"/>
        </w:rPr>
        <w:t>taʼlimni integratsiyalash uchun zarur sharoitlarni yaratish.</w:t>
      </w:r>
    </w:p>
    <w:p>
      <w:pPr>
        <w:autoSpaceDN w:val="0"/>
        <w:autoSpaceDE w:val="0"/>
        <w:widowControl/>
        <w:spacing w:line="312" w:lineRule="exact" w:before="148" w:after="0"/>
        <w:ind w:left="28" w:right="22" w:firstLine="852"/>
        <w:jc w:val="both"/>
      </w:pPr>
      <w:r>
        <w:rPr>
          <w:rFonts w:ascii="ArialMT" w:hAnsi="ArialMT" w:eastAsia="ArialMT"/>
          <w:b w:val="0"/>
          <w:i w:val="0"/>
          <w:color w:val="000000"/>
          <w:sz w:val="27"/>
        </w:rPr>
        <w:t>3. Taʼlim shakli, kursi va taʼlim yoʻnalishi (ixtisosligi) ning mosligi oliy taʼlim muassasalari talabalarining akademik mobilligini amalga oshirishning asosiy shartidir.</w:t>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302" w:lineRule="exact" w:before="156" w:after="0"/>
        <w:ind w:left="880" w:right="0" w:firstLine="0"/>
        <w:jc w:val="left"/>
      </w:pPr>
      <w:r>
        <w:rPr>
          <w:rFonts w:ascii="ArialMT" w:hAnsi="ArialMT" w:eastAsia="ArialMT"/>
          <w:b w:val="0"/>
          <w:i w:val="0"/>
          <w:color w:val="000000"/>
          <w:sz w:val="27"/>
        </w:rPr>
        <w:t>4. Ushbu Nizomda quyidagi asosiy tushunchalar qoʻllaniladi:</w:t>
      </w:r>
    </w:p>
    <w:p>
      <w:pPr>
        <w:autoSpaceDN w:val="0"/>
        <w:autoSpaceDE w:val="0"/>
        <w:widowControl/>
        <w:spacing w:line="312" w:lineRule="exact" w:before="146" w:after="0"/>
        <w:ind w:left="28" w:right="20" w:firstLine="852"/>
        <w:jc w:val="both"/>
      </w:pPr>
      <w:r>
        <w:rPr>
          <w:rFonts w:ascii="Arial" w:hAnsi="Arial" w:eastAsia="Arial"/>
          <w:b/>
          <w:i w:val="0"/>
          <w:color w:val="000000"/>
          <w:sz w:val="27"/>
        </w:rPr>
        <w:t>akademik mobillik – talabaning oliy taʼlim muassasasidan boshqa oliy taʼlim muassasasiga, ichki (respublika ichida) yoki tashqi (xalqaro, xorijiy) muayyan muddat davomida taʼlim olish maqsadida koʻchishi (yuborilishi);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sectPr>
          <w:pgSz w:w="12240" w:h="15840"/>
          <w:pgMar w:top="360" w:right="666" w:bottom="1172"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4"/>
      </w:tblGrid>
      <w:tr>
        <w:trPr>
          <w:trHeight w:hRule="exact" w:val="340"/>
        </w:trPr>
        <w:tc>
          <w:tcPr>
            <w:tcW w:type="dxa" w:w="10128"/>
            <w:tcBorders/>
            <w:tcMar>
              <w:start w:w="0" w:type="dxa"/>
              <w:end w:w="0" w:type="dxa"/>
            </w:tcMar>
          </w:tcPr>
          <w:p>
            <w:pPr>
              <w:autoSpaceDN w:val="0"/>
              <w:autoSpaceDE w:val="0"/>
              <w:widowControl/>
              <w:spacing w:line="240" w:lineRule="auto" w:before="0" w:after="0"/>
              <w:ind w:left="0" w:right="0" w:firstLine="0"/>
              <w:jc w:val="right"/>
            </w:pPr>
            <w:r>
              <w:rPr>
                <w:rFonts w:ascii="Aptos" w:hAnsi="Aptos" w:eastAsia="Aptos"/>
                <w:b/>
                <w:i w:val="0"/>
                <w:color w:val="000000"/>
                <w:sz w:val="28"/>
              </w:rPr>
              <w:t>RASMIY TARJIMA</w:t>
            </w:r>
          </w:p>
        </w:tc>
      </w:tr>
    </w:tbl>
    <w:p>
      <w:pPr>
        <w:autoSpaceDN w:val="0"/>
        <w:tabs>
          <w:tab w:pos="880" w:val="left"/>
        </w:tabs>
        <w:autoSpaceDE w:val="0"/>
        <w:widowControl/>
        <w:spacing w:line="354" w:lineRule="exact" w:before="336" w:after="0"/>
        <w:ind w:left="28" w:right="0" w:firstLine="0"/>
        <w:jc w:val="left"/>
      </w:pPr>
      <w:r>
        <w:rPr>
          <w:rFonts w:ascii="Arial" w:hAnsi="Arial" w:eastAsia="Arial"/>
          <w:b/>
          <w:i w:val="0"/>
          <w:color w:val="000000"/>
          <w:sz w:val="27"/>
        </w:rPr>
        <w:t>kreditlarni tan olish – talabaning akademik mobilligini taʼminlash maqsadida bir oliy taʼlim muassasasidagi taʼlim dasturi boʻyicha toʻplangan kreditlarning boshqa oliy taʼlim muassasasiga oʻtkazilishi va tan olinishi;</w:t>
        <w:br/>
        <w:t>mobillik dasturi – ikki yoki undan ortiq oliy taʼlim muassasalari oʻrtasidagi oʻzaro taʼlim shartnomasi asosida tashkil etilgan akademik mobillik dasturi;</w:t>
        <w:br/>
        <w:t>taʼlim shartnomasi – ikki yoki undan ortiq oliy taʼlim muassasalari oʻrtasida birgalikda imzolangan, talabaning oʻzaro taʼlim shartnomasi asosida belgilangan akademik mobillik dasturi boʻyicha muayyan muddat davomida taʼlim olishini taʼminlaydigan hujjat;</w:t>
        <w:br/>
        <w:t>transkript – tegishli taʼlim davrida egallangan fanlar roʻyxati, kreditlar va baholar (ball) harf va raqamlarda koʻrsatilgan belgilangan shakldagi hujjat;</w:t>
        <w:br/>
        <w:t>qabul qiluvchi oliy taʼlim muassasasi – oʻzaro taʼlim shartnomasi asosida belgilangan akademik mobillik dasturi asosida talabani taʼlim olish uchun qabul qiluvchi oliy taʼlim muassasasi;</w:t>
        <w:br/>
        <w:t>yuboruvchi oliy taʼlim muassasasi – oʻzaro taʼlim shartnomasi asosida belgilangan akademik mobillik dasturi boʻyicha talabani taʼlim olishga yuboruvchi oliy taʼlim muassasasi.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
        <w:rPr>
          <w:rFonts w:ascii="Arial" w:hAnsi="Arial" w:eastAsia="Arial"/>
          <w:b/>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 w:hAnsi="Arial" w:eastAsia="Arial"/>
          <w:b/>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
        <w:rPr>
          <w:rFonts w:ascii="Arial" w:hAnsi="Arial" w:eastAsia="Arial"/>
          <w:b/>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
        <w:rPr>
          <w:rFonts w:ascii="Arial" w:hAnsi="Arial" w:eastAsia="Arial"/>
          <w:b/>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
        <w:rPr>
          <w:rFonts w:ascii="Arial" w:hAnsi="Arial" w:eastAsia="Arial"/>
          <w:b/>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tabs>
          <w:tab w:pos="880" w:val="left"/>
          <w:tab w:pos="2152" w:val="left"/>
        </w:tabs>
        <w:autoSpaceDE w:val="0"/>
        <w:widowControl/>
        <w:spacing w:line="326" w:lineRule="exact" w:before="134" w:after="0"/>
        <w:ind w:left="28" w:right="0" w:firstLine="0"/>
        <w:jc w:val="left"/>
      </w:pPr>
      <w:r>
        <w:t>2-bob. Akademik mobillikni tashkil etish</w:t>
        <w:br/>
        <w:t>5. Akademik mobillikning davomiyligi oliy taʼlim muassasalari oʻrtasidagi oʻzaro kelishuvga asosan kamida bir semestr yoki koʻpi bilan ikki semestrni tashkil etishi lozim (istisno tariqasida, davomiylik xorijiy hamkor oliy taʼlim muassasasi bilan tuzilgan shartnomaga muvofiq oʻzgartirilishi mumkin).</w:t>
      </w:r>
      <w:r>
        <w:rPr>
          <w:rFonts w:ascii="Arial" w:hAnsi="Arial" w:eastAsia="Arial"/>
          <w:b/>
          <w:i w:val="0"/>
          <w:color w:val="000080"/>
          <w:sz w:val="27"/>
        </w:rPr>
      </w: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tabs>
          <w:tab w:pos="880" w:val="left"/>
        </w:tabs>
        <w:autoSpaceDE w:val="0"/>
        <w:widowControl/>
        <w:spacing w:line="312" w:lineRule="exact" w:before="146" w:after="0"/>
        <w:ind w:left="28" w:right="0" w:firstLine="0"/>
        <w:jc w:val="left"/>
      </w:pPr>
      <w:r>
        <w:rPr>
          <w:rFonts w:ascii="ArialMT" w:hAnsi="ArialMT" w:eastAsia="ArialMT"/>
          <w:b w:val="0"/>
          <w:i w:val="0"/>
          <w:color w:val="000000"/>
          <w:sz w:val="27"/>
        </w:rPr>
        <w:t>Talaba oliy taʼlim muassasalari oʻrtasidagi qoʻshimcha kelishuvlarga muvofiq akademik mobillikda ikkinchi marta ishtirok etishi mumkin.</w:t>
      </w:r>
      <w:r>
        <w:rPr>
          <w:rFonts w:ascii="ArialMT" w:hAnsi="ArialMT" w:eastAsia="ArialMT"/>
          <w:b w:val="0"/>
          <w:i w:val="0"/>
          <w:color w:val="000000"/>
          <w:sz w:val="27"/>
        </w:rPr>
      </w:r>
    </w:p>
    <w:p>
      <w:pPr>
        <w:autoSpaceDN w:val="0"/>
        <w:autoSpaceDE w:val="0"/>
        <w:widowControl/>
        <w:spacing w:line="312" w:lineRule="exact" w:before="146" w:after="0"/>
        <w:ind w:left="28" w:right="24" w:firstLine="852"/>
        <w:jc w:val="both"/>
      </w:pPr>
      <w:r>
        <w:rPr>
          <w:rFonts w:ascii="ArialMT" w:hAnsi="ArialMT" w:eastAsia="ArialMT"/>
          <w:b w:val="0"/>
          <w:i w:val="0"/>
          <w:color w:val="000000"/>
          <w:sz w:val="27"/>
        </w:rPr>
        <w:t>6. Akademik mobillik oliy taʼlim muassasalari oʻrtasida imzolangan oʻzaro taʼlim shartnomasiga muvofiq oliy taʼlim muassasasi rektori (direktori) buyruʻgʻi bilan amalga oshiriladi.</w:t>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310" w:lineRule="exact" w:before="148" w:after="0"/>
        <w:ind w:left="28" w:right="22" w:firstLine="852"/>
        <w:jc w:val="both"/>
      </w:pPr>
      <w:r>
        <w:rPr>
          <w:rFonts w:ascii="ArialMT" w:hAnsi="ArialMT" w:eastAsia="ArialMT"/>
          <w:b w:val="0"/>
          <w:i w:val="0"/>
          <w:color w:val="000000"/>
          <w:sz w:val="27"/>
        </w:rPr>
        <w:t>7. Akademik mobillikni amalga oshirishning umumiy jarayoni oliy taʼlim tashkilotining oʻquv-uslubiy boʻlimi (boshqarmasi) tomonidan muvofiqlashtiriladi. Bunda xorijiy oliy taʼlim tashkiloti bilan hamkorlikda akademik mobillikni tashkil etish oliy taʼlim tashkilotining xalqaro aloqalar boʻlimi (boshqarmasi) bilan birgalikda amalga oshiriladi.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312" w:lineRule="exact" w:before="146" w:after="0"/>
        <w:ind w:left="28" w:right="22" w:firstLine="852"/>
        <w:jc w:val="both"/>
      </w:pPr>
      <w:r>
        <w:rPr>
          <w:rFonts w:ascii="ArialMT" w:hAnsi="ArialMT" w:eastAsia="ArialMT"/>
          <w:b w:val="0"/>
          <w:i w:val="0"/>
          <w:color w:val="000000"/>
          <w:sz w:val="27"/>
        </w:rPr>
        <w:t>Oliy taʼlim tashkilotining akademik mobillikni tashkil etish va muvofiqlashtirishga doir boʻlim (boshqarma) vazifalari oliy taʼlim tashkilotining rektori (direktori) tomonidan belgilanadi.</w:t>
      </w:r>
      <w:r>
        <w:rPr>
          <w:rFonts w:ascii="ArialMT" w:hAnsi="ArialMT" w:eastAsia="ArialMT"/>
          <w:b w:val="0"/>
          <w:i w:val="0"/>
          <w:color w:val="000000"/>
          <w:sz w:val="27"/>
        </w:rPr>
      </w:r>
      <w:r>
        <w:rPr>
          <w:rFonts w:ascii="ArialMT" w:hAnsi="ArialMT" w:eastAsia="ArialMT"/>
          <w:b w:val="0"/>
          <w:i w:val="0"/>
          <w:color w:val="000000"/>
          <w:sz w:val="27"/>
        </w:rPr>
      </w:r>
    </w:p>
    <w:p>
      <w:pPr>
        <w:sectPr>
          <w:pgSz w:w="12240" w:h="15840"/>
          <w:pgMar w:top="360" w:right="664" w:bottom="830"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4"/>
      </w:tblGrid>
      <w:tr>
        <w:trPr>
          <w:trHeight w:hRule="exact" w:val="340"/>
        </w:trPr>
        <w:tc>
          <w:tcPr>
            <w:tcW w:type="dxa" w:w="10128"/>
            <w:tcBorders/>
            <w:tcMar>
              <w:start w:w="0" w:type="dxa"/>
              <w:end w:w="0" w:type="dxa"/>
            </w:tcMar>
          </w:tcPr>
          <w:p>
            <w:pPr>
              <w:autoSpaceDN w:val="0"/>
              <w:autoSpaceDE w:val="0"/>
              <w:widowControl/>
              <w:spacing w:line="240" w:lineRule="auto" w:before="0" w:after="0"/>
              <w:ind w:left="0" w:right="0" w:firstLine="0"/>
              <w:jc w:val="right"/>
            </w:pPr>
            <w:r>
              <w:rPr>
                <w:rFonts w:ascii="Aptos" w:hAnsi="Aptos" w:eastAsia="Aptos"/>
                <w:b/>
                <w:i w:val="0"/>
                <w:color w:val="000000"/>
                <w:sz w:val="28"/>
              </w:rPr>
              <w:t>RASMIY TARJIMA</w:t>
            </w:r>
          </w:p>
        </w:tc>
      </w:tr>
    </w:tbl>
    <w:p>
      <w:pPr>
        <w:autoSpaceDN w:val="0"/>
        <w:autoSpaceDE w:val="0"/>
        <w:widowControl/>
        <w:spacing w:line="310" w:lineRule="exact" w:before="380" w:after="0"/>
        <w:ind w:left="28" w:right="24" w:firstLine="852"/>
        <w:jc w:val="both"/>
      </w:pPr>
      <w:r>
        <w:rPr>
          <w:rFonts w:ascii="ArialMT" w:hAnsi="ArialMT" w:eastAsia="ArialMT"/>
          <w:b w:val="0"/>
          <w:i w:val="0"/>
          <w:color w:val="000000"/>
          <w:sz w:val="27"/>
        </w:rPr>
        <w:t>Akademik mobillikni tashkil etishning umumiy rahbarligi oʻquv ishlari boʻyicha prorektor (direktor oʻrinbosari) ga yuklatiladi, boshqa tashkiliy masalalar esa tegishli kafedra mudiri va fakultet dekanlari zimmasiga yuklatiladi.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tabs>
          <w:tab w:pos="880" w:val="left"/>
        </w:tabs>
        <w:autoSpaceDE w:val="0"/>
        <w:widowControl/>
        <w:spacing w:line="312" w:lineRule="exact" w:before="148" w:after="0"/>
        <w:ind w:left="28" w:right="0" w:firstLine="0"/>
        <w:jc w:val="left"/>
      </w:pPr>
      <w:r>
        <w:rPr>
          <w:rFonts w:ascii="ArialMT" w:hAnsi="ArialMT" w:eastAsia="ArialMT"/>
          <w:b w:val="0"/>
          <w:i w:val="0"/>
          <w:color w:val="000000"/>
          <w:sz w:val="27"/>
        </w:rPr>
        <w:t>8. Akademik mobillik uchun talabalar har bir oliy taʼlim muassasasining mavjud imkoniyatlari asosida qabul qilinadi yoki yuboriladi.</w:t>
      </w:r>
      <w:r>
        <w:rPr>
          <w:rFonts w:ascii="ArialMT" w:hAnsi="ArialMT" w:eastAsia="ArialMT"/>
          <w:b w:val="0"/>
          <w:i w:val="0"/>
          <w:color w:val="000000"/>
          <w:sz w:val="27"/>
        </w:rPr>
      </w:r>
    </w:p>
    <w:p>
      <w:pPr>
        <w:autoSpaceDN w:val="0"/>
        <w:autoSpaceDE w:val="0"/>
        <w:widowControl/>
        <w:spacing w:line="312" w:lineRule="exact" w:before="146" w:after="0"/>
        <w:ind w:left="28" w:right="20" w:firstLine="852"/>
        <w:jc w:val="both"/>
      </w:pPr>
      <w:r>
        <w:rPr>
          <w:rFonts w:ascii="ArialMT" w:hAnsi="ArialMT" w:eastAsia="ArialMT"/>
          <w:b w:val="0"/>
          <w:i w:val="0"/>
          <w:color w:val="000000"/>
          <w:sz w:val="27"/>
        </w:rPr>
        <w:t>9. Oliy taʼlim muassasasining rasmiy veb-saytida akademik mobillik boʻyicha alohida boʻlim yaratiladi. Ushbu boʻlimda hamkor oliy taʼlim muassasalari, akademik mobillik dasturlari (taʼlim yoʻnalishlari va ixtisosliklar boʻyicha), ariza berish tartibi, muddatlari, taqdim etiladigan hujjatlar (elektron shaklda yuklanadigan), ariza koʻrib chiqish bosqichlari va akademik mobillik doirasida taʼlim olishni istagan shaxslar uchun boshqa maʼlumotlar joylashtiradi.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tabs>
          <w:tab w:pos="880" w:val="left"/>
        </w:tabs>
        <w:autoSpaceDE w:val="0"/>
        <w:widowControl/>
        <w:spacing w:line="312" w:lineRule="exact" w:before="146" w:after="0"/>
        <w:ind w:left="28" w:right="0" w:firstLine="0"/>
        <w:jc w:val="left"/>
      </w:pPr>
      <w:r>
        <w:rPr>
          <w:rFonts w:ascii="ArialMT" w:hAnsi="ArialMT" w:eastAsia="ArialMT"/>
          <w:b w:val="0"/>
          <w:i w:val="0"/>
          <w:color w:val="000000"/>
          <w:sz w:val="27"/>
        </w:rPr>
        <w:t>Shu bilan birga, ushbu maʼlumotlar masʼul va tegishli boʻlimlar tomonidan doimiy ravishda nazorat qilinadi va yangilanadi.</w:t>
      </w:r>
      <w:r>
        <w:rPr>
          <w:rFonts w:ascii="ArialMT" w:hAnsi="ArialMT" w:eastAsia="ArialMT"/>
          <w:b w:val="0"/>
          <w:i w:val="0"/>
          <w:color w:val="000000"/>
          <w:sz w:val="27"/>
        </w:rPr>
      </w:r>
    </w:p>
    <w:p>
      <w:pPr>
        <w:autoSpaceDN w:val="0"/>
        <w:autoSpaceDE w:val="0"/>
        <w:widowControl/>
        <w:spacing w:line="312" w:lineRule="exact" w:before="146" w:after="0"/>
        <w:ind w:left="28" w:right="26" w:firstLine="852"/>
        <w:jc w:val="both"/>
      </w:pPr>
      <w:r>
        <w:rPr>
          <w:rFonts w:ascii="ArialMT" w:hAnsi="ArialMT" w:eastAsia="ArialMT"/>
          <w:b w:val="0"/>
          <w:i w:val="0"/>
          <w:color w:val="000000"/>
          <w:sz w:val="27"/>
        </w:rPr>
        <w:t>10. Professor-oʻqituvchilar va ilmiy xodimlarning akademik mobilligini tashkil etish oliy taʼlim muassasalari oʻrtasidagi oʻzaro kelishuv asosida amalga oshiriladi.</w:t>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312" w:lineRule="exact" w:before="146" w:after="0"/>
        <w:ind w:left="28" w:right="24" w:firstLine="852"/>
        <w:jc w:val="both"/>
      </w:pPr>
      <w:r>
        <w:rPr>
          <w:rFonts w:ascii="ArialMT" w:hAnsi="ArialMT" w:eastAsia="ArialMT"/>
          <w:b w:val="0"/>
          <w:i w:val="0"/>
          <w:color w:val="000000"/>
          <w:sz w:val="27"/>
        </w:rPr>
        <w:t>11. Akademik mobillik uchun talabalar yuboruvchi va qabul qiluvchi oliy taʼlim muassasalari rektorlari (direktorlari) tomonidan alohida belgilangan shartlar asosida tanlab olinadi.</w:t>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310" w:lineRule="exact" w:before="150" w:after="0"/>
        <w:ind w:left="28" w:right="24" w:firstLine="852"/>
        <w:jc w:val="both"/>
      </w:pPr>
      <w:r>
        <w:rPr>
          <w:rFonts w:ascii="ArialMT" w:hAnsi="ArialMT" w:eastAsia="ArialMT"/>
          <w:b w:val="0"/>
          <w:i w:val="0"/>
          <w:color w:val="000000"/>
          <w:sz w:val="27"/>
        </w:rPr>
        <w:t>Bunda oliy taʼlim muassasasi rektori (direktori) talabalarning qobiliyatlari, ularning oʻzlashtirish koʻrsatkichlari va oliy taʼlim muassasasining mavjud imkoniyatlarini (moddiy-texnika bazasi, professor-oʻqituvchilar bilan taʼminlanganlik darajasi va akademik mobillikning professor-oʻqituvchilarning dars yuklamasiga taʼsiri) hisobga oladi.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310" w:lineRule="exact" w:before="150" w:after="0"/>
        <w:ind w:left="28" w:right="26" w:firstLine="852"/>
        <w:jc w:val="both"/>
      </w:pPr>
      <w:r>
        <w:rPr>
          <w:rFonts w:ascii="ArialMT" w:hAnsi="ArialMT" w:eastAsia="ArialMT"/>
          <w:b w:val="0"/>
          <w:i w:val="0"/>
          <w:color w:val="000000"/>
          <w:sz w:val="27"/>
        </w:rPr>
        <w:t>Oliy taʼlim muassasalari rektorlari (direktorlari) nomzodlarni tanlab olishni adolatli, shaffof tarzda, manfaatlar toʻqnashuvisiz oʻtkazish uchun javobgardirlar.</w:t>
      </w:r>
      <w:r>
        <w:rPr>
          <w:rFonts w:ascii="ArialMT" w:hAnsi="ArialMT" w:eastAsia="ArialMT"/>
          <w:b w:val="0"/>
          <w:i w:val="0"/>
          <w:color w:val="000000"/>
          <w:sz w:val="27"/>
        </w:rPr>
      </w:r>
      <w:r>
        <w:rPr>
          <w:rFonts w:ascii="ArialMT" w:hAnsi="ArialMT" w:eastAsia="ArialMT"/>
          <w:b w:val="0"/>
          <w:i w:val="0"/>
          <w:color w:val="000000"/>
          <w:sz w:val="27"/>
        </w:rPr>
      </w:r>
    </w:p>
    <w:p>
      <w:pPr>
        <w:autoSpaceDN w:val="0"/>
        <w:tabs>
          <w:tab w:pos="880" w:val="left"/>
        </w:tabs>
        <w:autoSpaceDE w:val="0"/>
        <w:widowControl/>
        <w:spacing w:line="314" w:lineRule="exact" w:before="146" w:after="0"/>
        <w:ind w:left="28" w:right="0" w:firstLine="0"/>
        <w:jc w:val="left"/>
      </w:pPr>
      <w:r>
        <w:rPr>
          <w:rFonts w:ascii="ArialMT" w:hAnsi="ArialMT" w:eastAsia="ArialMT"/>
          <w:b w:val="0"/>
          <w:i w:val="0"/>
          <w:color w:val="000000"/>
          <w:sz w:val="27"/>
        </w:rPr>
        <w:t>12. Taʼlim sifati hamkor oliy taʼlim muassasalari vakillari tomonidan nazorat qilinishi mumkin.</w:t>
      </w:r>
      <w:r>
        <w:rPr>
          <w:rFonts w:ascii="ArialMT" w:hAnsi="ArialMT" w:eastAsia="ArialMT"/>
          <w:b w:val="0"/>
          <w:i w:val="0"/>
          <w:color w:val="000000"/>
          <w:sz w:val="27"/>
        </w:rPr>
      </w:r>
    </w:p>
    <w:p>
      <w:pPr>
        <w:autoSpaceDN w:val="0"/>
        <w:autoSpaceDE w:val="0"/>
        <w:widowControl/>
        <w:spacing w:line="312" w:lineRule="exact" w:before="144" w:after="0"/>
        <w:ind w:left="28" w:right="24" w:firstLine="852"/>
        <w:jc w:val="both"/>
      </w:pPr>
      <w:r>
        <w:rPr>
          <w:rFonts w:ascii="ArialMT" w:hAnsi="ArialMT" w:eastAsia="ArialMT"/>
          <w:b w:val="0"/>
          <w:i w:val="0"/>
          <w:color w:val="000000"/>
          <w:sz w:val="27"/>
        </w:rPr>
        <w:t>13. Hamkor oliy taʼlim muassasasida taʼlim olish muddati tugagandan soʻng, talaba oʻzi asosiy taʼlim olayotgan oliy taʼlim muassasasining oʻquv-uslubiy boʻlimiga (boshqarmasiga) oʻzlashtirgan fanlari, baholari (ballari) yoki kreditlarini tasdiqlovchi transkriptni taqdim etadi.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sectPr>
          <w:pgSz w:w="12240" w:h="15840"/>
          <w:pgMar w:top="360" w:right="664" w:bottom="1090"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8"/>
      </w:tblGrid>
      <w:tr>
        <w:trPr>
          <w:trHeight w:hRule="exact" w:val="340"/>
        </w:trPr>
        <w:tc>
          <w:tcPr>
            <w:tcW w:type="dxa" w:w="10148"/>
            <w:tcBorders/>
            <w:tcMar>
              <w:start w:w="0" w:type="dxa"/>
              <w:end w:w="0" w:type="dxa"/>
            </w:tcMar>
          </w:tcPr>
          <w:p>
            <w:pPr>
              <w:autoSpaceDN w:val="0"/>
              <w:autoSpaceDE w:val="0"/>
              <w:widowControl/>
              <w:spacing w:line="240" w:lineRule="auto" w:before="0" w:after="0"/>
              <w:ind w:left="0" w:right="18" w:firstLine="0"/>
              <w:jc w:val="right"/>
            </w:pPr>
            <w:r>
              <w:rPr>
                <w:rFonts w:ascii="Aptos" w:hAnsi="Aptos" w:eastAsia="Aptos"/>
                <w:b/>
                <w:i w:val="0"/>
                <w:color w:val="000000"/>
                <w:sz w:val="28"/>
              </w:rPr>
              <w:t>RASMIY TARJIMA</w:t>
            </w:r>
          </w:p>
        </w:tc>
      </w:tr>
    </w:tbl>
    <w:p>
      <w:pPr>
        <w:autoSpaceDN w:val="0"/>
        <w:autoSpaceDE w:val="0"/>
        <w:widowControl/>
        <w:spacing w:line="312" w:lineRule="exact" w:before="378" w:after="0"/>
        <w:ind w:left="28" w:right="30" w:firstLine="852"/>
        <w:jc w:val="both"/>
      </w:pPr>
      <w:r>
        <w:rPr>
          <w:rFonts w:ascii="ArialMT" w:hAnsi="ArialMT" w:eastAsia="ArialMT"/>
          <w:b w:val="0"/>
          <w:i w:val="0"/>
          <w:color w:val="000000"/>
          <w:sz w:val="27"/>
        </w:rPr>
        <w:t>14. Akademik mobillik davrida talabalar tomonidan yuboruvchi oliy taʼlim muassasasining oʻquv rejasidagi muayyan semestr fanlari boʻyicha toʻplangan kreditlar tegishli ravishda tan olinadi.</w:t>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310" w:lineRule="exact" w:before="148" w:after="0"/>
        <w:ind w:left="28" w:right="20" w:firstLine="852"/>
        <w:jc w:val="both"/>
      </w:pPr>
      <w:r>
        <w:rPr>
          <w:rFonts w:ascii="ArialMT" w:hAnsi="ArialMT" w:eastAsia="ArialMT"/>
          <w:b w:val="0"/>
          <w:i w:val="0"/>
          <w:color w:val="000000"/>
          <w:sz w:val="27"/>
        </w:rPr>
        <w:t>Agar talaba akademik mobillik davrida talab qilinadigan kreditlarni toʻplay olmasa yoki fanlar boʻyicha farq aniqlansa, u yuboruvchi oliy taʼlim muassasasi rektorining (direktorining) yozma ruxsati bilan ushbu fanlar boʻyicha kreditlarni taʼlim olayotgan oliy taʼlim muassasasida toʻlov asosida egallashi mumkin.</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312" w:lineRule="exact" w:before="148" w:after="0"/>
        <w:ind w:left="28" w:right="28" w:firstLine="852"/>
        <w:jc w:val="both"/>
      </w:pPr>
      <w:r>
        <w:rPr>
          <w:rFonts w:ascii="ArialMT" w:hAnsi="ArialMT" w:eastAsia="ArialMT"/>
          <w:b w:val="0"/>
          <w:i w:val="0"/>
          <w:color w:val="000000"/>
          <w:sz w:val="27"/>
        </w:rPr>
        <w:t>Yuboruvchi oliy taʼlim muassasasining rektori (direktori) akademik mobillikda ishtirok etgan talaba tomonidan toʻplangan kreditlarni tan olish, oʻzlashtirilmagan fanlar boʻyicha akademik qarzdor sifatida tan olish va ularni oʻzlashtirish shartlarini belgilaydi.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312" w:lineRule="exact" w:before="146" w:after="0"/>
        <w:ind w:left="28" w:right="30" w:firstLine="852"/>
        <w:jc w:val="both"/>
      </w:pPr>
      <w:r>
        <w:rPr>
          <w:rFonts w:ascii="ArialMT" w:hAnsi="ArialMT" w:eastAsia="ArialMT"/>
          <w:b w:val="0"/>
          <w:i w:val="0"/>
          <w:color w:val="000000"/>
          <w:sz w:val="27"/>
        </w:rPr>
        <w:t>15. Talabalar birinchi kursning birinchi semestrida, bitiruvchi yilning oxirgi semestrida yoki bir kursdan boshqa kursga oʻtkazilgan talaba taʼlim olishi mumkin boʻlgan oxirgi semestrdan keyingi semestrda akademik mobillik dasturida ishtirok eta olmaydi.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312" w:lineRule="exact" w:before="146" w:after="0"/>
        <w:ind w:left="28" w:right="28" w:firstLine="852"/>
        <w:jc w:val="both"/>
      </w:pPr>
      <w:r>
        <w:rPr>
          <w:rFonts w:ascii="ArialMT" w:hAnsi="ArialMT" w:eastAsia="ArialMT"/>
          <w:b w:val="0"/>
          <w:i w:val="0"/>
          <w:color w:val="000000"/>
          <w:sz w:val="27"/>
        </w:rPr>
        <w:t>16. Akademik mobillikda ishtirok etuvchi talabalarning shartnomalarni moliyalashtirish, stipendiya toʻlovlari va boshqa xarajatlariga oid moliyaviy masalalar oliy taʼlim muassasalari tomonidan imzolangan oʻzaro kelishuvda belgilangan shartlar va qoidalarga muvofiq amalga oshiriladi.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312" w:lineRule="exact" w:before="146" w:after="0"/>
        <w:ind w:left="288" w:right="288" w:firstLine="0"/>
        <w:jc w:val="center"/>
      </w:pPr>
      <w:r>
        <w:rPr>
          <w:rFonts w:ascii="Arial" w:hAnsi="Arial" w:eastAsia="Arial"/>
          <w:b/>
          <w:i w:val="0"/>
          <w:color w:val="000080"/>
          <w:sz w:val="27"/>
        </w:rPr>
        <w:t>3-bob. Hamkor oliy taʼlim muassasalarida akademik mobillikni tashkil etish tartibi</w:t>
      </w:r>
      <w:r>
        <w:rPr>
          <w:rFonts w:ascii="Arial" w:hAnsi="Arial" w:eastAsia="Arial"/>
          <w:b/>
          <w:i w:val="0"/>
          <w:color w:val="000080"/>
          <w:sz w:val="27"/>
        </w:rPr>
      </w:r>
    </w:p>
    <w:p>
      <w:pPr>
        <w:autoSpaceDN w:val="0"/>
        <w:autoSpaceDE w:val="0"/>
        <w:widowControl/>
        <w:spacing w:line="312" w:lineRule="exact" w:before="58" w:after="0"/>
        <w:ind w:left="28" w:right="30" w:firstLine="852"/>
        <w:jc w:val="both"/>
      </w:pPr>
      <w:r>
        <w:rPr>
          <w:rFonts w:ascii="ArialMT" w:hAnsi="ArialMT" w:eastAsia="ArialMT"/>
          <w:b w:val="0"/>
          <w:i w:val="0"/>
          <w:color w:val="000000"/>
          <w:sz w:val="27"/>
        </w:rPr>
        <w:t>17. Hamkor oliy taʼlim muassasasi bilan oʻzaro kelishuv mavjud boʻlgan taqdirda, oʻxshash yoki yaqin yoʻnalishda akademik mobillikni amalga oshirishni istagan talaba rektorga ariza beradi (kuz va bahor semestrlari oxirida elektron shaklda), unga quyidagi maʼlumotlar toʻplamini ilova qiladi: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302" w:lineRule="exact" w:before="156" w:after="0"/>
        <w:ind w:left="880" w:right="0" w:firstLine="0"/>
        <w:jc w:val="left"/>
      </w:pPr>
      <w:r>
        <w:rPr>
          <w:rFonts w:ascii="ArialMT" w:hAnsi="ArialMT" w:eastAsia="ArialMT"/>
          <w:b w:val="0"/>
          <w:i w:val="0"/>
          <w:color w:val="000000"/>
          <w:sz w:val="27"/>
        </w:rPr>
        <w:t>talabaning F.I.Sh., fakulteti va guruhi;</w:t>
      </w:r>
    </w:p>
    <w:p>
      <w:pPr>
        <w:autoSpaceDN w:val="0"/>
        <w:autoSpaceDE w:val="0"/>
        <w:widowControl/>
        <w:spacing w:line="302" w:lineRule="exact" w:before="158" w:after="0"/>
        <w:ind w:left="880" w:right="0" w:firstLine="0"/>
        <w:jc w:val="left"/>
      </w:pPr>
      <w:r>
        <w:rPr>
          <w:rFonts w:ascii="ArialMT" w:hAnsi="ArialMT" w:eastAsia="ArialMT"/>
          <w:b w:val="0"/>
          <w:i w:val="0"/>
          <w:color w:val="000000"/>
          <w:sz w:val="27"/>
        </w:rPr>
        <w:t>safar maqsadi;</w:t>
      </w:r>
    </w:p>
    <w:p>
      <w:pPr>
        <w:autoSpaceDN w:val="0"/>
        <w:autoSpaceDE w:val="0"/>
        <w:widowControl/>
        <w:spacing w:line="302" w:lineRule="exact" w:before="160" w:after="0"/>
        <w:ind w:left="880" w:right="0" w:firstLine="0"/>
        <w:jc w:val="left"/>
      </w:pPr>
      <w:r>
        <w:rPr>
          <w:rFonts w:ascii="ArialMT" w:hAnsi="ArialMT" w:eastAsia="ArialMT"/>
          <w:b w:val="0"/>
          <w:i w:val="0"/>
          <w:color w:val="000000"/>
          <w:sz w:val="27"/>
        </w:rPr>
        <w:t>moʻljallangan boʻsh joy;</w:t>
      </w:r>
    </w:p>
    <w:p>
      <w:pPr>
        <w:autoSpaceDN w:val="0"/>
        <w:tabs>
          <w:tab w:pos="880" w:val="left"/>
        </w:tabs>
        <w:autoSpaceDE w:val="0"/>
        <w:widowControl/>
        <w:spacing w:line="312" w:lineRule="exact" w:before="146" w:after="0"/>
        <w:ind w:left="28" w:right="0" w:firstLine="0"/>
        <w:jc w:val="left"/>
      </w:pPr>
      <w:r>
        <w:rPr>
          <w:rFonts w:ascii="ArialMT" w:hAnsi="ArialMT" w:eastAsia="ArialMT"/>
          <w:b w:val="0"/>
          <w:i w:val="0"/>
          <w:color w:val="000000"/>
          <w:sz w:val="27"/>
        </w:rPr>
        <w:t>safar davomiyligi (akademik mobillikning davomiyligi kamida bir semestr va koʻpi bilan ikki semestrni tashkil etishi lozim);</w:t>
      </w:r>
      <w:r>
        <w:rPr>
          <w:rFonts w:ascii="ArialMT" w:hAnsi="ArialMT" w:eastAsia="ArialMT"/>
          <w:b w:val="0"/>
          <w:i w:val="0"/>
          <w:color w:val="000000"/>
          <w:sz w:val="27"/>
        </w:rPr>
      </w:r>
    </w:p>
    <w:p>
      <w:pPr>
        <w:autoSpaceDN w:val="0"/>
        <w:autoSpaceDE w:val="0"/>
        <w:widowControl/>
        <w:spacing w:line="304" w:lineRule="exact" w:before="158" w:after="148"/>
        <w:ind w:left="880" w:right="0" w:firstLine="0"/>
        <w:jc w:val="left"/>
      </w:pPr>
      <w:r>
        <w:rPr>
          <w:rFonts w:ascii="ArialMT" w:hAnsi="ArialMT" w:eastAsia="ArialMT"/>
          <w:b w:val="0"/>
          <w:i w:val="0"/>
          <w:color w:val="000000"/>
          <w:sz w:val="27"/>
        </w:rPr>
        <w:t>safar bilan bogʻliq xarajatlarni moliyalashtirish manbalari.</w:t>
      </w:r>
    </w:p>
    <w:tbl>
      <w:tblPr>
        <w:tblW w:type="auto" w:w="0"/>
        <w:tblLayout w:type="fixed"/>
        <w:tblLook w:firstColumn="1" w:firstRow="1" w:lastColumn="0" w:lastRow="0" w:noHBand="0" w:noVBand="1" w:val="04A0"/>
        <w:tblInd w:w="0.0" w:type="dxa"/>
      </w:tblPr>
      <w:tblGrid>
        <w:gridCol w:w="10168"/>
      </w:tblGrid>
      <w:tr>
        <w:trPr>
          <w:trHeight w:hRule="exact" w:val="314"/>
        </w:trPr>
        <w:tc>
          <w:tcPr>
            <w:tcW w:type="dxa" w:w="10148"/>
            <w:tcBorders/>
            <w:tcMar>
              <w:start w:w="0" w:type="dxa"/>
              <w:end w:w="0" w:type="dxa"/>
            </w:tcMar>
          </w:tcPr>
          <w:p>
            <w:pPr>
              <w:autoSpaceDN w:val="0"/>
              <w:autoSpaceDE w:val="0"/>
              <w:widowControl/>
              <w:spacing w:line="302" w:lineRule="exact" w:before="8" w:after="0"/>
              <w:ind w:left="880" w:right="0" w:firstLine="0"/>
              <w:jc w:val="left"/>
            </w:pPr>
            <w:r>
              <w:rPr>
                <w:rFonts w:ascii="ArialMT" w:hAnsi="ArialMT" w:eastAsia="ArialMT"/>
                <w:b w:val="0"/>
                <w:i w:val="0"/>
                <w:color w:val="000000"/>
                <w:sz w:val="27"/>
              </w:rPr>
              <w:t>18. Mobillik maqsadida safarga yuborish boʻyicha ijobiy qaror qabul qilingan taqdirda,</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0.0" w:type="dxa"/>
      </w:tblPr>
      <w:tblGrid>
        <w:gridCol w:w="10168"/>
      </w:tblGrid>
      <w:tr>
        <w:trPr>
          <w:trHeight w:hRule="exact" w:val="312"/>
        </w:trPr>
        <w:tc>
          <w:tcPr>
            <w:tcW w:type="dxa" w:w="10148"/>
            <w:tcBorders/>
            <w:tcMar>
              <w:start w:w="0" w:type="dxa"/>
              <w:end w:w="0" w:type="dxa"/>
            </w:tcMar>
          </w:tcPr>
          <w:p>
            <w:pPr>
              <w:autoSpaceDN w:val="0"/>
              <w:autoSpaceDE w:val="0"/>
              <w:widowControl/>
              <w:spacing w:line="302" w:lineRule="exact" w:before="6" w:after="0"/>
              <w:ind w:left="0" w:right="0" w:firstLine="0"/>
              <w:jc w:val="center"/>
            </w:pPr>
            <w:r>
              <w:rPr>
                <w:rFonts w:ascii="ArialMT" w:hAnsi="ArialMT" w:eastAsia="ArialMT"/>
                <w:b w:val="0"/>
                <w:i w:val="0"/>
                <w:color w:val="000000"/>
                <w:sz w:val="27"/>
              </w:rPr>
              <w:t>safarga yuborish toʻgʻrisidagi hujjatlar belgilangan tartibga muvofiq rasmiylashtiriladi.</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0.0" w:type="dxa"/>
      </w:tblPr>
      <w:tblGrid>
        <w:gridCol w:w="10168"/>
      </w:tblGrid>
      <w:tr>
        <w:trPr>
          <w:trHeight w:hRule="exact" w:val="288"/>
        </w:trPr>
        <w:tc>
          <w:tcPr>
            <w:tcW w:type="dxa" w:w="10100"/>
            <w:tcBorders/>
            <w:shd w:fill="e8e8ff"/>
            <w:tcMar>
              <w:start w:w="0" w:type="dxa"/>
              <w:end w:w="0" w:type="dxa"/>
            </w:tcMar>
          </w:tcPr>
          <w:p>
            <w:pPr>
              <w:autoSpaceDN w:val="0"/>
              <w:autoSpaceDE w:val="0"/>
              <w:widowControl/>
              <w:spacing w:line="302" w:lineRule="exact" w:before="6" w:after="0"/>
              <w:ind w:left="28" w:right="0" w:firstLine="0"/>
              <w:jc w:val="left"/>
            </w:pPr>
            <w:r>
              <w:rPr>
                <w:rFonts w:ascii="ArialMT" w:hAnsi="ArialMT" w:eastAsia="ArialMT"/>
                <w:b w:val="0"/>
                <w:i w:val="0"/>
                <w:color w:val="000000"/>
                <w:sz w:val="27"/>
              </w:rPr>
              <w:t>belgilangan tartibda.</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2240" w:h="15840"/>
          <w:pgMar w:top="360" w:right="660" w:bottom="910"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2"/>
      </w:tblGrid>
      <w:tr>
        <w:trPr>
          <w:trHeight w:hRule="exact" w:val="340"/>
        </w:trPr>
        <w:tc>
          <w:tcPr>
            <w:tcW w:type="dxa" w:w="10128"/>
            <w:tcBorders/>
            <w:tcMar>
              <w:start w:w="0" w:type="dxa"/>
              <w:end w:w="0" w:type="dxa"/>
            </w:tcMar>
          </w:tcPr>
          <w:p>
            <w:pPr>
              <w:autoSpaceDN w:val="0"/>
              <w:autoSpaceDE w:val="0"/>
              <w:widowControl/>
              <w:spacing w:line="240" w:lineRule="auto" w:before="0" w:after="0"/>
              <w:ind w:left="0" w:right="0" w:firstLine="0"/>
              <w:jc w:val="right"/>
            </w:pPr>
            <w:r>
              <w:rPr>
                <w:rFonts w:ascii="Aptos" w:hAnsi="Aptos" w:eastAsia="Aptos"/>
                <w:b/>
                <w:i w:val="0"/>
                <w:color w:val="000000"/>
                <w:sz w:val="28"/>
              </w:rPr>
              <w:t>RASMIY TARJIMA</w:t>
            </w:r>
          </w:p>
        </w:tc>
      </w:tr>
    </w:tbl>
    <w:p>
      <w:pPr>
        <w:autoSpaceDN w:val="0"/>
        <w:autoSpaceDE w:val="0"/>
        <w:widowControl/>
        <w:spacing w:line="312" w:lineRule="exact" w:before="378" w:after="0"/>
        <w:ind w:left="28" w:right="20" w:firstLine="852"/>
        <w:jc w:val="both"/>
      </w:pPr>
      <w:r>
        <w:rPr>
          <w:rFonts w:ascii="ArialMT" w:hAnsi="ArialMT" w:eastAsia="ArialMT"/>
          <w:b w:val="0"/>
          <w:i w:val="0"/>
          <w:color w:val="000000"/>
          <w:sz w:val="27"/>
        </w:rPr>
        <w:t>19. Akademik mobillik dasturini yakunlash muddatlari hamkor oliy taʼlim muassasasining akademik taqvimiga muvofiq individual tarzda belgilanadi.</w:t>
      </w:r>
      <w:r>
        <w:rPr>
          <w:rFonts w:ascii="ArialMT" w:hAnsi="ArialMT" w:eastAsia="ArialMT"/>
          <w:b w:val="0"/>
          <w:i w:val="0"/>
          <w:color w:val="000000"/>
          <w:sz w:val="27"/>
        </w:rPr>
      </w:r>
      <w:r>
        <w:rPr>
          <w:rFonts w:ascii="ArialMT" w:hAnsi="ArialMT" w:eastAsia="ArialMT"/>
          <w:b w:val="0"/>
          <w:i w:val="0"/>
          <w:color w:val="000000"/>
          <w:sz w:val="27"/>
        </w:rPr>
      </w:r>
    </w:p>
    <w:p>
      <w:pPr>
        <w:autoSpaceDN w:val="0"/>
        <w:tabs>
          <w:tab w:pos="880" w:val="left"/>
          <w:tab w:pos="3752" w:val="left"/>
        </w:tabs>
        <w:autoSpaceDE w:val="0"/>
        <w:widowControl/>
        <w:spacing w:line="340" w:lineRule="exact" w:before="120" w:after="0"/>
        <w:ind w:left="28" w:right="0" w:firstLine="0"/>
        <w:jc w:val="left"/>
      </w:pPr>
      <w:r>
        <w:t>4-bob. Yakuniy qoida</w:t>
        <w:br/>
        <w:t>20. Ushbu Nizom talablarini buzganlikda aybdor shaxslar qonun hujjatlarida belgilangan tartibda javobgarlikka tortiladi.</w:t>
      </w:r>
      <w:r/>
      <w:r>
        <w:rPr>
          <w:rFonts w:ascii="Arial" w:hAnsi="Arial" w:eastAsia="Arial"/>
          <w:b/>
          <w:i w:val="0"/>
          <w:color w:val="000080"/>
          <w:sz w:val="27"/>
        </w:rPr>
      </w:r>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240" w:lineRule="auto" w:before="7344" w:after="0"/>
        <w:ind w:left="28" w:right="0" w:firstLine="0"/>
        <w:jc w:val="left"/>
      </w:pPr>
      <w:r>
        <w:drawing>
          <wp:inline xmlns:a="http://schemas.openxmlformats.org/drawingml/2006/main" xmlns:pic="http://schemas.openxmlformats.org/drawingml/2006/picture">
            <wp:extent cx="5452110" cy="215265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52110" cy="2152650"/>
                    </a:xfrm>
                    <a:prstGeom prst="rect"/>
                  </pic:spPr>
                </pic:pic>
              </a:graphicData>
            </a:graphic>
          </wp:inline>
        </w:drawing>
      </w:r>
    </w:p>
    <w:sectPr w:rsidR="00FC693F" w:rsidRPr="0006063C" w:rsidSect="00034616">
      <w:pgSz w:w="12240" w:h="15840"/>
      <w:pgMar w:top="360" w:right="666" w:bottom="796" w:left="1412"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javascript:scrollText()" TargetMode="Externa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