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Georgia" w:cs="Georgia" w:eastAsia="Georgia" w:hAnsi="Georgia"/>
          <w:b/>
          <w:bCs/>
          <w:color w:val="0F6B6B"/>
          <w:sz w:val="72"/>
          <w:szCs w:val="72"/>
        </w:rPr>
        <w:t xml:space="preserve">LEIKO</w:t>
      </w:r>
    </w:p>
    <w:p>
      <w:pPr>
        <w:spacing w:after="400"/>
        <w:jc w:val="center"/>
      </w:pPr>
      <w:r>
        <w:rPr>
          <w:rFonts w:ascii="Georgia" w:cs="Georgia" w:eastAsia="Georgia" w:hAnsi="Georgia"/>
          <w:i/>
          <w:iCs/>
          <w:color w:val="E85D4A"/>
          <w:sz w:val="26"/>
          <w:szCs w:val="26"/>
        </w:rPr>
        <w:t xml:space="preserve">Blood pressure, measured — not guessed.</w:t>
      </w:r>
    </w:p>
    <w:p>
      <w:pPr>
        <w:spacing w:after="160"/>
        <w:jc w:val="center"/>
      </w:pPr>
      <w:r>
        <w:rPr>
          <w:rFonts w:ascii="Georgia" w:cs="Georgia" w:eastAsia="Georgia" w:hAnsi="Georgia"/>
          <w:b/>
          <w:bCs/>
          <w:color w:val="1A1A2E"/>
          <w:sz w:val="40"/>
          <w:szCs w:val="40"/>
        </w:rPr>
        <w:t xml:space="preserve">THE BRAND-BUILDING PLAYBOOK</w:t>
      </w:r>
    </w:p>
    <w:p>
      <w:pPr>
        <w:spacing w:after="2000"/>
        <w:jc w:val="center"/>
      </w:pPr>
      <w:r>
        <w:rPr>
          <w:rFonts w:ascii="Georgia" w:cs="Georgia" w:eastAsia="Georgia" w:hAnsi="Georgia"/>
          <w:color w:val="5A5A6E"/>
          <w:sz w:val="24"/>
          <w:szCs w:val="24"/>
        </w:rPr>
        <w:t xml:space="preserve">What the experts did, what we adopt, and how we build — Nigeria first, then the United States</w:t>
      </w:r>
    </w:p>
    <w:p>
      <w:pPr>
        <w:jc w:val="center"/>
      </w:pPr>
      <w:r>
        <w:rPr>
          <w:rFonts w:ascii="Georgia" w:cs="Georgia" w:eastAsia="Georgia" w:hAnsi="Georgia"/>
          <w:color w:val="5A5A6E"/>
          <w:sz w:val="20"/>
          <w:szCs w:val="20"/>
        </w:rPr>
        <w:t xml:space="preserve">Internal strategy document · August 2026 · leiko.health</w:t>
      </w:r>
    </w:p>
    <w:p>
      <w:r>
        <w:br w:type="page"/>
      </w:r>
    </w:p>
    <w:p>
      <w:pPr>
        <w:pStyle w:val="Heading1"/>
        <w:spacing w:after="200" w:before="360"/>
      </w:pPr>
      <w:r>
        <w:rPr>
          <w:rFonts w:ascii="Georgia" w:cs="Georgia" w:eastAsia="Georgia" w:hAnsi="Georgia"/>
          <w:b/>
          <w:bCs/>
          <w:color w:val="0F6B6B"/>
          <w:sz w:val="34"/>
          <w:szCs w:val="34"/>
        </w:rPr>
        <w:t xml:space="preserve">1. Executive Summary</w:t>
      </w:r>
    </w:p>
    <w:p>
      <w:pPr>
        <w:spacing w:after="160" w:line="300"/>
      </w:pPr>
      <w:r>
        <w:rPr>
          <w:rFonts w:ascii="Georgia" w:cs="Georgia" w:eastAsia="Georgia" w:hAnsi="Georgia"/>
          <w:color w:val="1A1A2E"/>
          <w:sz w:val="22"/>
          <w:szCs w:val="22"/>
        </w:rPr>
        <w:t xml:space="preserve">This playbook distills roughly twelve hours of teaching from two operators who built real e-commerce fortunes — Davie Fogarty (The Oodie, Calming Blankets; over $800 million in cumulative sales and 7.5 billion content impressions) and Nikolaj Petersen (Scandinavian Rest and others; roughly €17 million across brands, built largely by studying Fogarty and adapting his playbook to a new market). It extracts what they actually did, strips out what does not apply to a regulated health product, and turns the rest into a concrete operating plan for Leiko.</w:t>
      </w:r>
    </w:p>
    <w:p>
      <w:pPr>
        <w:spacing w:after="160" w:line="300"/>
      </w:pPr>
      <w:r>
        <w:rPr>
          <w:rFonts w:ascii="Georgia" w:cs="Georgia" w:eastAsia="Georgia" w:hAnsi="Georgia"/>
          <w:color w:val="1A1A2E"/>
          <w:sz w:val="22"/>
          <w:szCs w:val="22"/>
        </w:rPr>
        <w:t xml:space="preserve">Three findings sit above everything else in this document.</w:t>
      </w:r>
    </w:p>
    <w:p>
      <w:pPr>
        <w:spacing w:after="160" w:line="300"/>
      </w:pPr>
      <w:r>
        <w:rPr>
          <w:rFonts w:ascii="Georgia" w:cs="Georgia" w:eastAsia="Georgia" w:hAnsi="Georgia"/>
          <w:b/>
          <w:bCs/>
          <w:color w:val="1A1A2E"/>
          <w:sz w:val="22"/>
          <w:szCs w:val="22"/>
        </w:rPr>
        <w:t xml:space="preserve">First: story is the engine, not the decoration. </w:t>
      </w:r>
      <w:r>
        <w:rPr>
          <w:rFonts w:ascii="Georgia" w:cs="Georgia" w:eastAsia="Georgia" w:hAnsi="Georgia"/>
          <w:color w:val="1A1A2E"/>
          <w:sz w:val="22"/>
          <w:szCs w:val="22"/>
        </w:rPr>
        <w:t xml:space="preserve">Fogarty's single biggest inflection — the video that broke him past a two-year plateau — came from telling the same lessons he had always taught, but leading with a story. Stanford research he cites found 63% of people remember story-based presentations against 5% who remember facts. Leiko is sitting on an unusually rich story: a real inflating cuff on the wrist, a category full of competitors that guess, and a culture of children checking on their parents. We have been publishing well-designed stat cards; the next level is publishing stories.</w:t>
      </w:r>
    </w:p>
    <w:p>
      <w:pPr>
        <w:spacing w:after="160" w:line="300"/>
      </w:pPr>
      <w:r>
        <w:rPr>
          <w:rFonts w:ascii="Georgia" w:cs="Georgia" w:eastAsia="Georgia" w:hAnsi="Georgia"/>
          <w:b/>
          <w:bCs/>
          <w:color w:val="1A1A2E"/>
          <w:sz w:val="22"/>
          <w:szCs w:val="22"/>
        </w:rPr>
        <w:t xml:space="preserve">Second: the biggest proven shortcut is ‘copy, localize, improve.’ </w:t>
      </w:r>
      <w:r>
        <w:rPr>
          <w:rFonts w:ascii="Georgia" w:cs="Georgia" w:eastAsia="Georgia" w:hAnsi="Georgia"/>
          <w:color w:val="1A1A2E"/>
          <w:sz w:val="22"/>
          <w:szCs w:val="22"/>
        </w:rPr>
        <w:t xml:space="preserve">Petersen's entire fortune came from one insight — take a product and playbook proven in one market (Australia) and execute it better in an underserved market (Denmark), tailored to local culture, local language, local trust signals. Leiko is already that play: proven wrist blood-pressure technology, positioned properly for Nigeria, where roughly one in three adults has raised blood pressure and most do not know their number. Our job is to run the localization play with full conviction in Nigeria, then run it a second time into the US — entering through the Nigerian diaspora, where we hold an advantage no American brand can copy.</w:t>
      </w:r>
    </w:p>
    <w:p>
      <w:pPr>
        <w:spacing w:after="160" w:line="300"/>
      </w:pPr>
      <w:r>
        <w:rPr>
          <w:rFonts w:ascii="Georgia" w:cs="Georgia" w:eastAsia="Georgia" w:hAnsi="Georgia"/>
          <w:b/>
          <w:bCs/>
          <w:color w:val="1A1A2E"/>
          <w:sz w:val="22"/>
          <w:szCs w:val="22"/>
        </w:rPr>
        <w:t xml:space="preserve">Third: volume and iteration beat perfection. </w:t>
      </w:r>
      <w:r>
        <w:rPr>
          <w:rFonts w:ascii="Georgia" w:cs="Georgia" w:eastAsia="Georgia" w:hAnsi="Georgia"/>
          <w:color w:val="1A1A2E"/>
          <w:sz w:val="22"/>
          <w:szCs w:val="22"/>
        </w:rPr>
        <w:t xml:space="preserve">Both operators are ruthless about testing: many angles, many creatives, small budgets, fast reading of the data, then doubling down on winners. Fogarty's rule — ‘if it works, post more than once a day; if it doesn't, stop posting once a day’ — and his ‘remove the founder constraint’ principle mean Leiko must evolve from three approved cards a week into a content engine: cards, plus video, plus creators, plus a story bank, all feeding a weekly performance loop we already have scaffolding for in the v3 content machine.</w:t>
      </w:r>
    </w:p>
    <w:p>
      <w:pPr>
        <w:spacing w:after="160" w:line="300"/>
      </w:pPr>
      <w:r>
        <w:rPr>
          <w:rFonts w:ascii="Georgia" w:cs="Georgia" w:eastAsia="Georgia" w:hAnsi="Georgia"/>
          <w:color w:val="1A1A2E"/>
          <w:sz w:val="22"/>
          <w:szCs w:val="22"/>
        </w:rPr>
        <w:t xml:space="preserve">Everything in this playbook is filtered through one non-negotiable: Leiko sells inside a health category with locked copy rules. No fear-mongering, no outcome promises, no diagnosis or treatment language, no regulatory claims in public copy. The interesting discovery of this exercise is that the guardrails barely cost us anything — nearly every tactic the experts teach has a compliant version, and several (credibility, education, family warmth) are actually stronger for us than for a hoodie brand. Where a tactic cannot be made compliant, this document says so plainly and offers the substitute.</w:t>
      </w:r>
    </w:p>
    <w:p>
      <w:pPr>
        <w:spacing w:after="160" w:line="300"/>
      </w:pPr>
      <w:r>
        <w:rPr>
          <w:rFonts w:ascii="Georgia" w:cs="Georgia" w:eastAsia="Georgia" w:hAnsi="Georgia"/>
          <w:color w:val="1A1A2E"/>
          <w:sz w:val="22"/>
          <w:szCs w:val="22"/>
        </w:rPr>
        <w:t xml:space="preserve">The structure: Part 2 extracts the lessons. Part 3 translates them into Leiko's constraints. Part 4 builds the story bank and content engine. Part 5 covers offers and the funnel. Part 6 is the 90-day Nigeria plan. Part 7 is the US expansion roadmap. Part 8 sets the metrics and operating cadence. Appendices hold the working tools: the idea matrix, the frame-swipe worksheet, the hook bank, and the verified statistics bank.</w:t>
      </w:r>
    </w:p>
    <w:p>
      <w:r>
        <w:br w:type="page"/>
      </w:r>
    </w:p>
    <w:p>
      <w:pPr>
        <w:pStyle w:val="Heading1"/>
        <w:spacing w:after="200" w:before="360"/>
      </w:pPr>
      <w:r>
        <w:rPr>
          <w:rFonts w:ascii="Georgia" w:cs="Georgia" w:eastAsia="Georgia" w:hAnsi="Georgia"/>
          <w:b/>
          <w:bCs/>
          <w:color w:val="0F6B6B"/>
          <w:sz w:val="34"/>
          <w:szCs w:val="34"/>
        </w:rPr>
        <w:t xml:space="preserve">2. What the Experts Actually Teach</w:t>
      </w:r>
    </w:p>
    <w:p>
      <w:pPr>
        <w:spacing w:after="160" w:line="300"/>
      </w:pPr>
      <w:r>
        <w:rPr>
          <w:rFonts w:ascii="Georgia" w:cs="Georgia" w:eastAsia="Georgia" w:hAnsi="Georgia"/>
          <w:color w:val="1A1A2E"/>
          <w:sz w:val="22"/>
          <w:szCs w:val="22"/>
        </w:rPr>
        <w:t xml:space="preserve">Four bodies of material were studied: Fogarty's masterclass on content that sells (the ‘money glitch’ talk), his post-mortem on Calming Blankets ($10M year one, then a collapse he dissects honestly), his full free e-commerce course (product selection through Facebook ads, email, and finance), and Petersen's two videos on how he copied Fogarty's playbook into Scandinavia and systematized it. The lessons cluster into eight themes.</w:t>
      </w:r>
    </w:p>
    <w:p>
      <w:pPr>
        <w:pStyle w:val="Heading2"/>
        <w:spacing w:after="160" w:before="280"/>
      </w:pPr>
      <w:r>
        <w:rPr>
          <w:rFonts w:ascii="Georgia" w:cs="Georgia" w:eastAsia="Georgia" w:hAnsi="Georgia"/>
          <w:b/>
          <w:bCs/>
          <w:color w:val="1A1A2E"/>
          <w:sz w:val="27"/>
          <w:szCs w:val="27"/>
        </w:rPr>
        <w:t xml:space="preserve">2.1 Story beats facts — the science and the formula</w:t>
      </w:r>
    </w:p>
    <w:p>
      <w:pPr>
        <w:spacing w:after="160" w:line="300"/>
      </w:pPr>
      <w:r>
        <w:rPr>
          <w:rFonts w:ascii="Georgia" w:cs="Georgia" w:eastAsia="Georgia" w:hAnsi="Georgia"/>
          <w:color w:val="1A1A2E"/>
          <w:sz w:val="22"/>
          <w:szCs w:val="22"/>
        </w:rPr>
        <w:t xml:space="preserve">Fogarty's core claim is neurological: stories trigger ‘neural coupling’ — when you say ‘he kicked the ball,’ the listener's motor cortex fires; facts and stats light up only language-processing areas. He cites a Stanford study in which 63% of an audience remembered story-based presentations versus 5% for fact-based ones. His own channel was stuck below 200,000 views for two years; the video that exploded (‘My name is Davie. This is my story’) contained the same lessons as every earlier video — he simply told the story first and the lesson second.</w:t>
      </w:r>
    </w:p>
    <w:p>
      <w:pPr>
        <w:spacing w:after="160" w:line="300"/>
      </w:pPr>
      <w:r>
        <w:rPr>
          <w:rFonts w:ascii="Georgia" w:cs="Georgia" w:eastAsia="Georgia" w:hAnsi="Georgia"/>
          <w:color w:val="1A1A2E"/>
          <w:sz w:val="22"/>
          <w:szCs w:val="22"/>
        </w:rPr>
        <w:t xml:space="preserve">His replacement for the tired hook-body-CTA formula is a process: frame-swipe (study a winning piece of content structurally), story (rebuild it around your own true story), scale (multiply the output). He demonstrates it with the protein-cookie founders narrating months of failed reformulation (‘we failed a lot. Like, a lot a lot’), an overweight man's multi-year Ironman transformation told in six wordless clips, and his own founder-journey carousel — one iconic photo per year of business life, failures included — which he reposts across mediums ‘over and over in different ways, and it works every single time.’</w:t>
      </w:r>
    </w:p>
    <w:p>
      <w:pPr>
        <w:pBdr>
          <w:left w:val="single" w:color="E85D4A" w:sz="18" w:space="8"/>
        </w:pBdr>
        <w:spacing w:after="180" w:before="120" w:line="300"/>
        <w:ind w:left="576" w:right="576"/>
      </w:pPr>
      <w:r>
        <w:rPr>
          <w:rFonts w:ascii="Georgia" w:cs="Georgia" w:eastAsia="Georgia" w:hAnsi="Georgia"/>
          <w:i/>
          <w:iCs/>
          <w:color w:val="5A5A6E"/>
          <w:sz w:val="22"/>
          <w:szCs w:val="22"/>
        </w:rPr>
        <w:t xml:space="preserve">“Brain rot does not make sales. It is not remembered.”</w:t>
      </w:r>
      <w:r>
        <w:rPr>
          <w:rFonts w:ascii="Georgia" w:cs="Georgia" w:eastAsia="Georgia" w:hAnsi="Georgia"/>
          <w:color w:val="5A5A6E"/>
          <w:sz w:val="20"/>
          <w:szCs w:val="20"/>
        </w:rPr>
        <w:t xml:space="preserve">  — Davie Fogarty</w:t>
      </w:r>
    </w:p>
    <w:p>
      <w:pPr>
        <w:spacing w:after="160" w:line="300"/>
      </w:pPr>
      <w:r>
        <w:rPr>
          <w:rFonts w:ascii="Georgia" w:cs="Georgia" w:eastAsia="Georgia" w:hAnsi="Georgia"/>
          <w:color w:val="1A1A2E"/>
          <w:sz w:val="22"/>
          <w:szCs w:val="22"/>
        </w:rPr>
        <w:t xml:space="preserve">The craft points that go with it: open with an open loop, not a closed hook — curiosity held open (the Zeigarnik effect: waitresses remember unpaid bills, then forget them the moment they are settled) keeps people watching; close the loop only after you have educated them. Use powerful language (‘steal’ beats ‘learn from’; ‘a national ice bath crisis’ beats ‘a problem with ice baths’). And pacing is ‘a game of milliseconds, not seconds’ — one beat of dead air after a line loses the viewer.</w:t>
      </w:r>
    </w:p>
    <w:p>
      <w:pPr>
        <w:pStyle w:val="Heading2"/>
        <w:spacing w:after="160" w:before="280"/>
      </w:pPr>
      <w:r>
        <w:rPr>
          <w:rFonts w:ascii="Georgia" w:cs="Georgia" w:eastAsia="Georgia" w:hAnsi="Georgia"/>
          <w:b/>
          <w:bCs/>
          <w:color w:val="1A1A2E"/>
          <w:sz w:val="27"/>
          <w:szCs w:val="27"/>
        </w:rPr>
        <w:t xml:space="preserve">2.2 Emotion × technique — the virality matrix</w:t>
      </w:r>
    </w:p>
    <w:p>
      <w:pPr>
        <w:spacing w:after="160" w:line="300"/>
      </w:pPr>
      <w:r>
        <w:rPr>
          <w:rFonts w:ascii="Georgia" w:cs="Georgia" w:eastAsia="Georgia" w:hAnsi="Georgia"/>
          <w:color w:val="1A1A2E"/>
          <w:sz w:val="22"/>
          <w:szCs w:val="22"/>
        </w:rPr>
        <w:t xml:space="preserve">Fogarty lists the emotions worth targeting deliberately — curiosity, belonging, moral outrage, confusion, inspiration — and the techniques that carry them: novelty, relatability, visual shock, trend relevance, credibility, and controversy. Each is illustrated with a receipt: the counterfeit-Oodie ‘controversy’ ad made him over a million dollars in sales; the wearable-blanket ‘relatability’ ad returned nearly a million on $250,000 of spend; a wax-dipped wine bottle got 90 million views on visual shock alone (though he'd trade it for 10 million views with a story attached, because views without story don't convert); the Drumstick mascot jumping on the TikTok-buyout news got 15 million on trend relevance.</w:t>
      </w:r>
    </w:p>
    <w:p>
      <w:pPr>
        <w:spacing w:after="160" w:line="300"/>
      </w:pPr>
      <w:r>
        <w:rPr>
          <w:rFonts w:ascii="Georgia" w:cs="Georgia" w:eastAsia="Georgia" w:hAnsi="Georgia"/>
          <w:color w:val="1A1A2E"/>
          <w:sz w:val="22"/>
          <w:szCs w:val="22"/>
        </w:rPr>
        <w:t xml:space="preserve">His generative questions, which we will answer for Leiko in Part 3: What does everyone believe about your product that is false? What is the most heartfelt customer story you have heard? What frustrates people about your category? What story proves you are different from competitors? What is the most shocking visual you can create? What happened in the news this week that you have authority to comment on?</w:t>
      </w:r>
    </w:p>
    <w:p>
      <w:pPr>
        <w:pStyle w:val="Heading2"/>
        <w:spacing w:after="160" w:before="280"/>
      </w:pPr>
      <w:r>
        <w:rPr>
          <w:rFonts w:ascii="Georgia" w:cs="Georgia" w:eastAsia="Georgia" w:hAnsi="Georgia"/>
          <w:b/>
          <w:bCs/>
          <w:color w:val="1A1A2E"/>
          <w:sz w:val="27"/>
          <w:szCs w:val="27"/>
        </w:rPr>
        <w:t xml:space="preserve">2.3 Frame-swiping — stealing structure, never content</w:t>
      </w:r>
    </w:p>
    <w:p>
      <w:pPr>
        <w:pBdr>
          <w:left w:val="single" w:color="E85D4A" w:sz="18" w:space="8"/>
        </w:pBdr>
        <w:spacing w:after="180" w:before="120" w:line="300"/>
        <w:ind w:left="576" w:right="576"/>
      </w:pPr>
      <w:r>
        <w:rPr>
          <w:rFonts w:ascii="Georgia" w:cs="Georgia" w:eastAsia="Georgia" w:hAnsi="Georgia"/>
          <w:i/>
          <w:iCs/>
          <w:color w:val="5A5A6E"/>
          <w:sz w:val="22"/>
          <w:szCs w:val="22"/>
        </w:rPr>
        <w:t xml:space="preserve">“If I have seen further, it is by standing on the shoulders of giants.”</w:t>
      </w:r>
      <w:r>
        <w:rPr>
          <w:rFonts w:ascii="Georgia" w:cs="Georgia" w:eastAsia="Georgia" w:hAnsi="Georgia"/>
          <w:color w:val="5A5A6E"/>
          <w:sz w:val="20"/>
          <w:szCs w:val="20"/>
        </w:rPr>
        <w:t xml:space="preserve">  — Isaac Newton, quoted approvingly by both operators</w:t>
      </w:r>
    </w:p>
    <w:p>
      <w:pPr>
        <w:spacing w:after="160" w:line="300"/>
      </w:pPr>
      <w:r>
        <w:rPr>
          <w:rFonts w:ascii="Georgia" w:cs="Georgia" w:eastAsia="Georgia" w:hAnsi="Georgia"/>
          <w:color w:val="1A1A2E"/>
          <w:sz w:val="22"/>
          <w:szCs w:val="22"/>
        </w:rPr>
        <w:t xml:space="preserve">Frame-swiping is Fogarty's method for the ‘creatively illiterate’: take a winning video (from any niche — he dissects a Hismile ad for a blanket audience) and log its anatomy in a table: beginning/middle/end, location and visuals, pacing, script and trigger words, on-screen text, lighting, and the viewer's feeling at each stage. Then rebuild that skeleton with your own product, your own story, your own market — which sidesteps the supply-and-demand trap where copying content verbatim serves an already-served audience. Petersen is the extreme proof: he frame-swiped Fogarty's entire business — supplier, site structure, ad formats — but rebuilt every asset himself for Danish culture, and is explicit that stealing actual creative gets your ad account banned and your brand DMCA'd.</w:t>
      </w:r>
    </w:p>
    <w:p>
      <w:pPr>
        <w:pStyle w:val="Heading2"/>
        <w:spacing w:after="160" w:before="280"/>
      </w:pPr>
      <w:r>
        <w:rPr>
          <w:rFonts w:ascii="Georgia" w:cs="Georgia" w:eastAsia="Georgia" w:hAnsi="Georgia"/>
          <w:b/>
          <w:bCs/>
          <w:color w:val="1A1A2E"/>
          <w:sz w:val="27"/>
          <w:szCs w:val="27"/>
        </w:rPr>
        <w:t xml:space="preserve">2.4 Volume — removing the founder constraint</w:t>
      </w:r>
    </w:p>
    <w:p>
      <w:pPr>
        <w:spacing w:after="160" w:line="300"/>
      </w:pPr>
      <w:r>
        <w:rPr>
          <w:rFonts w:ascii="Georgia" w:cs="Georgia" w:eastAsia="Georgia" w:hAnsi="Georgia"/>
          <w:color w:val="1A1A2E"/>
          <w:sz w:val="22"/>
          <w:szCs w:val="22"/>
        </w:rPr>
        <w:t xml:space="preserve">The tale as old as time, in Fogarty's telling: founder posts, gets sales, gets busy, posts less, sales drop. The fix is systematic: hire or contract people who have already gotten views (his Oodie social lead started in customer service with a 10k TikTok); build a massive organized archive of every clip ever shot (‘ask your mom, ask your grandparents, everyone to upload as much footage as possible’); use life-extenders — change the hook, change the format, repost winners every few months, run fan pages alongside the main account; and pay editors on incentive structures. His posting rule is blunt: if content is working, post far more than once a day. He also warns to pick scalable formats — a founder-story video works once; a repeatable format (street interviews, podcast clips, a recurring myth-vs-fact structure) can be produced forever. Our locked card system is, notably, exactly such a scalable format.</w:t>
      </w:r>
    </w:p>
    <w:p>
      <w:pPr>
        <w:pStyle w:val="Heading2"/>
        <w:spacing w:after="160" w:before="280"/>
      </w:pPr>
      <w:r>
        <w:rPr>
          <w:rFonts w:ascii="Georgia" w:cs="Georgia" w:eastAsia="Georgia" w:hAnsi="Georgia"/>
          <w:b/>
          <w:bCs/>
          <w:color w:val="1A1A2E"/>
          <w:sz w:val="27"/>
          <w:szCs w:val="27"/>
        </w:rPr>
        <w:t xml:space="preserve">2.5 Brand is the only moat — and the three mistakes</w:t>
      </w:r>
    </w:p>
    <w:p>
      <w:pPr>
        <w:spacing w:after="160" w:line="300"/>
      </w:pPr>
      <w:r>
        <w:rPr>
          <w:rFonts w:ascii="Georgia" w:cs="Georgia" w:eastAsia="Georgia" w:hAnsi="Georgia"/>
          <w:color w:val="1A1A2E"/>
          <w:sz w:val="22"/>
          <w:szCs w:val="22"/>
        </w:rPr>
        <w:t xml:space="preserve">Fogarty's Calming Blankets story is the cautionary spine of the whole course. Year one: $10M revenue, $1.5M profit. Then a collapse from three named mistakes: (1) hype and greed made him a poor manager — he launched ten side-brands, gave his winner one hour a week, merged all finances into one unreadable mess, and hired to 100 people with nobody incentivized on the core brand's survival; (2) no product strategy — variations that diluted the brand instead of a deliberate product flywheel, leaving him exposed when cheaper competitors (including his own later brand, The Oodie) entered on the same marketing channels; (3) no inventory planning — top sellers sold out unnoticed, cash sat in the wrong stock, and he advertised his worst products at terrible acquisition costs during peak demand.</w:t>
      </w:r>
    </w:p>
    <w:p>
      <w:pPr>
        <w:pBdr>
          <w:left w:val="single" w:color="E85D4A" w:sz="18" w:space="8"/>
        </w:pBdr>
        <w:spacing w:after="180" w:before="120" w:line="300"/>
        <w:ind w:left="576" w:right="576"/>
      </w:pPr>
      <w:r>
        <w:rPr>
          <w:rFonts w:ascii="Georgia" w:cs="Georgia" w:eastAsia="Georgia" w:hAnsi="Georgia"/>
          <w:i/>
          <w:iCs/>
          <w:color w:val="5A5A6E"/>
          <w:sz w:val="22"/>
          <w:szCs w:val="22"/>
        </w:rPr>
        <w:t xml:space="preserve">“The benefits of synergies are hypothetical, but the benefits of focus are immediate.”</w:t>
      </w:r>
      <w:r>
        <w:rPr>
          <w:rFonts w:ascii="Georgia" w:cs="Georgia" w:eastAsia="Georgia" w:hAnsi="Georgia"/>
          <w:color w:val="5A5A6E"/>
          <w:sz w:val="20"/>
          <w:szCs w:val="20"/>
        </w:rPr>
        <w:t xml:space="preserve">  — David Sacks, quoted by Fogarty</w:t>
      </w:r>
    </w:p>
    <w:p>
      <w:pPr>
        <w:spacing w:after="160" w:line="300"/>
      </w:pPr>
      <w:r>
        <w:rPr>
          <w:rFonts w:ascii="Georgia" w:cs="Georgia" w:eastAsia="Georgia" w:hAnsi="Georgia"/>
          <w:color w:val="1A1A2E"/>
          <w:sz w:val="22"/>
          <w:szCs w:val="22"/>
        </w:rPr>
        <w:t xml:space="preserve">The positive lesson is the same one inverted: brand — a set of shared values, a great customer experience, repeat purchase, word of mouth — is ‘the only true moat in e-commerce.’ It buys cheaper acquisition (his comparison: a no-name teeth-whitening dropshipper versus Hismile's billion-dollar machine on the same channel), gives direction for future products, and compounds. Simon Beard's line, ‘a brand is earned in drips and lost in buckets,’ becomes our argument for consistency — and, for Leiko specifically, for never once breaching trust with an exaggerated health claim.</w:t>
      </w:r>
    </w:p>
    <w:p>
      <w:pPr>
        <w:pStyle w:val="Heading2"/>
        <w:spacing w:after="160" w:before="280"/>
      </w:pPr>
      <w:r>
        <w:rPr>
          <w:rFonts w:ascii="Georgia" w:cs="Georgia" w:eastAsia="Georgia" w:hAnsi="Georgia"/>
          <w:b/>
          <w:bCs/>
          <w:color w:val="1A1A2E"/>
          <w:sz w:val="27"/>
          <w:szCs w:val="27"/>
        </w:rPr>
        <w:t xml:space="preserve">2.6 Positioning, angles, and education-heavy selling</w:t>
      </w:r>
    </w:p>
    <w:p>
      <w:pPr>
        <w:spacing w:after="160" w:line="300"/>
      </w:pPr>
      <w:r>
        <w:rPr>
          <w:rFonts w:ascii="Georgia" w:cs="Georgia" w:eastAsia="Georgia" w:hAnsi="Georgia"/>
          <w:color w:val="1A1A2E"/>
          <w:sz w:val="22"/>
          <w:szCs w:val="22"/>
        </w:rPr>
        <w:t xml:space="preserve">Both operators treat positioning — who the product is for and against what alternative — as more important than any individual ad. Fogarty's knee-brace example (same product, positioned for marathoners or for older adults) and his compression-shirt project (gym avatar versus everyday-confidence avatar) show the same product supporting many angles, each needing its own creative, tested cheaply and killed or scaled on data. His ‘horizontal scaling’ is precisely this: new avatars, new pockets of demand, new angles — not just more budget on one ad.</w:t>
      </w:r>
    </w:p>
    <w:p>
      <w:pPr>
        <w:spacing w:after="160" w:line="300"/>
      </w:pPr>
      <w:r>
        <w:rPr>
          <w:rFonts w:ascii="Georgia" w:cs="Georgia" w:eastAsia="Georgia" w:hAnsi="Georgia"/>
          <w:color w:val="1A1A2E"/>
          <w:sz w:val="22"/>
          <w:szCs w:val="22"/>
        </w:rPr>
        <w:t xml:space="preserve">Most relevant to Leiko: he reserves his highest-leverage formats — advertorials and video sales letters — for products that ‘have a large burning problem requiring education to bridge the gap.’ A hoodie needs no education. A wrist device with a real inflating cuff, in a market where people believe checking blood pressure requires a clinic, is exactly the education-heavy product these long-form, story-first formats were built for. His advertorial anatomy (authoritative headline → qualifying statement → problem told as story → challenge existing beliefs gently → solution mechanism → social proof → offer) is directly reusable, with compliance adjustments, for ‘measured, not guessed’ education.</w:t>
      </w:r>
    </w:p>
    <w:p>
      <w:pPr>
        <w:pStyle w:val="Heading2"/>
        <w:spacing w:after="160" w:before="280"/>
      </w:pPr>
      <w:r>
        <w:rPr>
          <w:rFonts w:ascii="Georgia" w:cs="Georgia" w:eastAsia="Georgia" w:hAnsi="Georgia"/>
          <w:b/>
          <w:bCs/>
          <w:color w:val="1A1A2E"/>
          <w:sz w:val="27"/>
          <w:szCs w:val="27"/>
        </w:rPr>
        <w:t xml:space="preserve">2.7 The data loop — test, read, iterate, never guess</w:t>
      </w:r>
    </w:p>
    <w:p>
      <w:pPr>
        <w:spacing w:after="160" w:line="300"/>
      </w:pPr>
      <w:r>
        <w:rPr>
          <w:rFonts w:ascii="Georgia" w:cs="Georgia" w:eastAsia="Georgia" w:hAnsi="Georgia"/>
          <w:color w:val="1A1A2E"/>
          <w:sz w:val="22"/>
          <w:szCs w:val="22"/>
        </w:rPr>
        <w:t xml:space="preserve">Fogarty's ‘do I suck?’ flywheel is a disciplined diagnostic order for when results disappoint: first check the checkout actually works in every target market; then judge the ads (click-through rate, CPM) before blaming anything else; then the website (watch real session recordings, fix objections); then the offer; only then the product. His metrics ladder — impressions → CPM → outbound CTR → add-to-cart → initiate checkout → purchase → ROAS — tells you which layer is broken. Both operators compute a target ROAS from real unit economics before scaling (Petersen's rule of thumb: 3× ROAS proves a winner; below that, iterate or test the next product), and both track daily profit so ad budgets flex daily with results. Fogarty's honest on-camera struggle with his alpaca-socks test — losing money, diagnosing creative as the weak layer, pivoting angles from cooling to warming, watching one ‘merino wool comparison’ ad absorb all the spend and reveal the real angle — is the best single demonstration in the material that iteration is the job, not a sign of failure.</w:t>
      </w:r>
    </w:p>
    <w:p>
      <w:pPr>
        <w:pStyle w:val="Heading2"/>
        <w:spacing w:after="160" w:before="280"/>
      </w:pPr>
      <w:r>
        <w:rPr>
          <w:rFonts w:ascii="Georgia" w:cs="Georgia" w:eastAsia="Georgia" w:hAnsi="Georgia"/>
          <w:b/>
          <w:bCs/>
          <w:color w:val="1A1A2E"/>
          <w:sz w:val="27"/>
          <w:szCs w:val="27"/>
        </w:rPr>
        <w:t xml:space="preserve">2.8 The Petersen corollary — localization arbitrage</w:t>
      </w:r>
    </w:p>
    <w:p>
      <w:pPr>
        <w:spacing w:after="160" w:line="300"/>
      </w:pPr>
      <w:r>
        <w:rPr>
          <w:rFonts w:ascii="Georgia" w:cs="Georgia" w:eastAsia="Georgia" w:hAnsi="Georgia"/>
          <w:color w:val="1A1A2E"/>
          <w:sz w:val="22"/>
          <w:szCs w:val="22"/>
        </w:rPr>
        <w:t xml:space="preserve">Petersen's contribution deserves its own line because it is Leiko's origin story told by someone else. At 20, after twelve failed products, he studied Fogarty relentlessly and noticed that every product Fogarty sold in Australia was ‘more modern, more innovative, and more unique than what currently was selling in Denmark.’ He found the same supplier (who showed him photos of themselves sewing Fogarty's logo), rebuilt the site and ads with Danish structure, language, and trust signals — local domain, local payment methods, local influencers in the exact target demographic (women 35–55) — and grew from two sales during a gym session to $500k, then $3M, then $6.5M, then an exit. His systemization — product criteria (3× margin, €65+ price, proof of concept plus room for improvement), a five-day cap on product research, pre-orders before inventory, and ‘open your eyes’ demand-spotting — turns Fogarty's instincts into checklists. The transferable insight: proven product + underserved market + local trust + better execution = outsized returns. Nigeria is that underserved market for measured wrist blood pressure. The Nigerian diaspora in America will be the next one.</w:t>
      </w:r>
    </w:p>
    <w:p>
      <w:r>
        <w:br w:type="page"/>
      </w:r>
    </w:p>
    <w:p>
      <w:pPr>
        <w:pStyle w:val="Heading1"/>
        <w:spacing w:after="200" w:before="360"/>
      </w:pPr>
      <w:r>
        <w:rPr>
          <w:rFonts w:ascii="Georgia" w:cs="Georgia" w:eastAsia="Georgia" w:hAnsi="Georgia"/>
          <w:b/>
          <w:bCs/>
          <w:color w:val="0F6B6B"/>
          <w:sz w:val="34"/>
          <w:szCs w:val="34"/>
        </w:rPr>
        <w:t xml:space="preserve">3. Translating the Playbook to Leiko — the Guardrails and the Gold</w:t>
      </w:r>
    </w:p>
    <w:p>
      <w:pPr>
        <w:pStyle w:val="Heading2"/>
        <w:spacing w:after="160" w:before="280"/>
      </w:pPr>
      <w:r>
        <w:rPr>
          <w:rFonts w:ascii="Georgia" w:cs="Georgia" w:eastAsia="Georgia" w:hAnsi="Georgia"/>
          <w:b/>
          <w:bCs/>
          <w:color w:val="1A1A2E"/>
          <w:sz w:val="27"/>
          <w:szCs w:val="27"/>
        </w:rPr>
        <w:t xml:space="preserve">3.1 What makes Leiko different from a hoodie</w:t>
      </w:r>
    </w:p>
    <w:p>
      <w:pPr>
        <w:spacing w:after="160" w:line="300"/>
      </w:pPr>
      <w:r>
        <w:rPr>
          <w:rFonts w:ascii="Georgia" w:cs="Georgia" w:eastAsia="Georgia" w:hAnsi="Georgia"/>
          <w:color w:val="1A1A2E"/>
          <w:sz w:val="22"/>
          <w:szCs w:val="22"/>
        </w:rPr>
        <w:t xml:space="preserve">Every tactic above was developed for impulse-friendly lifestyle products. Leiko is a health device with locked copy rules, and those rules are the brand: measured, not guessed; warm, caring, never salesy, never fear-mongering. The verbs we may use about the product are measure, check, know, track, monitor. We never promise outcomes, never diagnose, never treat, never use fear language, and never use regulatory terms in public copy. Blood pressure is measured (real cuff); steps, sleep, and heart rate are tracked — the two are never blurred. These rules are enforced by the voiceLint system and COPY_RULES v4, and nothing in this playbook overrides them; where this document and the codebase rules ever disagree, the codebase wins.</w:t>
      </w:r>
    </w:p>
    <w:p>
      <w:pPr>
        <w:spacing w:after="160" w:line="300"/>
      </w:pPr>
      <w:r>
        <w:rPr>
          <w:rFonts w:ascii="Georgia" w:cs="Georgia" w:eastAsia="Georgia" w:hAnsi="Georgia"/>
          <w:color w:val="1A1A2E"/>
          <w:sz w:val="22"/>
          <w:szCs w:val="22"/>
        </w:rPr>
        <w:t xml:space="preserve">Here is the encouraging part: run each expert tactic through the guardrails and almost all of it survives — often improved. Fear-driven direct response is the one genre we lose, and it is a genre that burns trust anyway. What follows is the tactic-by-tactic translation.</w:t>
      </w:r>
    </w:p>
    <w:p>
      <w:pPr>
        <w:pStyle w:val="Heading2"/>
        <w:spacing w:after="160" w:before="280"/>
      </w:pPr>
      <w:r>
        <w:rPr>
          <w:rFonts w:ascii="Georgia" w:cs="Georgia" w:eastAsia="Georgia" w:hAnsi="Georgia"/>
          <w:b/>
          <w:bCs/>
          <w:color w:val="1A1A2E"/>
          <w:sz w:val="27"/>
          <w:szCs w:val="27"/>
        </w:rPr>
        <w:t xml:space="preserve">3.2 The translation 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50"/>
        <w:gridCol w:w="3350"/>
        <w:gridCol w:w="4500"/>
      </w:tblGrid>
      <w:tr>
        <w:trPr>
          <w:tblHeader/>
        </w:trPr>
        <w:tc>
          <w:tcPr>
            <w:tcW w:type="dxa" w:w="1550"/>
            <w:shd w:fill="0F6B6B" w:color="auto" w:val="clear"/>
            <w:tcMar>
              <w:top w:type="dxa" w:w="90"/>
              <w:left w:type="dxa" w:w="120"/>
              <w:bottom w:type="dxa" w:w="90"/>
              <w:right w:type="dxa" w:w="120"/>
            </w:tcMar>
          </w:tcPr>
          <w:p>
            <w:pPr>
              <w:spacing w:after="0" w:line="270"/>
            </w:pPr>
            <w:r>
              <w:rPr>
                <w:rFonts w:ascii="Georgia" w:cs="Georgia" w:eastAsia="Georgia" w:hAnsi="Georgia"/>
                <w:b/>
                <w:bCs/>
                <w:color w:val="FFFFFF"/>
                <w:sz w:val="19"/>
                <w:szCs w:val="19"/>
              </w:rPr>
              <w:t xml:space="preserve">Expert tactic</w:t>
            </w:r>
          </w:p>
        </w:tc>
        <w:tc>
          <w:tcPr>
            <w:tcW w:type="dxa" w:w="3350"/>
            <w:shd w:fill="0F6B6B" w:color="auto" w:val="clear"/>
            <w:tcMar>
              <w:top w:type="dxa" w:w="90"/>
              <w:left w:type="dxa" w:w="120"/>
              <w:bottom w:type="dxa" w:w="90"/>
              <w:right w:type="dxa" w:w="120"/>
            </w:tcMar>
          </w:tcPr>
          <w:p>
            <w:pPr>
              <w:spacing w:after="0" w:line="270"/>
            </w:pPr>
            <w:r>
              <w:rPr>
                <w:rFonts w:ascii="Georgia" w:cs="Georgia" w:eastAsia="Georgia" w:hAnsi="Georgia"/>
                <w:b/>
                <w:bCs/>
                <w:color w:val="FFFFFF"/>
                <w:sz w:val="19"/>
                <w:szCs w:val="19"/>
              </w:rPr>
              <w:t xml:space="preserve">Raw version (theirs)</w:t>
            </w:r>
          </w:p>
        </w:tc>
        <w:tc>
          <w:tcPr>
            <w:tcW w:type="dxa" w:w="4500"/>
            <w:shd w:fill="0F6B6B" w:color="auto" w:val="clear"/>
            <w:tcMar>
              <w:top w:type="dxa" w:w="90"/>
              <w:left w:type="dxa" w:w="120"/>
              <w:bottom w:type="dxa" w:w="90"/>
              <w:right w:type="dxa" w:w="120"/>
            </w:tcMar>
          </w:tcPr>
          <w:p>
            <w:pPr>
              <w:spacing w:after="0" w:line="270"/>
            </w:pPr>
            <w:r>
              <w:rPr>
                <w:rFonts w:ascii="Georgia" w:cs="Georgia" w:eastAsia="Georgia" w:hAnsi="Georgia"/>
                <w:b/>
                <w:bCs/>
                <w:color w:val="FFFFFF"/>
                <w:sz w:val="19"/>
                <w:szCs w:val="19"/>
              </w:rPr>
              <w:t xml:space="preserve">Leiko version (compliant)</w:t>
            </w:r>
          </w:p>
        </w:tc>
      </w:tr>
      <w:tr>
        <w:tc>
          <w:tcPr>
            <w:tcW w:type="dxa" w:w="155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Controversy</w:t>
            </w:r>
          </w:p>
        </w:tc>
        <w:tc>
          <w:tcPr>
            <w:tcW w:type="dxa" w:w="335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‘This girl called our product a ripoff’ — counterfeit call-outs, competitor fights</w:t>
            </w:r>
          </w:p>
        </w:tc>
        <w:tc>
          <w:tcPr>
            <w:tcW w:type="dxa" w:w="45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Category contrast, not fear: ‘Most wrist wearables guess your blood pressure from a light sensor. Leiko has a real cuff. It measures.’ The villain is guessing, never a named competitor and never the disease.</w:t>
            </w:r>
          </w:p>
        </w:tc>
      </w:tr>
      <w:tr>
        <w:tc>
          <w:tcPr>
            <w:tcW w:type="dxa" w:w="155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Visual shock</w:t>
            </w:r>
          </w:p>
        </w:tc>
        <w:tc>
          <w:tcPr>
            <w:tcW w:type="dxa" w:w="335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Wax-dipped wine bottles, pattern interrupts</w:t>
            </w:r>
          </w:p>
        </w:tc>
        <w:tc>
          <w:tcPr>
            <w:tcW w:type="dxa" w:w="45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The cuff inflating on a wrist IS the pattern interrupt. Nobody expects a wrist device to physically inflate, hold, and release. Slow-motion inflation, the 30-second countdown, the number appearing — our signature visual.</w:t>
            </w:r>
          </w:p>
        </w:tc>
      </w:tr>
      <w:tr>
        <w:tc>
          <w:tcPr>
            <w:tcW w:type="dxa" w:w="155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Relatability</w:t>
            </w:r>
          </w:p>
        </w:tc>
        <w:tc>
          <w:tcPr>
            <w:tcW w:type="dxa" w:w="335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‘People who already own an Oodie’</w:t>
            </w:r>
          </w:p>
        </w:tc>
        <w:tc>
          <w:tcPr>
            <w:tcW w:type="dxa" w:w="45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Sunday calls home. ‘Mama, have you checked today?’ Danfo traffic, market stalls, NEPA jokes, jollof Sundays — the texture of Nigerian daily life around a 30-second check.</w:t>
            </w:r>
          </w:p>
        </w:tc>
      </w:tr>
      <w:tr>
        <w:tc>
          <w:tcPr>
            <w:tcW w:type="dxa" w:w="155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Credibility</w:t>
            </w:r>
          </w:p>
        </w:tc>
        <w:tc>
          <w:tcPr>
            <w:tcW w:type="dxa" w:w="335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Doctor characters in ads (often fake/AI)</w:t>
            </w:r>
          </w:p>
        </w:tc>
        <w:tc>
          <w:tcPr>
            <w:tcW w:type="dxa" w:w="45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Real method, honestly told: the same oscillometric method as the cuff in a clinic, on your wrist. Real pharmacists and clinicians who choose to speak, unscripted. Never invented authority.</w:t>
            </w:r>
          </w:p>
        </w:tc>
      </w:tr>
      <w:tr>
        <w:tc>
          <w:tcPr>
            <w:tcW w:type="dxa" w:w="155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Trend relevance</w:t>
            </w:r>
          </w:p>
        </w:tc>
        <w:tc>
          <w:tcPr>
            <w:tcW w:type="dxa" w:w="335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Mascot reacts to TikTok buyout news</w:t>
            </w:r>
          </w:p>
        </w:tc>
        <w:tc>
          <w:tcPr>
            <w:tcW w:type="dxa" w:w="45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World Hypertension Day (May 17), May Measurement Month, NCDC releases, salt/diet news, Detty December gifting season, Mother's/Father's Day — a health-calendar version of newsjacking.</w:t>
            </w:r>
          </w:p>
        </w:tc>
      </w:tr>
      <w:tr>
        <w:tc>
          <w:tcPr>
            <w:tcW w:type="dxa" w:w="155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Fear-based hooks</w:t>
            </w:r>
          </w:p>
        </w:tc>
        <w:tc>
          <w:tcPr>
            <w:tcW w:type="dxa" w:w="335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‘Silent killer’, ‘before it's too late’</w:t>
            </w:r>
          </w:p>
        </w:tc>
        <w:tc>
          <w:tcPr>
            <w:tcW w:type="dxa" w:w="45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BANNED. Substitute warmth + curiosity: ‘Do you know your number?’ Knowing is framed as care and confidence, never as escaping doom.</w:t>
            </w:r>
          </w:p>
        </w:tc>
      </w:tr>
      <w:tr>
        <w:tc>
          <w:tcPr>
            <w:tcW w:type="dxa" w:w="155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Open loops</w:t>
            </w:r>
          </w:p>
        </w:tc>
        <w:tc>
          <w:tcPr>
            <w:tcW w:type="dxa" w:w="335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‘What's the secret? Fire your agency.’</w:t>
            </w:r>
          </w:p>
        </w:tc>
        <w:tc>
          <w:tcPr>
            <w:tcW w:type="dxa" w:w="45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Fully usable: ‘There's a reason your wrist tracker never asks you to sit still…’ — open the measured-vs-guessed loop, educate, close with the cuff.</w:t>
            </w:r>
          </w:p>
        </w:tc>
      </w:tr>
      <w:tr>
        <w:tc>
          <w:tcPr>
            <w:tcW w:type="dxa" w:w="155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Powerful language</w:t>
            </w:r>
          </w:p>
        </w:tc>
        <w:tc>
          <w:tcPr>
            <w:tcW w:type="dxa" w:w="335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‘Steal’, ‘crisis’, exaggeration via ChatGPT</w:t>
            </w:r>
          </w:p>
        </w:tc>
        <w:tc>
          <w:tcPr>
            <w:tcW w:type="dxa" w:w="45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Precision as power: measured vs guessed is already the strongest language in the category. Sharpen contrast, never inflate claims. ‘A real cuff. A real number.’</w:t>
            </w:r>
          </w:p>
        </w:tc>
      </w:tr>
      <w:tr>
        <w:tc>
          <w:tcPr>
            <w:tcW w:type="dxa" w:w="155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Advertorial / VSL</w:t>
            </w:r>
          </w:p>
        </w:tc>
        <w:tc>
          <w:tcPr>
            <w:tcW w:type="dxa" w:w="335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Foot-pain advertorials, 40-minute supplement VSLs</w:t>
            </w:r>
          </w:p>
        </w:tc>
        <w:tc>
          <w:tcPr>
            <w:tcW w:type="dxa" w:w="45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Education-first long form: ‘How a blood pressure cuff works — and why your fitness band doesn't have one.’ Clearly labeled as advertising, source-cited, no health outcome promises, reviewed before publishing.</w:t>
            </w:r>
          </w:p>
        </w:tc>
      </w:tr>
      <w:tr>
        <w:tc>
          <w:tcPr>
            <w:tcW w:type="dxa" w:w="155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Founder story</w:t>
            </w:r>
          </w:p>
        </w:tc>
        <w:tc>
          <w:tcPr>
            <w:tcW w:type="dxa" w:w="335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‘$500 to half a billion’</w:t>
            </w:r>
          </w:p>
        </w:tc>
        <w:tc>
          <w:tcPr>
            <w:tcW w:type="dxa" w:w="45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Why Leiko exists — the personal story of checking on our own parents, told once, well, and remixed across formats for years (Fogarty's carousel trick).</w:t>
            </w:r>
          </w:p>
        </w:tc>
      </w:tr>
    </w:tbl>
    <w:p>
      <w:pPr>
        <w:spacing w:after="120" w:line="300"/>
      </w:pPr>
      <w:r>
        <w:rPr>
          <w:rFonts w:ascii="Georgia" w:cs="Georgia" w:eastAsia="Georgia" w:hAnsi="Georgia"/>
          <w:color w:val="1A1A2E"/>
          <w:sz w:val="22"/>
          <w:szCs w:val="22"/>
        </w:rPr>
        <w:t xml:space="preserve"/>
      </w:r>
    </w:p>
    <w:p>
      <w:pPr>
        <w:pStyle w:val="Heading2"/>
        <w:spacing w:after="160" w:before="280"/>
      </w:pPr>
      <w:r>
        <w:rPr>
          <w:rFonts w:ascii="Georgia" w:cs="Georgia" w:eastAsia="Georgia" w:hAnsi="Georgia"/>
          <w:b/>
          <w:bCs/>
          <w:color w:val="1A1A2E"/>
          <w:sz w:val="27"/>
          <w:szCs w:val="27"/>
        </w:rPr>
        <w:t xml:space="preserve">3.3 Answering Fogarty's story questions for Leiko</w:t>
      </w:r>
    </w:p>
    <w:p>
      <w:pPr>
        <w:spacing w:after="160" w:line="300"/>
      </w:pPr>
      <w:r>
        <w:rPr>
          <w:rFonts w:ascii="Georgia" w:cs="Georgia" w:eastAsia="Georgia" w:hAnsi="Georgia"/>
          <w:b/>
          <w:bCs/>
          <w:color w:val="1A1A2E"/>
          <w:sz w:val="22"/>
          <w:szCs w:val="22"/>
        </w:rPr>
        <w:t xml:space="preserve">What does everyone think that is false? </w:t>
      </w:r>
      <w:r>
        <w:rPr>
          <w:rFonts w:ascii="Georgia" w:cs="Georgia" w:eastAsia="Georgia" w:hAnsi="Georgia"/>
          <w:color w:val="1A1A2E"/>
          <w:sz w:val="22"/>
          <w:szCs w:val="22"/>
        </w:rPr>
        <w:t xml:space="preserve">That you need a clinic visit to know your blood pressure; that all wrist wearables are the same; that a smartwatch reading is a measurement (most are estimates); that high blood pressure announces itself with symptoms you would notice. Each false belief is a myth-card, a video, and an advertorial section — our MYTH slot exists for exactly this, and the machine already mines WhatsApp questions for candidates.</w:t>
      </w:r>
    </w:p>
    <w:p>
      <w:pPr>
        <w:spacing w:after="160" w:line="300"/>
      </w:pPr>
      <w:r>
        <w:rPr>
          <w:rFonts w:ascii="Georgia" w:cs="Georgia" w:eastAsia="Georgia" w:hAnsi="Georgia"/>
          <w:b/>
          <w:bCs/>
          <w:color w:val="1A1A2E"/>
          <w:sz w:val="22"/>
          <w:szCs w:val="22"/>
        </w:rPr>
        <w:t xml:space="preserve">What is our most heartfelt customer story? </w:t>
      </w:r>
      <w:r>
        <w:rPr>
          <w:rFonts w:ascii="Georgia" w:cs="Georgia" w:eastAsia="Georgia" w:hAnsi="Georgia"/>
          <w:color w:val="1A1A2E"/>
          <w:sz w:val="22"/>
          <w:szCs w:val="22"/>
        </w:rPr>
        <w:t xml:space="preserve">We collect these systematically from Day 1 (see Part 4): the daughter in Houston who sees her father's Sunday readings; the trader who checks between customers; the son who gave Mama a Leiko instead of another wrapper for Christmas. Real stories, told with permission, never dramatized into medical events.</w:t>
      </w:r>
    </w:p>
    <w:p>
      <w:pPr>
        <w:spacing w:after="160" w:line="300"/>
      </w:pPr>
      <w:r>
        <w:rPr>
          <w:rFonts w:ascii="Georgia" w:cs="Georgia" w:eastAsia="Georgia" w:hAnsi="Georgia"/>
          <w:b/>
          <w:bCs/>
          <w:color w:val="1A1A2E"/>
          <w:sz w:val="22"/>
          <w:szCs w:val="22"/>
        </w:rPr>
        <w:t xml:space="preserve">What frustrates people about the category? </w:t>
      </w:r>
      <w:r>
        <w:rPr>
          <w:rFonts w:ascii="Georgia" w:cs="Georgia" w:eastAsia="Georgia" w:hAnsi="Georgia"/>
          <w:color w:val="1A1A2E"/>
          <w:sz w:val="22"/>
          <w:szCs w:val="22"/>
        </w:rPr>
        <w:t xml:space="preserve">Wearables that display a blood-pressure number with nothing behind it but an algorithm's guess; clinic queues for a 30-second check; the cost and hassle of arm-cuff monitors that stay in a drawer. Frustration at the category is compliant fuel — frustration is not fear.</w:t>
      </w:r>
    </w:p>
    <w:p>
      <w:pPr>
        <w:spacing w:after="160" w:line="300"/>
      </w:pPr>
      <w:r>
        <w:rPr>
          <w:rFonts w:ascii="Georgia" w:cs="Georgia" w:eastAsia="Georgia" w:hAnsi="Georgia"/>
          <w:b/>
          <w:bCs/>
          <w:color w:val="1A1A2E"/>
          <w:sz w:val="22"/>
          <w:szCs w:val="22"/>
        </w:rPr>
        <w:t xml:space="preserve">What story proves we are different? </w:t>
      </w:r>
      <w:r>
        <w:rPr>
          <w:rFonts w:ascii="Georgia" w:cs="Georgia" w:eastAsia="Georgia" w:hAnsi="Georgia"/>
          <w:color w:val="1A1A2E"/>
          <w:sz w:val="22"/>
          <w:szCs w:val="22"/>
        </w:rPr>
        <w:t xml:space="preserve">Side-by-side honesty: film a Leiko measurement next to a standard arm cuff, show both numbers, explain the shared method. Not a claim — a demonstration. This is our version of the Oodie fabric-thickness story.</w:t>
      </w:r>
    </w:p>
    <w:p>
      <w:pPr>
        <w:pStyle w:val="Heading2"/>
        <w:spacing w:after="160" w:before="280"/>
      </w:pPr>
      <w:r>
        <w:rPr>
          <w:rFonts w:ascii="Georgia" w:cs="Georgia" w:eastAsia="Georgia" w:hAnsi="Georgia"/>
          <w:b/>
          <w:bCs/>
          <w:color w:val="1A1A2E"/>
          <w:sz w:val="27"/>
          <w:szCs w:val="27"/>
        </w:rPr>
        <w:t xml:space="preserve">3.4 What we deliberately refuse</w:t>
      </w:r>
    </w:p>
    <w:p>
      <w:pPr>
        <w:spacing w:after="160" w:line="300"/>
      </w:pPr>
      <w:r>
        <w:rPr>
          <w:rFonts w:ascii="Georgia" w:cs="Georgia" w:eastAsia="Georgia" w:hAnsi="Georgia"/>
          <w:color w:val="1A1A2E"/>
          <w:sz w:val="22"/>
          <w:szCs w:val="22"/>
        </w:rPr>
        <w:t xml:space="preserve">For the record, and so nobody on the team ever imports these from the source material: no fear-based hooks or ‘silent killer’ framing; no invented or AI-generated doctors (the ‘coochie doctor’ AI ad Fogarty shows is a masterclass in exactly what we never do); no fake countdowns or false scarcity on a health product; no before/after health outcome imagery; no strikethrough-price games that cheapen trust; no regulatory terms in any public copy; and no dramatized medical emergencies. Fogarty himself notes Facebook manually reviews medical-adjacent claims and bans exaggerators — our rules are not just ethics, they are account survival. Brand is earned in drips and lost in buckets; in a health category, a single deceptive ad is the bucket.</w:t>
      </w:r>
    </w:p>
    <w:p>
      <w:r>
        <w:br w:type="page"/>
      </w:r>
    </w:p>
    <w:p>
      <w:pPr>
        <w:pStyle w:val="Heading1"/>
        <w:spacing w:after="200" w:before="360"/>
      </w:pPr>
      <w:r>
        <w:rPr>
          <w:rFonts w:ascii="Georgia" w:cs="Georgia" w:eastAsia="Georgia" w:hAnsi="Georgia"/>
          <w:b/>
          <w:bCs/>
          <w:color w:val="0F6B6B"/>
          <w:sz w:val="34"/>
          <w:szCs w:val="34"/>
        </w:rPr>
        <w:t xml:space="preserve">4. The Leiko Story Bank and Content Engine</w:t>
      </w:r>
    </w:p>
    <w:p>
      <w:pPr>
        <w:pStyle w:val="Heading2"/>
        <w:spacing w:after="160" w:before="280"/>
      </w:pPr>
      <w:r>
        <w:rPr>
          <w:rFonts w:ascii="Georgia" w:cs="Georgia" w:eastAsia="Georgia" w:hAnsi="Georgia"/>
          <w:b/>
          <w:bCs/>
          <w:color w:val="1A1A2E"/>
          <w:sz w:val="27"/>
          <w:szCs w:val="27"/>
        </w:rPr>
        <w:t xml:space="preserve">4.1 The five story pillars</w:t>
      </w:r>
    </w:p>
    <w:p>
      <w:pPr>
        <w:spacing w:after="160" w:line="300"/>
      </w:pPr>
      <w:r>
        <w:rPr>
          <w:rFonts w:ascii="Georgia" w:cs="Georgia" w:eastAsia="Georgia" w:hAnsi="Georgia"/>
          <w:b/>
          <w:bCs/>
          <w:color w:val="1A1A2E"/>
          <w:sz w:val="22"/>
          <w:szCs w:val="22"/>
        </w:rPr>
        <w:t xml:space="preserve">Pillar 1 — The Founder Story (told once, remixed forever). </w:t>
      </w:r>
      <w:r>
        <w:rPr>
          <w:rFonts w:ascii="Georgia" w:cs="Georgia" w:eastAsia="Georgia" w:hAnsi="Georgia"/>
          <w:color w:val="1A1A2E"/>
          <w:sz w:val="22"/>
          <w:szCs w:val="22"/>
        </w:rPr>
        <w:t xml:space="preserve">Why Leiko exists, in the first person: the distance between us and our parents, the phone calls where ‘I'm fine’ answers every question, and the decision that knowing should be easy. Shot as one strong 60–90 second video plus a photo carousel (one image per chapter, failures included, per Fogarty's 30-minute carousel exercise), then remixed: hook variations, text-post version, podcast answer, About page. This is the single highest-leverage asset we do not currently have.</w:t>
      </w:r>
    </w:p>
    <w:p>
      <w:pPr>
        <w:spacing w:after="160" w:line="300"/>
      </w:pPr>
      <w:r>
        <w:rPr>
          <w:rFonts w:ascii="Georgia" w:cs="Georgia" w:eastAsia="Georgia" w:hAnsi="Georgia"/>
          <w:b/>
          <w:bCs/>
          <w:color w:val="1A1A2E"/>
          <w:sz w:val="22"/>
          <w:szCs w:val="22"/>
        </w:rPr>
        <w:t xml:space="preserve">Pillar 2 — Mama &amp; Papa stories (the gifting emotion). </w:t>
      </w:r>
      <w:r>
        <w:rPr>
          <w:rFonts w:ascii="Georgia" w:cs="Georgia" w:eastAsia="Georgia" w:hAnsi="Georgia"/>
          <w:color w:val="1A1A2E"/>
          <w:sz w:val="22"/>
          <w:szCs w:val="22"/>
        </w:rPr>
        <w:t xml:space="preserve">The existing GIFT cards, extended into video: real children giving Leiko, real parents' reactions, the first Sunday reading shared to the family WhatsApp group. Alternating Mama/Papa exactly as the rotation already requires. This is our ‘belonging’ emotion and it is culturally unfakeable — an American competitor cannot shoot this.</w:t>
      </w:r>
    </w:p>
    <w:p>
      <w:pPr>
        <w:spacing w:after="160" w:line="300"/>
      </w:pPr>
      <w:r>
        <w:rPr>
          <w:rFonts w:ascii="Georgia" w:cs="Georgia" w:eastAsia="Georgia" w:hAnsi="Georgia"/>
          <w:b/>
          <w:bCs/>
          <w:color w:val="1A1A2E"/>
          <w:sz w:val="22"/>
          <w:szCs w:val="22"/>
        </w:rPr>
        <w:t xml:space="preserve">Pillar 3 — Measured vs Guessed (the education pillar). </w:t>
      </w:r>
      <w:r>
        <w:rPr>
          <w:rFonts w:ascii="Georgia" w:cs="Georgia" w:eastAsia="Georgia" w:hAnsi="Georgia"/>
          <w:color w:val="1A1A2E"/>
          <w:sz w:val="22"/>
          <w:szCs w:val="22"/>
        </w:rPr>
        <w:t xml:space="preserve">The category-contrast engine: cuff-inflation demos, side-by-side with arm cuffs, ‘how the oscillometric method works’ explainers, myth/fact remixes of the card series. Feeds the advertorial and every retargeting layer. Curiosity is the emotion; credibility is the technique.</w:t>
      </w:r>
    </w:p>
    <w:p>
      <w:pPr>
        <w:spacing w:after="160" w:line="300"/>
      </w:pPr>
      <w:r>
        <w:rPr>
          <w:rFonts w:ascii="Georgia" w:cs="Georgia" w:eastAsia="Georgia" w:hAnsi="Georgia"/>
          <w:b/>
          <w:bCs/>
          <w:color w:val="1A1A2E"/>
          <w:sz w:val="22"/>
          <w:szCs w:val="22"/>
        </w:rPr>
        <w:t xml:space="preserve">Pillar 4 — 30 Seconds in a Nigerian Day (relatability). </w:t>
      </w:r>
      <w:r>
        <w:rPr>
          <w:rFonts w:ascii="Georgia" w:cs="Georgia" w:eastAsia="Georgia" w:hAnsi="Georgia"/>
          <w:color w:val="1A1A2E"/>
          <w:sz w:val="22"/>
          <w:szCs w:val="22"/>
        </w:rPr>
        <w:t xml:space="preserve">The check woven into real routines: the trader at her stall, the driver before the day's first trip, the pastor before service, the new grandmother, the gym brother. Format is infinitely repeatable (Fogarty's ‘scalable format’ test passes), castable with ordinary people, and shot on phones.</w:t>
      </w:r>
    </w:p>
    <w:p>
      <w:pPr>
        <w:spacing w:after="160" w:line="300"/>
      </w:pPr>
      <w:r>
        <w:rPr>
          <w:rFonts w:ascii="Georgia" w:cs="Georgia" w:eastAsia="Georgia" w:hAnsi="Georgia"/>
          <w:b/>
          <w:bCs/>
          <w:color w:val="1A1A2E"/>
          <w:sz w:val="22"/>
          <w:szCs w:val="22"/>
        </w:rPr>
        <w:t xml:space="preserve">Pillar 5 — The Number Diary (community proof). </w:t>
      </w:r>
      <w:r>
        <w:rPr>
          <w:rFonts w:ascii="Georgia" w:cs="Georgia" w:eastAsia="Georgia" w:hAnsi="Georgia"/>
          <w:color w:val="1A1A2E"/>
          <w:sz w:val="22"/>
          <w:szCs w:val="22"/>
        </w:rPr>
        <w:t xml:space="preserve">People sharing the habit — not their medical details: streaks, the Sunday-morning ritual, couples checking together. User-generated by design; seeded by us, sustained by customers. Strict rule: we celebrate the habit of knowing, never publish or interpret anyone's readings.</w:t>
      </w:r>
    </w:p>
    <w:p>
      <w:pPr>
        <w:pStyle w:val="Heading2"/>
        <w:spacing w:after="160" w:before="280"/>
      </w:pPr>
      <w:r>
        <w:rPr>
          <w:rFonts w:ascii="Georgia" w:cs="Georgia" w:eastAsia="Georgia" w:hAnsi="Georgia"/>
          <w:b/>
          <w:bCs/>
          <w:color w:val="1A1A2E"/>
          <w:sz w:val="27"/>
          <w:szCs w:val="27"/>
        </w:rPr>
        <w:t xml:space="preserve">4.2 Upgrading the machine — from 3 cards to a content engine</w:t>
      </w:r>
    </w:p>
    <w:p>
      <w:pPr>
        <w:spacing w:after="160" w:line="300"/>
      </w:pPr>
      <w:r>
        <w:rPr>
          <w:rFonts w:ascii="Georgia" w:cs="Georgia" w:eastAsia="Georgia" w:hAnsi="Georgia"/>
          <w:color w:val="1A1A2E"/>
          <w:sz w:val="22"/>
          <w:szCs w:val="22"/>
        </w:rPr>
        <w:t xml:space="preserve">The v3 Sunday machine (mine ideas → check the scoreboard → write → render → stage → approve) is already a miniature of Fogarty's system: idea mining is his trend-relevance step, the performance log is his winner/retire rule (2× average = winner, remixable after ~90 days; below half = retired), and the locked template is a scalable format. We keep all of it untouched and build around it in three stages, matched to real capacity: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50"/>
        <w:gridCol w:w="2900"/>
        <w:gridCol w:w="5150"/>
      </w:tblGrid>
      <w:tr>
        <w:trPr>
          <w:tblHeader/>
        </w:trPr>
        <w:tc>
          <w:tcPr>
            <w:tcW w:type="dxa" w:w="1350"/>
            <w:shd w:fill="0F6B6B" w:color="auto" w:val="clear"/>
            <w:tcMar>
              <w:top w:type="dxa" w:w="90"/>
              <w:left w:type="dxa" w:w="120"/>
              <w:bottom w:type="dxa" w:w="90"/>
              <w:right w:type="dxa" w:w="120"/>
            </w:tcMar>
          </w:tcPr>
          <w:p>
            <w:pPr>
              <w:spacing w:after="0" w:line="270"/>
            </w:pPr>
            <w:r>
              <w:rPr>
                <w:rFonts w:ascii="Georgia" w:cs="Georgia" w:eastAsia="Georgia" w:hAnsi="Georgia"/>
                <w:b/>
                <w:bCs/>
                <w:color w:val="FFFFFF"/>
                <w:sz w:val="19"/>
                <w:szCs w:val="19"/>
              </w:rPr>
              <w:t xml:space="preserve">Stage</w:t>
            </w:r>
          </w:p>
        </w:tc>
        <w:tc>
          <w:tcPr>
            <w:tcW w:type="dxa" w:w="2900"/>
            <w:shd w:fill="0F6B6B" w:color="auto" w:val="clear"/>
            <w:tcMar>
              <w:top w:type="dxa" w:w="90"/>
              <w:left w:type="dxa" w:w="120"/>
              <w:bottom w:type="dxa" w:w="90"/>
              <w:right w:type="dxa" w:w="120"/>
            </w:tcMar>
          </w:tcPr>
          <w:p>
            <w:pPr>
              <w:spacing w:after="0" w:line="270"/>
            </w:pPr>
            <w:r>
              <w:rPr>
                <w:rFonts w:ascii="Georgia" w:cs="Georgia" w:eastAsia="Georgia" w:hAnsi="Georgia"/>
                <w:b/>
                <w:bCs/>
                <w:color w:val="FFFFFF"/>
                <w:sz w:val="19"/>
                <w:szCs w:val="19"/>
              </w:rPr>
              <w:t xml:space="preserve">Weekly output</w:t>
            </w:r>
          </w:p>
        </w:tc>
        <w:tc>
          <w:tcPr>
            <w:tcW w:type="dxa" w:w="5150"/>
            <w:shd w:fill="0F6B6B" w:color="auto" w:val="clear"/>
            <w:tcMar>
              <w:top w:type="dxa" w:w="90"/>
              <w:left w:type="dxa" w:w="120"/>
              <w:bottom w:type="dxa" w:w="90"/>
              <w:right w:type="dxa" w:w="120"/>
            </w:tcMar>
          </w:tcPr>
          <w:p>
            <w:pPr>
              <w:spacing w:after="0" w:line="270"/>
            </w:pPr>
            <w:r>
              <w:rPr>
                <w:rFonts w:ascii="Georgia" w:cs="Georgia" w:eastAsia="Georgia" w:hAnsi="Georgia"/>
                <w:b/>
                <w:bCs/>
                <w:color w:val="FFFFFF"/>
                <w:sz w:val="19"/>
                <w:szCs w:val="19"/>
              </w:rPr>
              <w:t xml:space="preserve">What changes</w:t>
            </w:r>
          </w:p>
        </w:tc>
      </w:tr>
      <w:tr>
        <w:tc>
          <w:tcPr>
            <w:tcW w:type="dxa" w:w="135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Now → Day 30</w:t>
            </w:r>
          </w:p>
        </w:tc>
        <w:tc>
          <w:tcPr>
            <w:tcW w:type="dxa" w:w="29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3 cards + captions (existing) + 2 phone-shot videos</w:t>
            </w:r>
          </w:p>
        </w:tc>
        <w:tc>
          <w:tcPr>
            <w:tcW w:type="dxa" w:w="515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Add a simple video layer: one Pillar 3 demo and one Pillar 4 slice-of-life per week, shot on a phone, edited in CapCut. Founder story shot once this month. Start the frame-swipe file (Appendix B) and the story bank.</w:t>
            </w:r>
          </w:p>
        </w:tc>
      </w:tr>
      <w:tr>
        <w:tc>
          <w:tcPr>
            <w:tcW w:type="dxa" w:w="135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Day 31–60</w:t>
            </w:r>
          </w:p>
        </w:tc>
        <w:tc>
          <w:tcPr>
            <w:tcW w:type="dxa" w:w="29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3 cards + 4–5 videos + 1 creator video</w:t>
            </w:r>
          </w:p>
        </w:tc>
        <w:tc>
          <w:tcPr>
            <w:tcW w:type="dxa" w:w="515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Recruit 2–3 Nigerian creators/UGC makers in the parent-child or health-adjacent space; brief with our compliant hook bank (Appendix C), core messaging, and do's/don'ts — Fogarty's brief structure, our rules. Winning organic posts get small paid amplification.</w:t>
            </w:r>
          </w:p>
        </w:tc>
      </w:tr>
      <w:tr>
        <w:tc>
          <w:tcPr>
            <w:tcW w:type="dxa" w:w="135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Day 61–90</w:t>
            </w:r>
          </w:p>
        </w:tc>
        <w:tc>
          <w:tcPr>
            <w:tcW w:type="dxa" w:w="29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Daily posting across 2 surfaces</w:t>
            </w:r>
          </w:p>
        </w:tc>
        <w:tc>
          <w:tcPr>
            <w:tcW w:type="dxa" w:w="515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Remove the founder constraint: a part-time content operator or VA owns editing and scheduling from the shared footage archive (every clip ever shot goes into one organized Drive, per Fogarty). Life-extend winners with new hooks. Consider a second account/fan-page surface once the main account has rhythm.</w:t>
            </w:r>
          </w:p>
        </w:tc>
      </w:tr>
    </w:tbl>
    <w:p>
      <w:pPr>
        <w:spacing w:after="120" w:line="300"/>
      </w:pPr>
      <w:r>
        <w:rPr>
          <w:rFonts w:ascii="Georgia" w:cs="Georgia" w:eastAsia="Georgia" w:hAnsi="Georgia"/>
          <w:color w:val="1A1A2E"/>
          <w:sz w:val="22"/>
          <w:szCs w:val="22"/>
        </w:rPr>
        <w:t xml:space="preserve"/>
      </w:r>
    </w:p>
    <w:p>
      <w:pPr>
        <w:spacing w:after="160" w:line="300"/>
      </w:pPr>
      <w:r>
        <w:rPr>
          <w:rFonts w:ascii="Georgia" w:cs="Georgia" w:eastAsia="Georgia" w:hAnsi="Georgia"/>
          <w:color w:val="1A1A2E"/>
          <w:sz w:val="22"/>
          <w:szCs w:val="22"/>
        </w:rPr>
        <w:t xml:space="preserve">Two operating rules imported wholesale. First, the archive rule: every clip, every photo, every testimonial screenshot (with permission) goes into one organized Drive from Day 1 — volume later depends on the library we start now. Second, the remix rule: a winning story is told again in a different format after ~90 days, never identical copy. The founder story alone should appear as video, carousel, caption-essay, and advertorial opening within the first six months.</w:t>
      </w:r>
    </w:p>
    <w:p>
      <w:pPr>
        <w:pStyle w:val="Heading2"/>
        <w:spacing w:after="160" w:before="280"/>
      </w:pPr>
      <w:r>
        <w:rPr>
          <w:rFonts w:ascii="Georgia" w:cs="Georgia" w:eastAsia="Georgia" w:hAnsi="Georgia"/>
          <w:b/>
          <w:bCs/>
          <w:color w:val="1A1A2E"/>
          <w:sz w:val="27"/>
          <w:szCs w:val="27"/>
        </w:rPr>
        <w:t xml:space="preserve">4.3 The approval posture stays</w:t>
      </w:r>
    </w:p>
    <w:p>
      <w:pPr>
        <w:spacing w:after="160" w:line="300"/>
      </w:pPr>
      <w:r>
        <w:rPr>
          <w:rFonts w:ascii="Georgia" w:cs="Georgia" w:eastAsia="Georgia" w:hAnsi="Georgia"/>
          <w:color w:val="1A1A2E"/>
          <w:sz w:val="22"/>
          <w:szCs w:val="22"/>
        </w:rPr>
        <w:t xml:space="preserve">Everything public still lands as needs_review and is approved in the founder's dashboard before publishing — the volume increases, the gate does not move. To keep the gate from becoming the bottleneck Fogarty warns about, batch approvals: one weekly session covering the card issue plus the video queue, with sources attached to every stat exactly as the machine already does.</w:t>
      </w:r>
    </w:p>
    <w:p>
      <w:r>
        <w:br w:type="page"/>
      </w:r>
    </w:p>
    <w:p>
      <w:pPr>
        <w:pStyle w:val="Heading1"/>
        <w:spacing w:after="200" w:before="360"/>
      </w:pPr>
      <w:r>
        <w:rPr>
          <w:rFonts w:ascii="Georgia" w:cs="Georgia" w:eastAsia="Georgia" w:hAnsi="Georgia"/>
          <w:b/>
          <w:bCs/>
          <w:color w:val="0F6B6B"/>
          <w:sz w:val="34"/>
          <w:szCs w:val="34"/>
        </w:rPr>
        <w:t xml:space="preserve">5. Offers, Funnel, and the Education Layer</w:t>
      </w:r>
    </w:p>
    <w:p>
      <w:pPr>
        <w:pStyle w:val="Heading2"/>
        <w:spacing w:after="160" w:before="280"/>
      </w:pPr>
      <w:r>
        <w:rPr>
          <w:rFonts w:ascii="Georgia" w:cs="Georgia" w:eastAsia="Georgia" w:hAnsi="Georgia"/>
          <w:b/>
          <w:bCs/>
          <w:color w:val="1A1A2E"/>
          <w:sz w:val="27"/>
          <w:szCs w:val="27"/>
        </w:rPr>
        <w:t xml:space="preserve">5.1 The offer menu, translated</w:t>
      </w:r>
    </w:p>
    <w:p>
      <w:pPr>
        <w:spacing w:after="160" w:line="300"/>
      </w:pPr>
      <w:r>
        <w:rPr>
          <w:rFonts w:ascii="Georgia" w:cs="Georgia" w:eastAsia="Georgia" w:hAnsi="Georgia"/>
          <w:color w:val="1A1A2E"/>
          <w:sz w:val="22"/>
          <w:szCs w:val="22"/>
        </w:rPr>
        <w:t xml:space="preserve">The experts' offer science — anchor with bundles, raise average order value, make the next unit cheap to add — translates cleanly because Leiko has a natural two-unit logic no hoodie has: one for you, one for the person you love. The gifting bundle (‘One for you. One for Mama.’) is our version of buy-more-save-more, and it is emotionally true rather than promotional. A Family Pack (2–3 units) suits the diaspora buyer shipping home. Post-purchase upsells (Fogarty's AfterSell pattern) offer a second unit for a parent at a bundle price after checkout — the moment a buyer has just acted on caring is the moment they think of who else needs one.</w:t>
      </w:r>
    </w:p>
    <w:p>
      <w:pPr>
        <w:spacing w:after="160" w:line="300"/>
      </w:pPr>
      <w:r>
        <w:rPr>
          <w:rFonts w:ascii="Georgia" w:cs="Georgia" w:eastAsia="Georgia" w:hAnsi="Georgia"/>
          <w:color w:val="1A1A2E"/>
          <w:sz w:val="22"/>
          <w:szCs w:val="22"/>
        </w:rPr>
        <w:t xml:space="preserve">Offers we run: bundle pricing, seasonal gifting moments (Detty December, Mother's Day, Father's Day, World Hypertension Day), free delivery thresholds, and a straightforward satisfaction guarantee with honest return terms — trust infrastructure, not gimmick. Offers we refuse: fake urgency, permanent strikethrough theater, and anything that discounts the product below the dignity of a health device. In Nigeria, payment-on-delivery and WhatsApp-assisted ordering are trust features as important as any discount — Petersen's lesson that local trust signals (local domain, local payment rails, local language) decide conversion applies with full force.</w:t>
      </w:r>
    </w:p>
    <w:p>
      <w:pPr>
        <w:pStyle w:val="Heading2"/>
        <w:spacing w:after="160" w:before="280"/>
      </w:pPr>
      <w:r>
        <w:rPr>
          <w:rFonts w:ascii="Georgia" w:cs="Georgia" w:eastAsia="Georgia" w:hAnsi="Georgia"/>
          <w:b/>
          <w:bCs/>
          <w:color w:val="1A1A2E"/>
          <w:sz w:val="27"/>
          <w:szCs w:val="27"/>
        </w:rPr>
        <w:t xml:space="preserve">5.2 The education funnel</w:t>
      </w:r>
    </w:p>
    <w:p>
      <w:pPr>
        <w:spacing w:after="160" w:line="300"/>
      </w:pPr>
      <w:r>
        <w:rPr>
          <w:rFonts w:ascii="Georgia" w:cs="Georgia" w:eastAsia="Georgia" w:hAnsi="Georgia"/>
          <w:color w:val="1A1A2E"/>
          <w:sz w:val="22"/>
          <w:szCs w:val="22"/>
        </w:rPr>
        <w:t xml:space="preserve">Fogarty reserves advertorials and VSLs for products needing education; Leiko is the textbook case. The funnel has three layers. Top: story and pattern-interrupt content (Pillars 1–4) builds awareness that measuring at home, on the wrist, is possible. Middle: an education page — our compliant advertorial — walks through the problem told as story (a family that didn't know their numbers), gently challenges the existing belief (a tracker's number is not a measurement), explains the mechanism (a real cuff, the oscillometric method, the same as a clinic cuff), answers objections (sizing, battery, app, delivery, returns), and shows real customer voices. Clearly labeled as advertising, statistics sourced, zero outcome promises. Bottom: the product page itself, restructured around objection-handling — Fogarty's conversion checklist (clear above-the-fold value, comparison table, FAQ accordion, delivery and guarantee up front, consistent image ratios, mobile-first) applied to leiko.health, with a measured-vs-guessed comparison table as the centerpiece.</w:t>
      </w:r>
    </w:p>
    <w:p>
      <w:pPr>
        <w:spacing w:after="160" w:line="300"/>
      </w:pPr>
      <w:r>
        <w:rPr>
          <w:rFonts w:ascii="Georgia" w:cs="Georgia" w:eastAsia="Georgia" w:hAnsi="Georgia"/>
          <w:color w:val="1A1A2E"/>
          <w:sz w:val="22"/>
          <w:szCs w:val="22"/>
        </w:rPr>
        <w:t xml:space="preserve">Retention is where a device brand differs from consumables: our repeat revenue is gifting (the second unit), accessories (straps, chargers), and referral — a habit product that appears on a wrist every day is its own billboard. The WhatsApp agent doubles as the retention channel: check-in tips on using the device well (never medical advice), reorder/gifting prompts at seasonal moments, and the question log that already feeds Sunday idea mining.</w:t>
      </w:r>
    </w:p>
    <w:p>
      <w:r>
        <w:br w:type="page"/>
      </w:r>
    </w:p>
    <w:p>
      <w:pPr>
        <w:pStyle w:val="Heading1"/>
        <w:spacing w:after="200" w:before="360"/>
      </w:pPr>
      <w:r>
        <w:rPr>
          <w:rFonts w:ascii="Georgia" w:cs="Georgia" w:eastAsia="Georgia" w:hAnsi="Georgia"/>
          <w:b/>
          <w:bCs/>
          <w:color w:val="0F6B6B"/>
          <w:sz w:val="34"/>
          <w:szCs w:val="34"/>
        </w:rPr>
        <w:t xml:space="preserve">6. The 90-Day Nigeria Plan</w:t>
      </w:r>
    </w:p>
    <w:p>
      <w:pPr>
        <w:spacing w:after="160" w:line="300"/>
      </w:pPr>
      <w:r>
        <w:rPr>
          <w:rFonts w:ascii="Georgia" w:cs="Georgia" w:eastAsia="Georgia" w:hAnsi="Georgia"/>
          <w:color w:val="1A1A2E"/>
          <w:sz w:val="22"/>
          <w:szCs w:val="22"/>
        </w:rPr>
        <w:t xml:space="preserve">The plan assumes the current team (founder-led, Cowork-assisted, weekly card machine running) and budgets in effort before naira. Paid spend enters only in month two, small, and only behind organically proven creative — the experts' order of operations, not ours alone.</w:t>
      </w:r>
    </w:p>
    <w:p>
      <w:pPr>
        <w:pStyle w:val="Heading2"/>
        <w:spacing w:after="160" w:before="280"/>
      </w:pPr>
      <w:r>
        <w:rPr>
          <w:rFonts w:ascii="Georgia" w:cs="Georgia" w:eastAsia="Georgia" w:hAnsi="Georgia"/>
          <w:b/>
          <w:bCs/>
          <w:color w:val="1A1A2E"/>
          <w:sz w:val="27"/>
          <w:szCs w:val="27"/>
        </w:rPr>
        <w:t xml:space="preserve">Days 1–30 — Foundation: story assets and measurement</w:t>
      </w:r>
    </w:p>
    <w:p>
      <w:pPr>
        <w:pStyle w:val="ListParagraph"/>
        <w:numPr>
          <w:ilvl w:val="0"/>
          <w:numId w:val="2"/>
        </w:numPr>
        <w:spacing w:after="100" w:line="290"/>
      </w:pPr>
      <w:r>
        <w:rPr>
          <w:rFonts w:ascii="Georgia" w:cs="Georgia" w:eastAsia="Georgia" w:hAnsi="Georgia"/>
          <w:b/>
          <w:bCs/>
          <w:color w:val="1A1A2E"/>
          <w:sz w:val="22"/>
          <w:szCs w:val="22"/>
        </w:rPr>
        <w:t xml:space="preserve">Week 1: </w:t>
      </w:r>
      <w:r>
        <w:rPr>
          <w:rFonts w:ascii="Georgia" w:cs="Georgia" w:eastAsia="Georgia" w:hAnsi="Georgia"/>
          <w:color w:val="1A1A2E"/>
          <w:sz w:val="22"/>
          <w:szCs w:val="22"/>
        </w:rPr>
        <w:t xml:space="preserve">Shoot the founder story (one honest take, phone is fine) and the first cuff-inflation demo. Open the shared footage Drive. Create performance_log.md if not yet live and backfill past issues from Meta insights.</w:t>
      </w:r>
    </w:p>
    <w:p>
      <w:pPr>
        <w:pStyle w:val="ListParagraph"/>
        <w:numPr>
          <w:ilvl w:val="0"/>
          <w:numId w:val="2"/>
        </w:numPr>
        <w:spacing w:after="100" w:line="290"/>
      </w:pPr>
      <w:r>
        <w:rPr>
          <w:rFonts w:ascii="Georgia" w:cs="Georgia" w:eastAsia="Georgia" w:hAnsi="Georgia"/>
          <w:b/>
          <w:bCs/>
          <w:color w:val="1A1A2E"/>
          <w:sz w:val="22"/>
          <w:szCs w:val="22"/>
        </w:rPr>
        <w:t xml:space="preserve">Week 2: </w:t>
      </w:r>
      <w:r>
        <w:rPr>
          <w:rFonts w:ascii="Georgia" w:cs="Georgia" w:eastAsia="Georgia" w:hAnsi="Georgia"/>
          <w:color w:val="1A1A2E"/>
          <w:sz w:val="22"/>
          <w:szCs w:val="22"/>
        </w:rPr>
        <w:t xml:space="preserve">Publish the founder story + the 10-frame journey carousel (Fogarty's 30-minute exercise, done properly). Start the frame-swipe file: five winning health/family videos logged with the Appendix B worksheet.</w:t>
      </w:r>
    </w:p>
    <w:p>
      <w:pPr>
        <w:pStyle w:val="ListParagraph"/>
        <w:numPr>
          <w:ilvl w:val="0"/>
          <w:numId w:val="2"/>
        </w:numPr>
        <w:spacing w:after="100" w:line="290"/>
      </w:pPr>
      <w:r>
        <w:rPr>
          <w:rFonts w:ascii="Georgia" w:cs="Georgia" w:eastAsia="Georgia" w:hAnsi="Georgia"/>
          <w:b/>
          <w:bCs/>
          <w:color w:val="1A1A2E"/>
          <w:sz w:val="22"/>
          <w:szCs w:val="22"/>
        </w:rPr>
        <w:t xml:space="preserve">Week 3: </w:t>
      </w:r>
      <w:r>
        <w:rPr>
          <w:rFonts w:ascii="Georgia" w:cs="Georgia" w:eastAsia="Georgia" w:hAnsi="Georgia"/>
          <w:color w:val="1A1A2E"/>
          <w:sz w:val="22"/>
          <w:szCs w:val="22"/>
        </w:rPr>
        <w:t xml:space="preserve">Add the two-video weekly rhythm (one Pillar 3, one Pillar 4) alongside the card issue. Begin collecting customer stories via the WhatsApp agent with a simple permission script.</w:t>
      </w:r>
    </w:p>
    <w:p>
      <w:pPr>
        <w:pStyle w:val="ListParagraph"/>
        <w:numPr>
          <w:ilvl w:val="0"/>
          <w:numId w:val="2"/>
        </w:numPr>
        <w:spacing w:after="100" w:line="290"/>
      </w:pPr>
      <w:r>
        <w:rPr>
          <w:rFonts w:ascii="Georgia" w:cs="Georgia" w:eastAsia="Georgia" w:hAnsi="Georgia"/>
          <w:b/>
          <w:bCs/>
          <w:color w:val="1A1A2E"/>
          <w:sz w:val="22"/>
          <w:szCs w:val="22"/>
        </w:rPr>
        <w:t xml:space="preserve">Week 4: </w:t>
      </w:r>
      <w:r>
        <w:rPr>
          <w:rFonts w:ascii="Georgia" w:cs="Georgia" w:eastAsia="Georgia" w:hAnsi="Georgia"/>
          <w:color w:val="1A1A2E"/>
          <w:sz w:val="22"/>
          <w:szCs w:val="22"/>
        </w:rPr>
        <w:t xml:space="preserve">Review the month against the scoreboard: which pillar over-performed 2× average? Draft the education page from the winning angle. Baseline the funnel: site conversion, WhatsApp-to-order rate, cost per order if any spend ran.</w:t>
      </w:r>
    </w:p>
    <w:p>
      <w:pPr>
        <w:pStyle w:val="Heading2"/>
        <w:spacing w:after="160" w:before="280"/>
      </w:pPr>
      <w:r>
        <w:rPr>
          <w:rFonts w:ascii="Georgia" w:cs="Georgia" w:eastAsia="Georgia" w:hAnsi="Georgia"/>
          <w:b/>
          <w:bCs/>
          <w:color w:val="1A1A2E"/>
          <w:sz w:val="27"/>
          <w:szCs w:val="27"/>
        </w:rPr>
        <w:t xml:space="preserve">Days 31–60 — Amplify: creators and first paid tests</w:t>
      </w:r>
    </w:p>
    <w:p>
      <w:pPr>
        <w:pStyle w:val="ListParagraph"/>
        <w:numPr>
          <w:ilvl w:val="0"/>
          <w:numId w:val="2"/>
        </w:numPr>
        <w:spacing w:after="100" w:line="290"/>
      </w:pPr>
      <w:r>
        <w:rPr>
          <w:rFonts w:ascii="Georgia" w:cs="Georgia" w:eastAsia="Georgia" w:hAnsi="Georgia"/>
          <w:b/>
          <w:bCs/>
          <w:color w:val="1A1A2E"/>
          <w:sz w:val="22"/>
          <w:szCs w:val="22"/>
        </w:rPr>
        <w:t xml:space="preserve">Recruit 2–3 creators </w:t>
      </w:r>
      <w:r>
        <w:rPr>
          <w:rFonts w:ascii="Georgia" w:cs="Georgia" w:eastAsia="Georgia" w:hAnsi="Georgia"/>
          <w:color w:val="1A1A2E"/>
          <w:sz w:val="22"/>
          <w:szCs w:val="22"/>
        </w:rPr>
        <w:t xml:space="preserve">(parent-child, wellness-adjacent, Lagos/Abuja everyday-life). Brief = core messaging + compliant hook bank + do's/don'ts; ask for 3 hook variations and raw footage rights, per the expert brief template.</w:t>
      </w:r>
    </w:p>
    <w:p>
      <w:pPr>
        <w:pStyle w:val="ListParagraph"/>
        <w:numPr>
          <w:ilvl w:val="0"/>
          <w:numId w:val="2"/>
        </w:numPr>
        <w:spacing w:after="100" w:line="290"/>
      </w:pPr>
      <w:r>
        <w:rPr>
          <w:rFonts w:ascii="Georgia" w:cs="Georgia" w:eastAsia="Georgia" w:hAnsi="Georgia"/>
          <w:b/>
          <w:bCs/>
          <w:color w:val="1A1A2E"/>
          <w:sz w:val="22"/>
          <w:szCs w:val="22"/>
        </w:rPr>
        <w:t xml:space="preserve">First paid amplification: </w:t>
      </w:r>
      <w:r>
        <w:rPr>
          <w:rFonts w:ascii="Georgia" w:cs="Georgia" w:eastAsia="Georgia" w:hAnsi="Georgia"/>
          <w:color w:val="1A1A2E"/>
          <w:sz w:val="22"/>
          <w:szCs w:val="22"/>
        </w:rPr>
        <w:t xml:space="preserve">boost the 2–3 organic winners to broad Nigerian audiences 30+; small daily budgets; judge on the metrics ladder (CTR ≥ ~2%, then cost per landing view, then orders) before any conclusions — spend at least 3× unit price per ad before judging, per Fogarty.</w:t>
      </w:r>
    </w:p>
    <w:p>
      <w:pPr>
        <w:pStyle w:val="ListParagraph"/>
        <w:numPr>
          <w:ilvl w:val="0"/>
          <w:numId w:val="2"/>
        </w:numPr>
        <w:spacing w:after="100" w:line="290"/>
      </w:pPr>
      <w:r>
        <w:rPr>
          <w:rFonts w:ascii="Georgia" w:cs="Georgia" w:eastAsia="Georgia" w:hAnsi="Georgia"/>
          <w:b/>
          <w:bCs/>
          <w:color w:val="1A1A2E"/>
          <w:sz w:val="22"/>
          <w:szCs w:val="22"/>
        </w:rPr>
        <w:t xml:space="preserve">Launch the education page </w:t>
      </w:r>
      <w:r>
        <w:rPr>
          <w:rFonts w:ascii="Georgia" w:cs="Georgia" w:eastAsia="Georgia" w:hAnsi="Georgia"/>
          <w:color w:val="1A1A2E"/>
          <w:sz w:val="22"/>
          <w:szCs w:val="22"/>
        </w:rPr>
        <w:t xml:space="preserve">and route mid-funnel traffic (video viewers, page engagers) to it. A/B the product page comparison table.</w:t>
      </w:r>
    </w:p>
    <w:p>
      <w:pPr>
        <w:pStyle w:val="ListParagraph"/>
        <w:numPr>
          <w:ilvl w:val="0"/>
          <w:numId w:val="2"/>
        </w:numPr>
        <w:spacing w:after="100" w:line="290"/>
      </w:pPr>
      <w:r>
        <w:rPr>
          <w:rFonts w:ascii="Georgia" w:cs="Georgia" w:eastAsia="Georgia" w:hAnsi="Georgia"/>
          <w:b/>
          <w:bCs/>
          <w:color w:val="1A1A2E"/>
          <w:sz w:val="22"/>
          <w:szCs w:val="22"/>
        </w:rPr>
        <w:t xml:space="preserve">Ship the gifting bundle </w:t>
      </w:r>
      <w:r>
        <w:rPr>
          <w:rFonts w:ascii="Georgia" w:cs="Georgia" w:eastAsia="Georgia" w:hAnsi="Georgia"/>
          <w:color w:val="1A1A2E"/>
          <w:sz w:val="22"/>
          <w:szCs w:val="22"/>
        </w:rPr>
        <w:t xml:space="preserve">(‘One for you. One for Mama.’) with the post-purchase second-unit offer.</w:t>
      </w:r>
    </w:p>
    <w:p>
      <w:pPr>
        <w:pStyle w:val="Heading2"/>
        <w:spacing w:after="160" w:before="280"/>
      </w:pPr>
      <w:r>
        <w:rPr>
          <w:rFonts w:ascii="Georgia" w:cs="Georgia" w:eastAsia="Georgia" w:hAnsi="Georgia"/>
          <w:b/>
          <w:bCs/>
          <w:color w:val="1A1A2E"/>
          <w:sz w:val="27"/>
          <w:szCs w:val="27"/>
        </w:rPr>
        <w:t xml:space="preserve">Days 61–90 — Scale what worked; kill what didn't</w:t>
      </w:r>
    </w:p>
    <w:p>
      <w:pPr>
        <w:pStyle w:val="ListParagraph"/>
        <w:numPr>
          <w:ilvl w:val="0"/>
          <w:numId w:val="2"/>
        </w:numPr>
        <w:spacing w:after="100" w:line="290"/>
      </w:pPr>
      <w:r>
        <w:rPr>
          <w:rFonts w:ascii="Georgia" w:cs="Georgia" w:eastAsia="Georgia" w:hAnsi="Georgia"/>
          <w:b/>
          <w:bCs/>
          <w:color w:val="1A1A2E"/>
          <w:sz w:val="22"/>
          <w:szCs w:val="22"/>
        </w:rPr>
        <w:t xml:space="preserve">Apply the winner/retire rule </w:t>
      </w:r>
      <w:r>
        <w:rPr>
          <w:rFonts w:ascii="Georgia" w:cs="Georgia" w:eastAsia="Georgia" w:hAnsi="Georgia"/>
          <w:color w:val="1A1A2E"/>
          <w:sz w:val="22"/>
          <w:szCs w:val="22"/>
        </w:rPr>
        <w:t xml:space="preserve">to everything: angles beating 2× average get remixed and funded; angles under half of average are retired in the log with a one-line lesson.</w:t>
      </w:r>
    </w:p>
    <w:p>
      <w:pPr>
        <w:pStyle w:val="ListParagraph"/>
        <w:numPr>
          <w:ilvl w:val="0"/>
          <w:numId w:val="2"/>
        </w:numPr>
        <w:spacing w:after="100" w:line="290"/>
      </w:pPr>
      <w:r>
        <w:rPr>
          <w:rFonts w:ascii="Georgia" w:cs="Georgia" w:eastAsia="Georgia" w:hAnsi="Georgia"/>
          <w:b/>
          <w:bCs/>
          <w:color w:val="1A1A2E"/>
          <w:sz w:val="22"/>
          <w:szCs w:val="22"/>
        </w:rPr>
        <w:t xml:space="preserve">Hand the editing/scheduling seat </w:t>
      </w:r>
      <w:r>
        <w:rPr>
          <w:rFonts w:ascii="Georgia" w:cs="Georgia" w:eastAsia="Georgia" w:hAnsi="Georgia"/>
          <w:color w:val="1A1A2E"/>
          <w:sz w:val="22"/>
          <w:szCs w:val="22"/>
        </w:rPr>
        <w:t xml:space="preserve">to a part-time operator working from the archive; founder time shifts to stories only the founder can tell and to approval.</w:t>
      </w:r>
    </w:p>
    <w:p>
      <w:pPr>
        <w:pStyle w:val="ListParagraph"/>
        <w:numPr>
          <w:ilvl w:val="0"/>
          <w:numId w:val="2"/>
        </w:numPr>
        <w:spacing w:after="100" w:line="290"/>
      </w:pPr>
      <w:r>
        <w:rPr>
          <w:rFonts w:ascii="Georgia" w:cs="Georgia" w:eastAsia="Georgia" w:hAnsi="Georgia"/>
          <w:b/>
          <w:bCs/>
          <w:color w:val="1A1A2E"/>
          <w:sz w:val="22"/>
          <w:szCs w:val="22"/>
        </w:rPr>
        <w:t xml:space="preserve">Prepare Detty December: </w:t>
      </w:r>
      <w:r>
        <w:rPr>
          <w:rFonts w:ascii="Georgia" w:cs="Georgia" w:eastAsia="Georgia" w:hAnsi="Georgia"/>
          <w:color w:val="1A1A2E"/>
          <w:sz w:val="22"/>
          <w:szCs w:val="22"/>
        </w:rPr>
        <w:t xml:space="preserve">gifting creative shot by early November, diaspora-targeted (see Part 7), bundle inventory confirmed — Calming Blankets died partly on inventory planning; we will not.</w:t>
      </w:r>
    </w:p>
    <w:p>
      <w:pPr>
        <w:pStyle w:val="ListParagraph"/>
        <w:numPr>
          <w:ilvl w:val="0"/>
          <w:numId w:val="2"/>
        </w:numPr>
        <w:spacing w:after="100" w:line="290"/>
      </w:pPr>
      <w:r>
        <w:rPr>
          <w:rFonts w:ascii="Georgia" w:cs="Georgia" w:eastAsia="Georgia" w:hAnsi="Georgia"/>
          <w:b/>
          <w:bCs/>
          <w:color w:val="1A1A2E"/>
          <w:sz w:val="22"/>
          <w:szCs w:val="22"/>
        </w:rPr>
        <w:t xml:space="preserve">Explore one offline trust channel: </w:t>
      </w:r>
      <w:r>
        <w:rPr>
          <w:rFonts w:ascii="Georgia" w:cs="Georgia" w:eastAsia="Georgia" w:hAnsi="Georgia"/>
          <w:color w:val="1A1A2E"/>
          <w:sz w:val="22"/>
          <w:szCs w:val="22"/>
        </w:rPr>
        <w:t xml:space="preserve">pharmacy partnerships or a market-day activation where people feel the cuff inflate. In a trust-driven market, a physical demo is our strongest ad, and every demo is filmed for the archive.</w:t>
      </w:r>
    </w:p>
    <w:p>
      <w:pPr>
        <w:spacing w:after="160" w:line="300"/>
      </w:pPr>
      <w:r>
        <w:rPr>
          <w:rFonts w:ascii="Georgia" w:cs="Georgia" w:eastAsia="Georgia" w:hAnsi="Georgia"/>
          <w:color w:val="1A1A2E"/>
          <w:sz w:val="22"/>
          <w:szCs w:val="22"/>
        </w:rPr>
        <w:t xml:space="preserve">Success by Day 90 looks like: a story bank with 15+ real assets, daily posting rhythm without founder bottleneck, at least one paid-profitable creative angle identified by data, the education page converting above the product page for cold traffic, and a written lesson log — the machine that Part 7 will point at America.</w:t>
      </w:r>
    </w:p>
    <w:p>
      <w:r>
        <w:br w:type="page"/>
      </w:r>
    </w:p>
    <w:p>
      <w:pPr>
        <w:pStyle w:val="Heading1"/>
        <w:spacing w:after="200" w:before="360"/>
      </w:pPr>
      <w:r>
        <w:rPr>
          <w:rFonts w:ascii="Georgia" w:cs="Georgia" w:eastAsia="Georgia" w:hAnsi="Georgia"/>
          <w:b/>
          <w:bCs/>
          <w:color w:val="0F6B6B"/>
          <w:sz w:val="34"/>
          <w:szCs w:val="34"/>
        </w:rPr>
        <w:t xml:space="preserve">7. The US Expansion Roadmap — Enter Through the Diaspora</w:t>
      </w:r>
    </w:p>
    <w:p>
      <w:pPr>
        <w:pStyle w:val="Heading2"/>
        <w:spacing w:after="160" w:before="280"/>
      </w:pPr>
      <w:r>
        <w:rPr>
          <w:rFonts w:ascii="Georgia" w:cs="Georgia" w:eastAsia="Georgia" w:hAnsi="Georgia"/>
          <w:b/>
          <w:bCs/>
          <w:color w:val="1A1A2E"/>
          <w:sz w:val="27"/>
          <w:szCs w:val="27"/>
        </w:rPr>
        <w:t xml:space="preserve">7.1 Why the diaspora bridge is the Petersen play</w:t>
      </w:r>
    </w:p>
    <w:p>
      <w:pPr>
        <w:spacing w:after="160" w:line="300"/>
      </w:pPr>
      <w:r>
        <w:rPr>
          <w:rFonts w:ascii="Georgia" w:cs="Georgia" w:eastAsia="Georgia" w:hAnsi="Georgia"/>
          <w:color w:val="1A1A2E"/>
          <w:sz w:val="22"/>
          <w:szCs w:val="22"/>
        </w:rPr>
        <w:t xml:space="preserve">Petersen's arbitrage was geographic: proven product, underserved market, local trust. Ours is cultural: the Nigerian diaspora in the US (hundreds of thousands of households, high-earning, deeply connected to parents back home) is an audience for whom ‘Check on Mama’ is not marketing — it is Sunday. No American health-wearable brand can shoot our Pillar 2 content credibly. The diaspora buyer pays in dollars, buys gift bundles, and requires almost no new creative: our NG stories are the product. Per the copy rules, diaspora-facing cards may use Nigerian statistics, because the concern is the parent back home — the one audience where our existing stat bank travels unchanged.</w:t>
      </w:r>
    </w:p>
    <w:p>
      <w:pPr>
        <w:spacing w:after="160" w:line="300"/>
      </w:pPr>
      <w:r>
        <w:rPr>
          <w:rFonts w:ascii="Georgia" w:cs="Georgia" w:eastAsia="Georgia" w:hAnsi="Georgia"/>
          <w:color w:val="1A1A2E"/>
          <w:sz w:val="22"/>
          <w:szCs w:val="22"/>
        </w:rPr>
        <w:t xml:space="preserve">Mechanically this is a targeting change before it is an expansion: US-geo campaigns aimed at Nigerian and West African diaspora interest and lookalike audiences, gifting-bundle offers with delivery to Nigeria (or to the buyer for hand-carry — both matter; ask which in the funnel), priced in dollars. Diaspora media — Nigerian-American creators, community events, church and association networks — replaces broad US media at a fraction of the cost. This phase can begin as soon as the Nigeria machine produces winners, and Detty December is its natural launch window.</w:t>
      </w:r>
    </w:p>
    <w:p>
      <w:pPr>
        <w:pStyle w:val="Heading2"/>
        <w:spacing w:after="160" w:before="280"/>
      </w:pPr>
      <w:r>
        <w:rPr>
          <w:rFonts w:ascii="Georgia" w:cs="Georgia" w:eastAsia="Georgia" w:hAnsi="Georgia"/>
          <w:b/>
          <w:bCs/>
          <w:color w:val="1A1A2E"/>
          <w:sz w:val="27"/>
          <w:szCs w:val="27"/>
        </w:rPr>
        <w:t xml:space="preserve">7.2 The mainstream US phase — only after the bridge holds</w:t>
      </w:r>
    </w:p>
    <w:p>
      <w:pPr>
        <w:spacing w:after="160" w:line="300"/>
      </w:pPr>
      <w:r>
        <w:rPr>
          <w:rFonts w:ascii="Georgia" w:cs="Georgia" w:eastAsia="Georgia" w:hAnsi="Georgia"/>
          <w:color w:val="1A1A2E"/>
          <w:sz w:val="22"/>
          <w:szCs w:val="22"/>
        </w:rPr>
        <w:t xml:space="preserve">The broader US market is real: nearly half of American adults have hypertension by CDC/NCHS measurement (47.7% in the August 2021–August 2023 cycle), and home monitoring is an established, clinician-encouraged habit. But it is also the most competitive and most regulated wearable market on earth. We enter only when three gates pass: (1) the diaspora unit economics are proven at target ROAS; (2) US regulatory posture is confirmed with counsel — device claims, advertising review, state-level rules; a US launch is a legal project before it is a marketing project, and per our own rules no regulatory terms appear in consumer copy regardless; (3) a US-specific story bank exists — warm, plain American English, same caring family voice, no Nigerian idioms, per COPY_RULES tone rules, with US statistics from CDC/AHA/NHANES only.</w:t>
      </w:r>
    </w:p>
    <w:p>
      <w:pPr>
        <w:spacing w:after="160" w:line="300"/>
      </w:pPr>
      <w:r>
        <w:rPr>
          <w:rFonts w:ascii="Georgia" w:cs="Georgia" w:eastAsia="Georgia" w:hAnsi="Georgia"/>
          <w:color w:val="1A1A2E"/>
          <w:sz w:val="22"/>
          <w:szCs w:val="22"/>
        </w:rPr>
        <w:t xml:space="preserve">Positioning for mainstream US repeats the category-contrast play, because it is even more potent there: the market is saturated with optical wearables that display estimated blood-pressure figures; ‘a real cuff on your wrist — measured, not guessed’ is a sharper differentiator against an Apple Watch than against a Lagos clinic queue. The angles to test first: adult children of aging parents (the US version of Pillar 2), the home-monitoring habit audience, and the frustrated-with-guesswork wearable owner. Fogarty's saturated-market rule applies — in a crowded auction, the better marketer with the differentiated mechanism takes a disproportionate share, and the mechanism is exactly what we uniquely have.</w:t>
      </w:r>
    </w:p>
    <w:p>
      <w:pPr>
        <w:pStyle w:val="Heading2"/>
        <w:spacing w:after="160" w:before="280"/>
      </w:pPr>
      <w:r>
        <w:rPr>
          <w:rFonts w:ascii="Georgia" w:cs="Georgia" w:eastAsia="Georgia" w:hAnsi="Georgia"/>
          <w:b/>
          <w:bCs/>
          <w:color w:val="1A1A2E"/>
          <w:sz w:val="27"/>
          <w:szCs w:val="27"/>
        </w:rPr>
        <w:t xml:space="preserve">7.3 Sequencing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600"/>
        <w:gridCol w:w="2500"/>
      </w:tblGrid>
      <w:tr>
        <w:trPr>
          <w:tblHeader/>
        </w:trPr>
        <w:tc>
          <w:tcPr>
            <w:tcW w:type="dxa" w:w="1500"/>
            <w:shd w:fill="0F6B6B" w:color="auto" w:val="clear"/>
            <w:tcMar>
              <w:top w:type="dxa" w:w="90"/>
              <w:left w:type="dxa" w:w="120"/>
              <w:bottom w:type="dxa" w:w="90"/>
              <w:right w:type="dxa" w:w="120"/>
            </w:tcMar>
          </w:tcPr>
          <w:p>
            <w:pPr>
              <w:spacing w:after="0" w:line="270"/>
            </w:pPr>
            <w:r>
              <w:rPr>
                <w:rFonts w:ascii="Georgia" w:cs="Georgia" w:eastAsia="Georgia" w:hAnsi="Georgia"/>
                <w:b/>
                <w:bCs/>
                <w:color w:val="FFFFFF"/>
                <w:sz w:val="19"/>
                <w:szCs w:val="19"/>
              </w:rPr>
              <w:t xml:space="preserve">Phase</w:t>
            </w:r>
          </w:p>
        </w:tc>
        <w:tc>
          <w:tcPr>
            <w:tcW w:type="dxa" w:w="1800"/>
            <w:shd w:fill="0F6B6B" w:color="auto" w:val="clear"/>
            <w:tcMar>
              <w:top w:type="dxa" w:w="90"/>
              <w:left w:type="dxa" w:w="120"/>
              <w:bottom w:type="dxa" w:w="90"/>
              <w:right w:type="dxa" w:w="120"/>
            </w:tcMar>
          </w:tcPr>
          <w:p>
            <w:pPr>
              <w:spacing w:after="0" w:line="270"/>
            </w:pPr>
            <w:r>
              <w:rPr>
                <w:rFonts w:ascii="Georgia" w:cs="Georgia" w:eastAsia="Georgia" w:hAnsi="Georgia"/>
                <w:b/>
                <w:bCs/>
                <w:color w:val="FFFFFF"/>
                <w:sz w:val="19"/>
                <w:szCs w:val="19"/>
              </w:rPr>
              <w:t xml:space="preserve">When</w:t>
            </w:r>
          </w:p>
        </w:tc>
        <w:tc>
          <w:tcPr>
            <w:tcW w:type="dxa" w:w="3600"/>
            <w:shd w:fill="0F6B6B" w:color="auto" w:val="clear"/>
            <w:tcMar>
              <w:top w:type="dxa" w:w="90"/>
              <w:left w:type="dxa" w:w="120"/>
              <w:bottom w:type="dxa" w:w="90"/>
              <w:right w:type="dxa" w:w="120"/>
            </w:tcMar>
          </w:tcPr>
          <w:p>
            <w:pPr>
              <w:spacing w:after="0" w:line="270"/>
            </w:pPr>
            <w:r>
              <w:rPr>
                <w:rFonts w:ascii="Georgia" w:cs="Georgia" w:eastAsia="Georgia" w:hAnsi="Georgia"/>
                <w:b/>
                <w:bCs/>
                <w:color w:val="FFFFFF"/>
                <w:sz w:val="19"/>
                <w:szCs w:val="19"/>
              </w:rPr>
              <w:t xml:space="preserve">Audience &amp; offer</w:t>
            </w:r>
          </w:p>
        </w:tc>
        <w:tc>
          <w:tcPr>
            <w:tcW w:type="dxa" w:w="2500"/>
            <w:shd w:fill="0F6B6B" w:color="auto" w:val="clear"/>
            <w:tcMar>
              <w:top w:type="dxa" w:w="90"/>
              <w:left w:type="dxa" w:w="120"/>
              <w:bottom w:type="dxa" w:w="90"/>
              <w:right w:type="dxa" w:w="120"/>
            </w:tcMar>
          </w:tcPr>
          <w:p>
            <w:pPr>
              <w:spacing w:after="0" w:line="270"/>
            </w:pPr>
            <w:r>
              <w:rPr>
                <w:rFonts w:ascii="Georgia" w:cs="Georgia" w:eastAsia="Georgia" w:hAnsi="Georgia"/>
                <w:b/>
                <w:bCs/>
                <w:color w:val="FFFFFF"/>
                <w:sz w:val="19"/>
                <w:szCs w:val="19"/>
              </w:rPr>
              <w:t xml:space="preserve">Gate to advance</w:t>
            </w:r>
          </w:p>
        </w:tc>
      </w:tr>
      <w:tr>
        <w:tc>
          <w:tcPr>
            <w:tcW w:type="dxa" w:w="15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1. Nigeria depth</w:t>
            </w:r>
          </w:p>
        </w:tc>
        <w:tc>
          <w:tcPr>
            <w:tcW w:type="dxa" w:w="18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Now → Day 90</w:t>
            </w:r>
          </w:p>
        </w:tc>
        <w:tc>
          <w:tcPr>
            <w:tcW w:type="dxa" w:w="36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NG broad 30+; gifting bundle; COD/WhatsApp trust rails</w:t>
            </w:r>
          </w:p>
        </w:tc>
        <w:tc>
          <w:tcPr>
            <w:tcW w:type="dxa" w:w="25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Profitable creative angle + story bank + operator-run engine</w:t>
            </w:r>
          </w:p>
        </w:tc>
      </w:tr>
      <w:tr>
        <w:tc>
          <w:tcPr>
            <w:tcW w:type="dxa" w:w="15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2. Diaspora bridge</w:t>
            </w:r>
          </w:p>
        </w:tc>
        <w:tc>
          <w:tcPr>
            <w:tcW w:type="dxa" w:w="18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Day 60 → through December</w:t>
            </w:r>
          </w:p>
        </w:tc>
        <w:tc>
          <w:tcPr>
            <w:tcW w:type="dxa" w:w="36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US-geo diaspora; dollar-priced gift bundles; deliver-to-Nigeria logistics</w:t>
            </w:r>
          </w:p>
        </w:tc>
        <w:tc>
          <w:tcPr>
            <w:tcW w:type="dxa" w:w="25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Target ROAS held for 4+ weeks; fulfillment to NG reliable</w:t>
            </w:r>
          </w:p>
        </w:tc>
      </w:tr>
      <w:tr>
        <w:tc>
          <w:tcPr>
            <w:tcW w:type="dxa" w:w="15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3. US mainstream</w:t>
            </w:r>
          </w:p>
        </w:tc>
        <w:tc>
          <w:tcPr>
            <w:tcW w:type="dxa" w:w="18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2027, gated</w:t>
            </w:r>
          </w:p>
        </w:tc>
        <w:tc>
          <w:tcPr>
            <w:tcW w:type="dxa" w:w="36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US 35+; measured-vs-guessed education funnel; US stat bank</w:t>
            </w:r>
          </w:p>
        </w:tc>
        <w:tc>
          <w:tcPr>
            <w:tcW w:type="dxa" w:w="25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Legal/regulatory review passed; US story bank approved; economics modeled</w:t>
            </w:r>
          </w:p>
        </w:tc>
      </w:tr>
    </w:tbl>
    <w:p>
      <w:r>
        <w:br w:type="page"/>
      </w:r>
    </w:p>
    <w:p>
      <w:pPr>
        <w:pStyle w:val="Heading1"/>
        <w:spacing w:after="200" w:before="360"/>
      </w:pPr>
      <w:r>
        <w:rPr>
          <w:rFonts w:ascii="Georgia" w:cs="Georgia" w:eastAsia="Georgia" w:hAnsi="Georgia"/>
          <w:b/>
          <w:bCs/>
          <w:color w:val="0F6B6B"/>
          <w:sz w:val="34"/>
          <w:szCs w:val="34"/>
        </w:rPr>
        <w:t xml:space="preserve">8. Metrics, Money, and the Operating Cadence</w:t>
      </w:r>
    </w:p>
    <w:p>
      <w:pPr>
        <w:spacing w:after="160" w:line="300"/>
      </w:pPr>
      <w:r>
        <w:rPr>
          <w:rFonts w:ascii="Georgia" w:cs="Georgia" w:eastAsia="Georgia" w:hAnsi="Georgia"/>
          <w:color w:val="1A1A2E"/>
          <w:sz w:val="22"/>
          <w:szCs w:val="22"/>
        </w:rPr>
        <w:t xml:space="preserve">The experts' finance discipline compresses to four habits. First, a daily profit view: revenue minus cost of goods and delivery, minus ad spend, minus a daily slice of fixed costs — the number that tells us whether to raise or cut budgets today, kept honest monthly against real books. Second, a target ROAS computed from real unit economics before scaling — decide the profit percentage we run at, derive the ROAS floor, and flex budgets daily to hold it (raise spend when comfortably above target, cut when below break-even; never ‘spend and hope’). Third, the metrics ladder as the diagnostic order: impressions → CPM → CTR → landing views → add-to-cart/WhatsApp starts → orders → ROAS — when results disappoint, find the broken rung before changing anything else, and check the checkout in every market first (Fogarty's most embarrassing and most repeated lesson). Fourth, the content scoreboard the v3 machine already specifies — reach, saves, shares, link taps per card, tagged by angle and by Mama/Papa — extended to every video and creator asset.</w:t>
      </w:r>
    </w:p>
    <w:p>
      <w:pPr>
        <w:spacing w:after="160" w:line="300"/>
      </w:pPr>
      <w:r>
        <w:rPr>
          <w:rFonts w:ascii="Georgia" w:cs="Georgia" w:eastAsia="Georgia" w:hAnsi="Georgia"/>
          <w:color w:val="1A1A2E"/>
          <w:sz w:val="22"/>
          <w:szCs w:val="22"/>
        </w:rPr>
        <w:t xml:space="preserve">The cadence: daily — profit glance and budget flex (five minutes once paid is live). Weekly (Sunday, existing) — the full machine: mine ideas, read the scoreboard, write, render, stage, approve; now also covering the video queue. Monthly — the honest hour: lessons log review, retire/remix decisions, funnel numbers against the 90-day plan, and one Calming Blankets question asked out loud: are we still focused, or are we starting side-quests before the core is won? Quarterly — phase-gate review against the Part 7 table.</w:t>
      </w:r>
    </w:p>
    <w:p>
      <w:pPr>
        <w:spacing w:after="160" w:line="300"/>
      </w:pPr>
      <w:r>
        <w:rPr>
          <w:rFonts w:ascii="Georgia" w:cs="Georgia" w:eastAsia="Georgia" w:hAnsi="Georgia"/>
          <w:color w:val="1A1A2E"/>
          <w:sz w:val="22"/>
          <w:szCs w:val="22"/>
        </w:rPr>
        <w:t xml:space="preserve">One inventory rule, learned from a $10M brand's collapse: gifting seasons are won in stock planning months earlier. Before every seasonal push, confirm bundle inventory and delivery capacity in writing; never advertise what we cannot deliver warmly and on time.</w:t>
      </w:r>
    </w:p>
    <w:p>
      <w:r>
        <w:br w:type="page"/>
      </w:r>
    </w:p>
    <w:p>
      <w:pPr>
        <w:pStyle w:val="Heading1"/>
        <w:spacing w:after="200" w:before="360"/>
      </w:pPr>
      <w:r>
        <w:rPr>
          <w:rFonts w:ascii="Georgia" w:cs="Georgia" w:eastAsia="Georgia" w:hAnsi="Georgia"/>
          <w:b/>
          <w:bCs/>
          <w:color w:val="0F6B6B"/>
          <w:sz w:val="34"/>
          <w:szCs w:val="34"/>
        </w:rPr>
        <w:t xml:space="preserve">Appendix A — Emotion × Technique Idea Matrix (Leiko examples)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5800"/>
      </w:tblGrid>
      <w:tr>
        <w:trPr>
          <w:tblHeader/>
        </w:trPr>
        <w:tc>
          <w:tcPr>
            <w:tcW w:type="dxa" w:w="1700"/>
            <w:shd w:fill="0F6B6B" w:color="auto" w:val="clear"/>
            <w:tcMar>
              <w:top w:type="dxa" w:w="90"/>
              <w:left w:type="dxa" w:w="120"/>
              <w:bottom w:type="dxa" w:w="90"/>
              <w:right w:type="dxa" w:w="120"/>
            </w:tcMar>
          </w:tcPr>
          <w:p>
            <w:pPr>
              <w:spacing w:after="0" w:line="270"/>
            </w:pPr>
            <w:r>
              <w:rPr>
                <w:rFonts w:ascii="Georgia" w:cs="Georgia" w:eastAsia="Georgia" w:hAnsi="Georgia"/>
                <w:b/>
                <w:bCs/>
                <w:color w:val="FFFFFF"/>
                <w:sz w:val="19"/>
                <w:szCs w:val="19"/>
              </w:rPr>
              <w:t xml:space="preserve">Technique</w:t>
            </w:r>
          </w:p>
        </w:tc>
        <w:tc>
          <w:tcPr>
            <w:tcW w:type="dxa" w:w="1900"/>
            <w:shd w:fill="0F6B6B" w:color="auto" w:val="clear"/>
            <w:tcMar>
              <w:top w:type="dxa" w:w="90"/>
              <w:left w:type="dxa" w:w="120"/>
              <w:bottom w:type="dxa" w:w="90"/>
              <w:right w:type="dxa" w:w="120"/>
            </w:tcMar>
          </w:tcPr>
          <w:p>
            <w:pPr>
              <w:spacing w:after="0" w:line="270"/>
            </w:pPr>
            <w:r>
              <w:rPr>
                <w:rFonts w:ascii="Georgia" w:cs="Georgia" w:eastAsia="Georgia" w:hAnsi="Georgia"/>
                <w:b/>
                <w:bCs/>
                <w:color w:val="FFFFFF"/>
                <w:sz w:val="19"/>
                <w:szCs w:val="19"/>
              </w:rPr>
              <w:t xml:space="preserve">Emotion it carries</w:t>
            </w:r>
          </w:p>
        </w:tc>
        <w:tc>
          <w:tcPr>
            <w:tcW w:type="dxa" w:w="5800"/>
            <w:shd w:fill="0F6B6B" w:color="auto" w:val="clear"/>
            <w:tcMar>
              <w:top w:type="dxa" w:w="90"/>
              <w:left w:type="dxa" w:w="120"/>
              <w:bottom w:type="dxa" w:w="90"/>
              <w:right w:type="dxa" w:w="120"/>
            </w:tcMar>
          </w:tcPr>
          <w:p>
            <w:pPr>
              <w:spacing w:after="0" w:line="270"/>
            </w:pPr>
            <w:r>
              <w:rPr>
                <w:rFonts w:ascii="Georgia" w:cs="Georgia" w:eastAsia="Georgia" w:hAnsi="Georgia"/>
                <w:b/>
                <w:bCs/>
                <w:color w:val="FFFFFF"/>
                <w:sz w:val="19"/>
                <w:szCs w:val="19"/>
              </w:rPr>
              <w:t xml:space="preserve">Leiko execution (all compliant)</w:t>
            </w:r>
          </w:p>
        </w:tc>
      </w:tr>
      <w:tr>
        <w:tc>
          <w:tcPr>
            <w:tcW w:type="dxa" w:w="17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Novelty</w:t>
            </w:r>
          </w:p>
        </w:tc>
        <w:tc>
          <w:tcPr>
            <w:tcW w:type="dxa" w:w="19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Curiosity</w:t>
            </w:r>
          </w:p>
        </w:tc>
        <w:tc>
          <w:tcPr>
            <w:tcW w:type="dxa" w:w="58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‘A cuff. On your wrist.’ First-look inflation demo; the surprise that it physically inflates.</w:t>
            </w:r>
          </w:p>
        </w:tc>
      </w:tr>
      <w:tr>
        <w:tc>
          <w:tcPr>
            <w:tcW w:type="dxa" w:w="17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Relatability</w:t>
            </w:r>
          </w:p>
        </w:tc>
        <w:tc>
          <w:tcPr>
            <w:tcW w:type="dxa" w:w="19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Belonging</w:t>
            </w:r>
          </w:p>
        </w:tc>
        <w:tc>
          <w:tcPr>
            <w:tcW w:type="dxa" w:w="58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Sunday call home; ‘Mama, have you checked today?’; the trader's 30-second break.</w:t>
            </w:r>
          </w:p>
        </w:tc>
      </w:tr>
      <w:tr>
        <w:tc>
          <w:tcPr>
            <w:tcW w:type="dxa" w:w="17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Visual shock</w:t>
            </w:r>
          </w:p>
        </w:tc>
        <w:tc>
          <w:tcPr>
            <w:tcW w:type="dxa" w:w="19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Surprise</w:t>
            </w:r>
          </w:p>
        </w:tc>
        <w:tc>
          <w:tcPr>
            <w:tcW w:type="dxa" w:w="58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Slow-motion inflation; side-by-side with a clinic-style arm cuff showing both numbers.</w:t>
            </w:r>
          </w:p>
        </w:tc>
      </w:tr>
      <w:tr>
        <w:tc>
          <w:tcPr>
            <w:tcW w:type="dxa" w:w="17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Trend relevance</w:t>
            </w:r>
          </w:p>
        </w:tc>
        <w:tc>
          <w:tcPr>
            <w:tcW w:type="dxa" w:w="19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Timeliness</w:t>
            </w:r>
          </w:p>
        </w:tc>
        <w:tc>
          <w:tcPr>
            <w:tcW w:type="dxa" w:w="58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World Hypertension Day; May Measurement Month; NCDC news; Detty December gifting.</w:t>
            </w:r>
          </w:p>
        </w:tc>
      </w:tr>
      <w:tr>
        <w:tc>
          <w:tcPr>
            <w:tcW w:type="dxa" w:w="17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Credibility</w:t>
            </w:r>
          </w:p>
        </w:tc>
        <w:tc>
          <w:tcPr>
            <w:tcW w:type="dxa" w:w="19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Trust</w:t>
            </w:r>
          </w:p>
        </w:tc>
        <w:tc>
          <w:tcPr>
            <w:tcW w:type="dxa" w:w="58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The oscillometric method explained plainly; real pharmacists speaking unscripted.</w:t>
            </w:r>
          </w:p>
        </w:tc>
      </w:tr>
      <w:tr>
        <w:tc>
          <w:tcPr>
            <w:tcW w:type="dxa" w:w="17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Category contrast</w:t>
            </w:r>
          </w:p>
        </w:tc>
        <w:tc>
          <w:tcPr>
            <w:tcW w:type="dxa" w:w="19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Healthy indignation</w:t>
            </w:r>
          </w:p>
        </w:tc>
        <w:tc>
          <w:tcPr>
            <w:tcW w:type="dxa" w:w="58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‘Guessed vs measured’ — the category's estimate habit as the villain; never fear, never a named rival.</w:t>
            </w:r>
          </w:p>
        </w:tc>
      </w:tr>
    </w:tbl>
    <w:p>
      <w:pPr>
        <w:spacing w:after="120" w:line="300"/>
      </w:pPr>
      <w:r>
        <w:rPr>
          <w:rFonts w:ascii="Georgia" w:cs="Georgia" w:eastAsia="Georgia" w:hAnsi="Georgia"/>
          <w:color w:val="1A1A2E"/>
          <w:sz w:val="22"/>
          <w:szCs w:val="22"/>
        </w:rPr>
        <w:t xml:space="preserve"/>
      </w:r>
    </w:p>
    <w:p>
      <w:pPr>
        <w:pStyle w:val="Heading1"/>
        <w:spacing w:after="200" w:before="360"/>
      </w:pPr>
      <w:r>
        <w:rPr>
          <w:rFonts w:ascii="Georgia" w:cs="Georgia" w:eastAsia="Georgia" w:hAnsi="Georgia"/>
          <w:b/>
          <w:bCs/>
          <w:color w:val="0F6B6B"/>
          <w:sz w:val="34"/>
          <w:szCs w:val="34"/>
        </w:rPr>
        <w:t xml:space="preserve">Appendix B — Frame-Swipe Worksheet</w:t>
      </w:r>
    </w:p>
    <w:p>
      <w:pPr>
        <w:spacing w:after="160" w:line="300"/>
      </w:pPr>
      <w:r>
        <w:rPr>
          <w:rFonts w:ascii="Georgia" w:cs="Georgia" w:eastAsia="Georgia" w:hAnsi="Georgia"/>
          <w:color w:val="1A1A2E"/>
          <w:sz w:val="22"/>
          <w:szCs w:val="22"/>
        </w:rPr>
        <w:t xml:space="preserve">Log one row per studied video in idea_shortlists/ before adapting its skeleton. Never copy content — only structure. Study winners from any niche, not just health.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0F6B6B" w:color="auto" w:val="clear"/>
            <w:tcMar>
              <w:top w:type="dxa" w:w="90"/>
              <w:left w:type="dxa" w:w="120"/>
              <w:bottom w:type="dxa" w:w="90"/>
              <w:right w:type="dxa" w:w="120"/>
            </w:tcMar>
          </w:tcPr>
          <w:p>
            <w:pPr>
              <w:spacing w:after="0" w:line="270"/>
            </w:pPr>
            <w:r>
              <w:rPr>
                <w:rFonts w:ascii="Georgia" w:cs="Georgia" w:eastAsia="Georgia" w:hAnsi="Georgia"/>
                <w:b/>
                <w:bCs/>
                <w:color w:val="FFFFFF"/>
                <w:sz w:val="19"/>
                <w:szCs w:val="19"/>
              </w:rPr>
              <w:t xml:space="preserve">Field</w:t>
            </w:r>
          </w:p>
        </w:tc>
        <w:tc>
          <w:tcPr>
            <w:tcW w:type="dxa" w:w="6800"/>
            <w:shd w:fill="0F6B6B" w:color="auto" w:val="clear"/>
            <w:tcMar>
              <w:top w:type="dxa" w:w="90"/>
              <w:left w:type="dxa" w:w="120"/>
              <w:bottom w:type="dxa" w:w="90"/>
              <w:right w:type="dxa" w:w="120"/>
            </w:tcMar>
          </w:tcPr>
          <w:p>
            <w:pPr>
              <w:spacing w:after="0" w:line="270"/>
            </w:pPr>
            <w:r>
              <w:rPr>
                <w:rFonts w:ascii="Georgia" w:cs="Georgia" w:eastAsia="Georgia" w:hAnsi="Georgia"/>
                <w:b/>
                <w:bCs/>
                <w:color w:val="FFFFFF"/>
                <w:sz w:val="19"/>
                <w:szCs w:val="19"/>
              </w:rPr>
              <w:t xml:space="preserve">What to record</w:t>
            </w:r>
          </w:p>
        </w:tc>
      </w:tr>
      <w:tr>
        <w:tc>
          <w:tcPr>
            <w:tcW w:type="dxa" w:w="26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Source &amp; link</w:t>
            </w:r>
          </w:p>
        </w:tc>
        <w:tc>
          <w:tcPr>
            <w:tcW w:type="dxa" w:w="68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Creator, platform, view count, date found</w:t>
            </w:r>
          </w:p>
        </w:tc>
      </w:tr>
      <w:tr>
        <w:tc>
          <w:tcPr>
            <w:tcW w:type="dxa" w:w="26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Beginning / middle / end</w:t>
            </w:r>
          </w:p>
        </w:tc>
        <w:tc>
          <w:tcPr>
            <w:tcW w:type="dxa" w:w="68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What happens in each act, in one line each</w:t>
            </w:r>
          </w:p>
        </w:tc>
      </w:tr>
      <w:tr>
        <w:tc>
          <w:tcPr>
            <w:tcW w:type="dxa" w:w="26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Hook &amp; open loop</w:t>
            </w:r>
          </w:p>
        </w:tc>
        <w:tc>
          <w:tcPr>
            <w:tcW w:type="dxa" w:w="68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Exact first line; what question it leaves open; when the loop closes</w:t>
            </w:r>
          </w:p>
        </w:tc>
      </w:tr>
      <w:tr>
        <w:tc>
          <w:tcPr>
            <w:tcW w:type="dxa" w:w="26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Location &amp; visuals</w:t>
            </w:r>
          </w:p>
        </w:tc>
        <w:tc>
          <w:tcPr>
            <w:tcW w:type="dxa" w:w="68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Setting, props, camera style (POV, tripod, handheld)</w:t>
            </w:r>
          </w:p>
        </w:tc>
      </w:tr>
      <w:tr>
        <w:tc>
          <w:tcPr>
            <w:tcW w:type="dxa" w:w="26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Pacing</w:t>
            </w:r>
          </w:p>
        </w:tc>
        <w:tc>
          <w:tcPr>
            <w:tcW w:type="dxa" w:w="68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Cut frequency; where it speeds up; any dead air</w:t>
            </w:r>
          </w:p>
        </w:tc>
      </w:tr>
      <w:tr>
        <w:tc>
          <w:tcPr>
            <w:tcW w:type="dxa" w:w="26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Script trigger words</w:t>
            </w:r>
          </w:p>
        </w:tc>
        <w:tc>
          <w:tcPr>
            <w:tcW w:type="dxa" w:w="68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The charged words doing the work</w:t>
            </w:r>
          </w:p>
        </w:tc>
      </w:tr>
      <w:tr>
        <w:tc>
          <w:tcPr>
            <w:tcW w:type="dxa" w:w="26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On-screen text &amp; captions</w:t>
            </w:r>
          </w:p>
        </w:tc>
        <w:tc>
          <w:tcPr>
            <w:tcW w:type="dxa" w:w="68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Title style, caption rhythm</w:t>
            </w:r>
          </w:p>
        </w:tc>
      </w:tr>
      <w:tr>
        <w:tc>
          <w:tcPr>
            <w:tcW w:type="dxa" w:w="26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Viewer feeling by stage</w:t>
            </w:r>
          </w:p>
        </w:tc>
        <w:tc>
          <w:tcPr>
            <w:tcW w:type="dxa" w:w="68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Curious → surprised → reassured, etc.</w:t>
            </w:r>
          </w:p>
        </w:tc>
      </w:tr>
      <w:tr>
        <w:tc>
          <w:tcPr>
            <w:tcW w:type="dxa" w:w="26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Leiko adaptation</w:t>
            </w:r>
          </w:p>
        </w:tc>
        <w:tc>
          <w:tcPr>
            <w:tcW w:type="dxa" w:w="68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Which pillar; which story; what we'd change; compliance notes</w:t>
            </w:r>
          </w:p>
        </w:tc>
      </w:tr>
    </w:tbl>
    <w:p>
      <w:pPr>
        <w:spacing w:after="120" w:line="300"/>
      </w:pPr>
      <w:r>
        <w:rPr>
          <w:rFonts w:ascii="Georgia" w:cs="Georgia" w:eastAsia="Georgia" w:hAnsi="Georgia"/>
          <w:color w:val="1A1A2E"/>
          <w:sz w:val="22"/>
          <w:szCs w:val="22"/>
        </w:rPr>
        <w:t xml:space="preserve"/>
      </w:r>
    </w:p>
    <w:p>
      <w:pPr>
        <w:pStyle w:val="Heading1"/>
        <w:spacing w:after="200" w:before="360"/>
      </w:pPr>
      <w:r>
        <w:rPr>
          <w:rFonts w:ascii="Georgia" w:cs="Georgia" w:eastAsia="Georgia" w:hAnsi="Georgia"/>
          <w:b/>
          <w:bCs/>
          <w:color w:val="0F6B6B"/>
          <w:sz w:val="34"/>
          <w:szCs w:val="34"/>
        </w:rPr>
        <w:t xml:space="preserve">Appendix C — Compliant Hook Bank (starter set)</w:t>
      </w:r>
    </w:p>
    <w:p>
      <w:pPr>
        <w:spacing w:after="160" w:line="300"/>
      </w:pPr>
      <w:r>
        <w:rPr>
          <w:rFonts w:ascii="Georgia" w:cs="Georgia" w:eastAsia="Georgia" w:hAnsi="Georgia"/>
          <w:color w:val="1A1A2E"/>
          <w:sz w:val="22"/>
          <w:szCs w:val="22"/>
        </w:rPr>
        <w:t xml:space="preserve">Every hook opens a loop, uses allowed verbs only, and carries zero fear. Pair each with 2–3 delivery variations per the experts' hook-testing method; the winning hook can be spliced onto multiple bodies.</w:t>
      </w:r>
    </w:p>
    <w:p>
      <w:pPr>
        <w:pStyle w:val="ListParagraph"/>
        <w:numPr>
          <w:ilvl w:val="0"/>
          <w:numId w:val="2"/>
        </w:numPr>
        <w:spacing w:after="100" w:line="290"/>
      </w:pPr>
      <w:r>
        <w:rPr>
          <w:rFonts w:ascii="Georgia" w:cs="Georgia" w:eastAsia="Georgia" w:hAnsi="Georgia"/>
          <w:color w:val="1A1A2E"/>
          <w:sz w:val="22"/>
          <w:szCs w:val="22"/>
        </w:rPr>
        <w:t xml:space="preserve">‘Do you know your number? Most people don't — and checking takes 30 seconds.’</w:t>
      </w:r>
    </w:p>
    <w:p>
      <w:pPr>
        <w:pStyle w:val="ListParagraph"/>
        <w:numPr>
          <w:ilvl w:val="0"/>
          <w:numId w:val="2"/>
        </w:numPr>
        <w:spacing w:after="100" w:line="290"/>
      </w:pPr>
      <w:r>
        <w:rPr>
          <w:rFonts w:ascii="Georgia" w:cs="Georgia" w:eastAsia="Georgia" w:hAnsi="Georgia"/>
          <w:color w:val="1A1A2E"/>
          <w:sz w:val="22"/>
          <w:szCs w:val="22"/>
        </w:rPr>
        <w:t xml:space="preserve">‘This watch just inflated on my wrist. Here's why that matters.’</w:t>
      </w:r>
    </w:p>
    <w:p>
      <w:pPr>
        <w:pStyle w:val="ListParagraph"/>
        <w:numPr>
          <w:ilvl w:val="0"/>
          <w:numId w:val="2"/>
        </w:numPr>
        <w:spacing w:after="100" w:line="290"/>
      </w:pPr>
      <w:r>
        <w:rPr>
          <w:rFonts w:ascii="Georgia" w:cs="Georgia" w:eastAsia="Georgia" w:hAnsi="Georgia"/>
          <w:color w:val="1A1A2E"/>
          <w:sz w:val="22"/>
          <w:szCs w:val="22"/>
        </w:rPr>
        <w:t xml:space="preserve">‘Your fitness band shows a blood pressure number. Ask it one question: did you measure that, or guess it?’</w:t>
      </w:r>
    </w:p>
    <w:p>
      <w:pPr>
        <w:pStyle w:val="ListParagraph"/>
        <w:numPr>
          <w:ilvl w:val="0"/>
          <w:numId w:val="2"/>
        </w:numPr>
        <w:spacing w:after="100" w:line="290"/>
      </w:pPr>
      <w:r>
        <w:rPr>
          <w:rFonts w:ascii="Georgia" w:cs="Georgia" w:eastAsia="Georgia" w:hAnsi="Georgia"/>
          <w:color w:val="1A1A2E"/>
          <w:sz w:val="22"/>
          <w:szCs w:val="22"/>
        </w:rPr>
        <w:t xml:space="preserve">‘I stopped asking Mama ‘how are you?’ and started asking a better question.’</w:t>
      </w:r>
    </w:p>
    <w:p>
      <w:pPr>
        <w:pStyle w:val="ListParagraph"/>
        <w:numPr>
          <w:ilvl w:val="0"/>
          <w:numId w:val="2"/>
        </w:numPr>
        <w:spacing w:after="100" w:line="290"/>
      </w:pPr>
      <w:r>
        <w:rPr>
          <w:rFonts w:ascii="Georgia" w:cs="Georgia" w:eastAsia="Georgia" w:hAnsi="Georgia"/>
          <w:color w:val="1A1A2E"/>
          <w:sz w:val="22"/>
          <w:szCs w:val="22"/>
        </w:rPr>
        <w:t xml:space="preserve">‘The same method as the cuff in a clinic — on your wrist. Let me show you.’</w:t>
      </w:r>
    </w:p>
    <w:p>
      <w:pPr>
        <w:pStyle w:val="ListParagraph"/>
        <w:numPr>
          <w:ilvl w:val="0"/>
          <w:numId w:val="2"/>
        </w:numPr>
        <w:spacing w:after="100" w:line="290"/>
      </w:pPr>
      <w:r>
        <w:rPr>
          <w:rFonts w:ascii="Georgia" w:cs="Georgia" w:eastAsia="Georgia" w:hAnsi="Georgia"/>
          <w:color w:val="1A1A2E"/>
          <w:sz w:val="22"/>
          <w:szCs w:val="22"/>
        </w:rPr>
        <w:t xml:space="preserve">‘5,000 kilometres from home, I still know how Papa is doing every Sunday.’</w:t>
      </w:r>
    </w:p>
    <w:p>
      <w:pPr>
        <w:pStyle w:val="ListParagraph"/>
        <w:numPr>
          <w:ilvl w:val="0"/>
          <w:numId w:val="2"/>
        </w:numPr>
        <w:spacing w:after="100" w:line="290"/>
      </w:pPr>
      <w:r>
        <w:rPr>
          <w:rFonts w:ascii="Georgia" w:cs="Georgia" w:eastAsia="Georgia" w:hAnsi="Georgia"/>
          <w:color w:val="1A1A2E"/>
          <w:sz w:val="22"/>
          <w:szCs w:val="22"/>
        </w:rPr>
        <w:t xml:space="preserve">‘Everyone in this market has 30 seconds. Watch what she does with hers.’</w:t>
      </w:r>
    </w:p>
    <w:p>
      <w:pPr>
        <w:pStyle w:val="ListParagraph"/>
        <w:numPr>
          <w:ilvl w:val="0"/>
          <w:numId w:val="2"/>
        </w:numPr>
        <w:spacing w:after="100" w:line="290"/>
      </w:pPr>
      <w:r>
        <w:rPr>
          <w:rFonts w:ascii="Georgia" w:cs="Georgia" w:eastAsia="Georgia" w:hAnsi="Georgia"/>
          <w:color w:val="1A1A2E"/>
          <w:sz w:val="22"/>
          <w:szCs w:val="22"/>
        </w:rPr>
        <w:t xml:space="preserve">‘Before you buy Mama another wrapper this December… watch this.’</w:t>
      </w:r>
    </w:p>
    <w:p>
      <w:pPr>
        <w:pStyle w:val="Heading1"/>
        <w:spacing w:after="200" w:before="360"/>
      </w:pPr>
      <w:r>
        <w:rPr>
          <w:rFonts w:ascii="Georgia" w:cs="Georgia" w:eastAsia="Georgia" w:hAnsi="Georgia"/>
          <w:b/>
          <w:bCs/>
          <w:color w:val="0F6B6B"/>
          <w:sz w:val="34"/>
          <w:szCs w:val="34"/>
        </w:rPr>
        <w:t xml:space="preserve">Appendix D — Verified Statistics Bank</w:t>
      </w:r>
    </w:p>
    <w:p>
      <w:pPr>
        <w:spacing w:after="160" w:line="300"/>
      </w:pPr>
      <w:r>
        <w:rPr>
          <w:rFonts w:ascii="Georgia" w:cs="Georgia" w:eastAsia="Georgia" w:hAnsi="Georgia"/>
          <w:color w:val="1A1A2E"/>
          <w:sz w:val="22"/>
          <w:szCs w:val="22"/>
        </w:rPr>
        <w:t xml:space="preserve">Per COPY_RULES: every public statistic must be real, verifiable, and source-named with a URL; NG cards use WHO/NCDC/Nigerian Cardiac Society; US cards use CDC/AHA/NHANES; diaspora cards may use NG stats; never cross markets. The anchors below are verified as of August 2026 — re-verify at time of use, and log the URL beside every draft in the approval note.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4700"/>
        <w:gridCol w:w="3400"/>
      </w:tblGrid>
      <w:tr>
        <w:trPr>
          <w:tblHeader/>
        </w:trPr>
        <w:tc>
          <w:tcPr>
            <w:tcW w:type="dxa" w:w="1300"/>
            <w:shd w:fill="0F6B6B" w:color="auto" w:val="clear"/>
            <w:tcMar>
              <w:top w:type="dxa" w:w="90"/>
              <w:left w:type="dxa" w:w="120"/>
              <w:bottom w:type="dxa" w:w="90"/>
              <w:right w:type="dxa" w:w="120"/>
            </w:tcMar>
          </w:tcPr>
          <w:p>
            <w:pPr>
              <w:spacing w:after="0" w:line="270"/>
            </w:pPr>
            <w:r>
              <w:rPr>
                <w:rFonts w:ascii="Georgia" w:cs="Georgia" w:eastAsia="Georgia" w:hAnsi="Georgia"/>
                <w:b/>
                <w:bCs/>
                <w:color w:val="FFFFFF"/>
                <w:sz w:val="19"/>
                <w:szCs w:val="19"/>
              </w:rPr>
              <w:t xml:space="preserve">Market</w:t>
            </w:r>
          </w:p>
        </w:tc>
        <w:tc>
          <w:tcPr>
            <w:tcW w:type="dxa" w:w="4700"/>
            <w:shd w:fill="0F6B6B" w:color="auto" w:val="clear"/>
            <w:tcMar>
              <w:top w:type="dxa" w:w="90"/>
              <w:left w:type="dxa" w:w="120"/>
              <w:bottom w:type="dxa" w:w="90"/>
              <w:right w:type="dxa" w:w="120"/>
            </w:tcMar>
          </w:tcPr>
          <w:p>
            <w:pPr>
              <w:spacing w:after="0" w:line="270"/>
            </w:pPr>
            <w:r>
              <w:rPr>
                <w:rFonts w:ascii="Georgia" w:cs="Georgia" w:eastAsia="Georgia" w:hAnsi="Georgia"/>
                <w:b/>
                <w:bCs/>
                <w:color w:val="FFFFFF"/>
                <w:sz w:val="19"/>
                <w:szCs w:val="19"/>
              </w:rPr>
              <w:t xml:space="preserve">Statistic (anchor)</w:t>
            </w:r>
          </w:p>
        </w:tc>
        <w:tc>
          <w:tcPr>
            <w:tcW w:type="dxa" w:w="3400"/>
            <w:shd w:fill="0F6B6B" w:color="auto" w:val="clear"/>
            <w:tcMar>
              <w:top w:type="dxa" w:w="90"/>
              <w:left w:type="dxa" w:w="120"/>
              <w:bottom w:type="dxa" w:w="90"/>
              <w:right w:type="dxa" w:w="120"/>
            </w:tcMar>
          </w:tcPr>
          <w:p>
            <w:pPr>
              <w:spacing w:after="0" w:line="270"/>
            </w:pPr>
            <w:r>
              <w:rPr>
                <w:rFonts w:ascii="Georgia" w:cs="Georgia" w:eastAsia="Georgia" w:hAnsi="Georgia"/>
                <w:b/>
                <w:bCs/>
                <w:color w:val="FFFFFF"/>
                <w:sz w:val="19"/>
                <w:szCs w:val="19"/>
              </w:rPr>
              <w:t xml:space="preserve">Source to cite</w:t>
            </w:r>
          </w:p>
        </w:tc>
      </w:tr>
      <w:tr>
        <w:tc>
          <w:tcPr>
            <w:tcW w:type="dxa" w:w="13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Nigeria</w:t>
            </w:r>
          </w:p>
        </w:tc>
        <w:tc>
          <w:tcPr>
            <w:tcW w:type="dxa" w:w="47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Roughly 1 in 3 Nigerian adults has raised blood pressure; nationwide survey and pooled analyses place prevalence around 30–38%.</w:t>
            </w:r>
          </w:p>
        </w:tc>
        <w:tc>
          <w:tcPr>
            <w:tcW w:type="dxa" w:w="34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Nationwide survey 2017 (Global Heart); systematic reviews (BMC Cardiovascular Disorders; PLOS One); align with WHO country data at time of use.</w:t>
            </w:r>
          </w:p>
        </w:tc>
      </w:tr>
      <w:tr>
        <w:tc>
          <w:tcPr>
            <w:tcW w:type="dxa" w:w="13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Nigeria</w:t>
            </w:r>
          </w:p>
        </w:tc>
        <w:tc>
          <w:tcPr>
            <w:tcW w:type="dxa" w:w="47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Most Nigerian adults with raised blood pressure are unaware of it — awareness in the nationwide survey was well below half.</w:t>
            </w:r>
          </w:p>
        </w:tc>
        <w:tc>
          <w:tcPr>
            <w:tcW w:type="dxa" w:w="34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Global Heart 2017 nationwide survey; NCDC NCD materials.</w:t>
            </w:r>
          </w:p>
        </w:tc>
      </w:tr>
      <w:tr>
        <w:tc>
          <w:tcPr>
            <w:tcW w:type="dxa" w:w="13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US</w:t>
            </w:r>
          </w:p>
        </w:tc>
        <w:tc>
          <w:tcPr>
            <w:tcW w:type="dxa" w:w="47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Nearly half of US adults — 47.7% — have hypertension (Aug 2021–Aug 2023 measurement cycle).</w:t>
            </w:r>
          </w:p>
        </w:tc>
        <w:tc>
          <w:tcPr>
            <w:tcW w:type="dxa" w:w="34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CDC/NCHS Data Brief No. 511 (2024).</w:t>
            </w:r>
          </w:p>
        </w:tc>
      </w:tr>
      <w:tr>
        <w:tc>
          <w:tcPr>
            <w:tcW w:type="dxa" w:w="13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Universal</w:t>
            </w:r>
          </w:p>
        </w:tc>
        <w:tc>
          <w:tcPr>
            <w:tcW w:type="dxa" w:w="47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A Leiko check takes about 30 seconds.</w:t>
            </w:r>
          </w:p>
        </w:tc>
        <w:tc>
          <w:tcPr>
            <w:tcW w:type="dxa" w:w="3400"/>
            <w:tcMar>
              <w:top w:type="dxa" w:w="90"/>
              <w:left w:type="dxa" w:w="120"/>
              <w:bottom w:type="dxa" w:w="90"/>
              <w:right w:type="dxa" w:w="120"/>
            </w:tcMar>
          </w:tcPr>
          <w:p>
            <w:pPr>
              <w:spacing w:after="0" w:line="270"/>
            </w:pPr>
            <w:r>
              <w:rPr>
                <w:rFonts w:ascii="Georgia" w:cs="Georgia" w:eastAsia="Georgia" w:hAnsi="Georgia"/>
                <w:b w:val="false"/>
                <w:bCs w:val="false"/>
                <w:color w:val="1A1A2E"/>
                <w:sz w:val="19"/>
                <w:szCs w:val="19"/>
              </w:rPr>
              <w:t xml:space="preserve">Product truth — our own spec; phrase as ‘30 sec ✓’ per existing card usage.</w:t>
            </w:r>
          </w:p>
        </w:tc>
      </w:tr>
    </w:tbl>
    <w:p>
      <w:pPr>
        <w:spacing w:after="120" w:line="300"/>
      </w:pPr>
      <w:r>
        <w:rPr>
          <w:rFonts w:ascii="Georgia" w:cs="Georgia" w:eastAsia="Georgia" w:hAnsi="Georgia"/>
          <w:color w:val="1A1A2E"/>
          <w:sz w:val="22"/>
          <w:szCs w:val="22"/>
        </w:rPr>
        <w:t xml:space="preserve"/>
      </w:r>
    </w:p>
    <w:p>
      <w:pPr>
        <w:pStyle w:val="Heading1"/>
        <w:spacing w:after="200" w:before="360"/>
      </w:pPr>
      <w:r>
        <w:rPr>
          <w:rFonts w:ascii="Georgia" w:cs="Georgia" w:eastAsia="Georgia" w:hAnsi="Georgia"/>
          <w:b/>
          <w:bCs/>
          <w:color w:val="0F6B6B"/>
          <w:sz w:val="34"/>
          <w:szCs w:val="34"/>
        </w:rPr>
        <w:t xml:space="preserve">Appendix E — The Never List</w:t>
      </w:r>
    </w:p>
    <w:p>
      <w:pPr>
        <w:spacing w:after="160" w:line="300"/>
      </w:pPr>
      <w:r>
        <w:rPr>
          <w:rFonts w:ascii="Georgia" w:cs="Georgia" w:eastAsia="Georgia" w:hAnsi="Georgia"/>
          <w:color w:val="1A1A2E"/>
          <w:sz w:val="22"/>
          <w:szCs w:val="22"/>
        </w:rPr>
        <w:t xml:space="preserve">Kept in one place so every new team member and creator brief inherits it. Never: fear language (‘silent killer,’ ‘before it's too late,’ ‘ticking time bomb’); outcome promises (‘lower your blood pressure’); diagnose/treat/cure/prevent/predict; ‘patient’; ‘dangerous/critical level’; medical advice of any kind; any FDA or regulatory term in public copy; ‘cuffless’ applied to Leiko (always escalate, never auto-fix); ‘smartwatch’ as a noun for Leiko; invented authority figures or AI doctors; dramatized emergencies; fake scarcity or countdown games; publishing or interpreting any customer's readings. When a piece of expert advice conflicts with this list, the list wins — and usually a warmer, sharper compliant version exists on the other side of the constraint.</w:t>
      </w:r>
    </w:p>
    <w:p>
      <w:pPr>
        <w:spacing w:after="200" w:line="300"/>
      </w:pPr>
      <w:r>
        <w:rPr>
          <w:rFonts w:ascii="Georgia" w:cs="Georgia" w:eastAsia="Georgia" w:hAnsi="Georgia"/>
          <w:color w:val="1A1A2E"/>
          <w:sz w:val="22"/>
          <w:szCs w:val="22"/>
        </w:rPr>
        <w:t xml:space="preserve"/>
      </w:r>
    </w:p>
    <w:p>
      <w:pPr>
        <w:pBdr>
          <w:bottom w:val="single" w:color="CCCCCC" w:sz="6"/>
        </w:pBdr>
        <w:spacing w:after="200" w:before="60"/>
      </w:pPr>
    </w:p>
    <w:p>
      <w:pPr>
        <w:spacing w:after="160" w:line="300"/>
      </w:pPr>
      <w:r>
        <w:rPr>
          <w:rFonts w:ascii="Georgia" w:cs="Georgia" w:eastAsia="Georgia" w:hAnsi="Georgia"/>
          <w:b/>
          <w:bCs/>
          <w:color w:val="1A1A2E"/>
          <w:sz w:val="22"/>
          <w:szCs w:val="22"/>
        </w:rPr>
        <w:t xml:space="preserve">Closing note. </w:t>
      </w:r>
      <w:r>
        <w:rPr>
          <w:rFonts w:ascii="Georgia" w:cs="Georgia" w:eastAsia="Georgia" w:hAnsi="Georgia"/>
          <w:color w:val="1A1A2E"/>
          <w:sz w:val="22"/>
          <w:szCs w:val="22"/>
        </w:rPr>
        <w:t xml:space="preserve">The experts' deepest lesson is not a tactic — it is posture. Study relentlessly, copy structure shamelessly, execute locally, test cheaply, read the data honestly, focus on one brand until it is won, and protect trust like the asset it is. Leiko's constraints — a real product, real rules, real care — are the brand. Everything in this playbook exists to tell that truth louder, more often, and to more of the people who need to hear it. Blood pressure, measured — not guessed.</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lvl w:ilvl="1" w15:tentative="1">
      <w:start w:val="1"/>
      <w:numFmt w:val="bullet"/>
      <w:lvlText w:val="◦"/>
      <w:lvlJc w:val="left"/>
      <w:pPr>
        <w:ind w:left="8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2026-08-13T19:38:51.059Z</dcterms:created>
  <dcterms:modified xsi:type="dcterms:W3CDTF">2026-08-13T19:38:51.059Z</dcterms:modified>
</cp:coreProperties>
</file>

<file path=docProps/custom.xml><?xml version="1.0" encoding="utf-8"?>
<Properties xmlns="http://schemas.openxmlformats.org/officeDocument/2006/custom-properties" xmlns:vt="http://schemas.openxmlformats.org/officeDocument/2006/docPropsVTypes"/>
</file>