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16F0" w:rsidRDefault="000216F0"/>
    <w:p w:rsidR="000216F0" w:rsidRDefault="000216F0"/>
    <w:p w:rsidR="000216F0" w:rsidRDefault="000216F0"/>
    <w:p w:rsidR="000216F0" w:rsidRDefault="0030472D">
      <w:pPr>
        <w:spacing w:after="360"/>
        <w:jc w:val="center"/>
      </w:pPr>
      <w:proofErr w:type="spellStart"/>
      <w:r>
        <w:rPr>
          <w:rFonts w:eastAsia="Times New Roman"/>
          <w:b/>
          <w:sz w:val="40"/>
        </w:rPr>
        <w:t>FarmIQ</w:t>
      </w:r>
      <w:proofErr w:type="spellEnd"/>
      <w:r>
        <w:rPr>
          <w:rFonts w:eastAsia="Times New Roman"/>
          <w:b/>
          <w:sz w:val="40"/>
        </w:rPr>
        <w:t>: A PWA-Based Farm Management System Integrating Predictive Analytics, Tokenized Incentives, and Alternative Credit Scoring for Smallholder Agriculture</w:t>
      </w:r>
    </w:p>
    <w:p w:rsidR="000216F0" w:rsidRDefault="0030472D">
      <w:pPr>
        <w:spacing w:after="80"/>
        <w:jc w:val="center"/>
      </w:pPr>
      <w:r>
        <w:rPr>
          <w:rFonts w:eastAsia="Times New Roman"/>
          <w:b/>
          <w:sz w:val="26"/>
        </w:rPr>
        <w:t xml:space="preserve">Emmanuel </w:t>
      </w:r>
      <w:proofErr w:type="spellStart"/>
      <w:r>
        <w:rPr>
          <w:rFonts w:eastAsia="Times New Roman"/>
          <w:b/>
          <w:sz w:val="26"/>
        </w:rPr>
        <w:t>Kipngetich</w:t>
      </w:r>
      <w:proofErr w:type="spellEnd"/>
      <w:r>
        <w:rPr>
          <w:rFonts w:eastAsia="Times New Roman"/>
          <w:b/>
          <w:sz w:val="26"/>
        </w:rPr>
        <w:t xml:space="preserve"> Keter</w:t>
      </w:r>
    </w:p>
    <w:p w:rsidR="000216F0" w:rsidRDefault="0030472D" w:rsidP="0030472D">
      <w:pPr>
        <w:spacing w:after="800"/>
        <w:jc w:val="center"/>
      </w:pPr>
      <w:r>
        <w:rPr>
          <w:rFonts w:eastAsia="Times New Roman"/>
        </w:rPr>
        <w:t xml:space="preserve">An </w:t>
      </w:r>
      <w:r>
        <w:rPr>
          <w:rFonts w:eastAsia="Times New Roman"/>
        </w:rPr>
        <w:t xml:space="preserve">Informatics and Computer Science Project Documentation </w:t>
      </w:r>
    </w:p>
    <w:p w:rsidR="000216F0" w:rsidRDefault="0030472D">
      <w:pPr>
        <w:spacing w:after="480"/>
        <w:jc w:val="center"/>
      </w:pPr>
      <w:r>
        <w:rPr>
          <w:rFonts w:eastAsia="Times New Roman"/>
        </w:rPr>
        <w:t>N</w:t>
      </w:r>
      <w:r>
        <w:rPr>
          <w:rFonts w:eastAsia="Times New Roman"/>
        </w:rPr>
        <w:t>airobi, Kenya</w:t>
      </w:r>
    </w:p>
    <w:p w:rsidR="000216F0" w:rsidRDefault="0030472D">
      <w:pPr>
        <w:spacing w:after="120"/>
        <w:jc w:val="center"/>
      </w:pPr>
      <w:r>
        <w:rPr>
          <w:rFonts w:eastAsia="Times New Roman"/>
          <w:b/>
        </w:rPr>
        <w:t>September 2026</w:t>
      </w:r>
    </w:p>
    <w:p w:rsidR="000216F0" w:rsidRDefault="000216F0">
      <w:pPr>
        <w:pageBreakBefore/>
      </w:pPr>
    </w:p>
    <w:p w:rsidR="000216F0" w:rsidRDefault="0030472D">
      <w:pPr>
        <w:pStyle w:val="Heading1"/>
        <w:spacing w:before="80" w:after="200"/>
      </w:pPr>
      <w:bookmarkStart w:id="0" w:name="_Toc240737049"/>
      <w:r>
        <w:rPr>
          <w:rFonts w:ascii="Times New Roman" w:eastAsia="Times New Roman" w:hAnsi="Times New Roman"/>
          <w:color w:val="047857"/>
          <w:sz w:val="36"/>
        </w:rPr>
        <w:t>Acknowledgement</w:t>
      </w:r>
      <w:bookmarkEnd w:id="0"/>
    </w:p>
    <w:p w:rsidR="000216F0" w:rsidRDefault="0030472D">
      <w:pPr>
        <w:jc w:val="both"/>
      </w:pPr>
      <w:r>
        <w:rPr>
          <w:rFonts w:eastAsia="Times New Roman"/>
        </w:rPr>
        <w:t xml:space="preserve">I would like to express my sincere gratitude to all individuals and institutions who contributed to the successful development of </w:t>
      </w:r>
      <w:proofErr w:type="spellStart"/>
      <w:r>
        <w:rPr>
          <w:rFonts w:eastAsia="Times New Roman"/>
        </w:rPr>
        <w:t>FarmIQ</w:t>
      </w:r>
      <w:proofErr w:type="spellEnd"/>
      <w:r>
        <w:rPr>
          <w:rFonts w:eastAsia="Times New Roman"/>
        </w:rPr>
        <w:t xml:space="preserve"> and this accompanying documentation.</w:t>
      </w:r>
    </w:p>
    <w:p w:rsidR="000216F0" w:rsidRDefault="0030472D">
      <w:pPr>
        <w:jc w:val="both"/>
      </w:pPr>
      <w:r>
        <w:rPr>
          <w:rFonts w:eastAsia="Times New Roman"/>
        </w:rPr>
        <w:t xml:space="preserve">I am especially grateful to </w:t>
      </w:r>
      <w:proofErr w:type="spellStart"/>
      <w:r>
        <w:rPr>
          <w:rFonts w:eastAsia="Times New Roman"/>
        </w:rPr>
        <w:t>Miginon</w:t>
      </w:r>
      <w:proofErr w:type="spellEnd"/>
      <w:r>
        <w:rPr>
          <w:rFonts w:eastAsia="Times New Roman"/>
        </w:rPr>
        <w:t xml:space="preserve"> Farm, whose day-to-day operations, feedback, and willingness to pilot </w:t>
      </w:r>
      <w:proofErr w:type="spellStart"/>
      <w:r>
        <w:rPr>
          <w:rFonts w:eastAsia="Times New Roman"/>
        </w:rPr>
        <w:t>Far</w:t>
      </w:r>
      <w:r>
        <w:rPr>
          <w:rFonts w:eastAsia="Times New Roman"/>
        </w:rPr>
        <w:t>mIQ</w:t>
      </w:r>
      <w:proofErr w:type="spellEnd"/>
      <w:r>
        <w:rPr>
          <w:rFonts w:eastAsia="Times New Roman"/>
        </w:rPr>
        <w:t xml:space="preserve"> grounded this project in a real smallholder farming context and shaped many of its design decisions.</w:t>
      </w:r>
    </w:p>
    <w:p w:rsidR="000216F0" w:rsidRDefault="0030472D">
      <w:pPr>
        <w:jc w:val="both"/>
      </w:pPr>
      <w:r>
        <w:rPr>
          <w:rFonts w:eastAsia="Times New Roman"/>
        </w:rPr>
        <w:t xml:space="preserve">Finally, I appreciate the technical guidance from colleagues and the open-source community whose tools and frameworks - Django, </w:t>
      </w:r>
      <w:proofErr w:type="spellStart"/>
      <w:r>
        <w:rPr>
          <w:rFonts w:eastAsia="Times New Roman"/>
        </w:rPr>
        <w:t>scikit</w:t>
      </w:r>
      <w:proofErr w:type="spellEnd"/>
      <w:r>
        <w:rPr>
          <w:rFonts w:eastAsia="Times New Roman"/>
        </w:rPr>
        <w:t>-learn, and the H</w:t>
      </w:r>
      <w:r>
        <w:rPr>
          <w:rFonts w:eastAsia="Times New Roman"/>
        </w:rPr>
        <w:t xml:space="preserve">edera </w:t>
      </w:r>
      <w:proofErr w:type="spellStart"/>
      <w:r>
        <w:rPr>
          <w:rFonts w:eastAsia="Times New Roman"/>
        </w:rPr>
        <w:t>Hashgraph</w:t>
      </w:r>
      <w:proofErr w:type="spellEnd"/>
      <w:r>
        <w:rPr>
          <w:rFonts w:eastAsia="Times New Roman"/>
        </w:rPr>
        <w:t xml:space="preserve"> SDK among them - enabled the development of this platform.</w:t>
      </w:r>
    </w:p>
    <w:p w:rsidR="000216F0" w:rsidRDefault="000216F0">
      <w:pPr>
        <w:pageBreakBefore/>
      </w:pPr>
    </w:p>
    <w:p w:rsidR="000216F0" w:rsidRDefault="0030472D">
      <w:pPr>
        <w:pStyle w:val="Heading2"/>
        <w:spacing w:before="320" w:after="160"/>
      </w:pPr>
      <w:bookmarkStart w:id="1" w:name="_Toc240737050"/>
      <w:r>
        <w:rPr>
          <w:rFonts w:ascii="Times New Roman" w:eastAsia="Times New Roman" w:hAnsi="Times New Roman"/>
          <w:color w:val="1E3A5F"/>
          <w:sz w:val="28"/>
        </w:rPr>
        <w:t>Abstract</w:t>
      </w:r>
      <w:bookmarkEnd w:id="1"/>
    </w:p>
    <w:p w:rsidR="000216F0" w:rsidRDefault="0030472D">
      <w:pPr>
        <w:jc w:val="both"/>
      </w:pPr>
      <w:r>
        <w:rPr>
          <w:rFonts w:eastAsia="Times New Roman"/>
        </w:rPr>
        <w:t>Smallholder farmers across Kenya and Sub-Saharan Africa remain largely excluded from formal credit, not because their farms are unviable, but because they cannot produce t</w:t>
      </w:r>
      <w:r>
        <w:rPr>
          <w:rFonts w:eastAsia="Times New Roman"/>
        </w:rPr>
        <w:t>he verifiable transaction and repayment history formal lenders require; the resulting global smallholder financing gap is estimated at approximately USD 170 billion annually (GSMA, 2025a). Existing alternative-data credit-scoring approaches, while shown to</w:t>
      </w:r>
      <w:r>
        <w:rPr>
          <w:rFonts w:eastAsia="Times New Roman"/>
        </w:rPr>
        <w:t xml:space="preserve"> extend credit to otherwise-invisible borrowers, remain almost universally supervised, trained against historical, labelled loan-repayment outcomes that a pre-lending platform, by definition, does not have. Meanwhile, farm management tools available to sma</w:t>
      </w:r>
      <w:r>
        <w:rPr>
          <w:rFonts w:eastAsia="Times New Roman"/>
        </w:rPr>
        <w:t>llholders are typically designed for larger, formally-structured operations, leaving day-to-day farm records fragmented, under-used, and disconnected from any pathway to financial recognition.</w:t>
      </w:r>
    </w:p>
    <w:p w:rsidR="000216F0" w:rsidRDefault="0030472D">
      <w:pPr>
        <w:jc w:val="both"/>
      </w:pPr>
      <w:r>
        <w:rPr>
          <w:rFonts w:eastAsia="Times New Roman"/>
        </w:rPr>
        <w:t xml:space="preserve">This study presents </w:t>
      </w:r>
      <w:proofErr w:type="spellStart"/>
      <w:r>
        <w:rPr>
          <w:rFonts w:eastAsia="Times New Roman"/>
        </w:rPr>
        <w:t>FarmIQ</w:t>
      </w:r>
      <w:proofErr w:type="spellEnd"/>
      <w:r>
        <w:rPr>
          <w:rFonts w:eastAsia="Times New Roman"/>
        </w:rPr>
        <w:t>, a Django-based Progressive Web Appl</w:t>
      </w:r>
      <w:r>
        <w:rPr>
          <w:rFonts w:eastAsia="Times New Roman"/>
        </w:rPr>
        <w:t xml:space="preserve">ication that integrates farm record management, machine learning-based production forecasting, blockchain-anchored data integrity with </w:t>
      </w:r>
      <w:proofErr w:type="spellStart"/>
      <w:r>
        <w:rPr>
          <w:rFonts w:eastAsia="Times New Roman"/>
        </w:rPr>
        <w:t>tokenised</w:t>
      </w:r>
      <w:proofErr w:type="spellEnd"/>
      <w:r>
        <w:rPr>
          <w:rFonts w:eastAsia="Times New Roman"/>
        </w:rPr>
        <w:t xml:space="preserve"> incentives, and an unsupervised, explainable alternative credit-scoring engine, designed and evaluated around </w:t>
      </w:r>
      <w:proofErr w:type="spellStart"/>
      <w:r>
        <w:rPr>
          <w:rFonts w:eastAsia="Times New Roman"/>
        </w:rPr>
        <w:t>M</w:t>
      </w:r>
      <w:r>
        <w:rPr>
          <w:rFonts w:eastAsia="Times New Roman"/>
        </w:rPr>
        <w:t>iginon</w:t>
      </w:r>
      <w:proofErr w:type="spellEnd"/>
      <w:r>
        <w:rPr>
          <w:rFonts w:eastAsia="Times New Roman"/>
        </w:rPr>
        <w:t xml:space="preserve"> Farm, a Kenyan smallholder dairy and mixed-crop operation. </w:t>
      </w:r>
      <w:proofErr w:type="spellStart"/>
      <w:r>
        <w:rPr>
          <w:rFonts w:eastAsia="Times New Roman"/>
        </w:rPr>
        <w:t>FarmIQ's</w:t>
      </w:r>
      <w:proofErr w:type="spellEnd"/>
      <w:r>
        <w:rPr>
          <w:rFonts w:eastAsia="Times New Roman"/>
        </w:rPr>
        <w:t xml:space="preserve"> credit-scoring engine </w:t>
      </w:r>
      <w:proofErr w:type="spellStart"/>
      <w:r>
        <w:rPr>
          <w:rFonts w:eastAsia="Times New Roman"/>
        </w:rPr>
        <w:t>standardises</w:t>
      </w:r>
      <w:proofErr w:type="spellEnd"/>
      <w:r>
        <w:rPr>
          <w:rFonts w:eastAsia="Times New Roman"/>
        </w:rPr>
        <w:t xml:space="preserve"> ten cross-domain farm health features, reduces them via Principal Component Analysis to a single, sign-corrected composite score, ranks each farm </w:t>
      </w:r>
      <w:r>
        <w:rPr>
          <w:rFonts w:eastAsia="Times New Roman"/>
        </w:rPr>
        <w:t xml:space="preserve">by percentile against its current eligible peer population, and derives discrete score tiers through K-means clustering — with a deterministic provisional fallback for populations too small to rank meaningfully — computing a usable creditworthiness signal </w:t>
      </w:r>
      <w:r>
        <w:rPr>
          <w:rFonts w:eastAsia="Times New Roman"/>
        </w:rPr>
        <w:t xml:space="preserve">entirely without any historical loan-repayment data. A parallel ridge regression model forecasts milk yield at cow, block, and farm scope from a farm's own recorded production, feeding, and herd data. Both models are deliberately restricted to closed-form </w:t>
      </w:r>
      <w:r>
        <w:rPr>
          <w:rFonts w:eastAsia="Times New Roman"/>
        </w:rPr>
        <w:t xml:space="preserve">linear methods so that every prediction and score is accompanied by an exact, independently-verifiable per-feature explanation rather than an approximated one. A Hedera </w:t>
      </w:r>
      <w:proofErr w:type="spellStart"/>
      <w:r>
        <w:rPr>
          <w:rFonts w:eastAsia="Times New Roman"/>
        </w:rPr>
        <w:t>Hashgraph</w:t>
      </w:r>
      <w:proofErr w:type="spellEnd"/>
      <w:r>
        <w:rPr>
          <w:rFonts w:eastAsia="Times New Roman"/>
        </w:rPr>
        <w:t xml:space="preserve"> blockchain layer mints non-fungible tokens for herd and harvest registration,</w:t>
      </w:r>
      <w:r>
        <w:rPr>
          <w:rFonts w:eastAsia="Times New Roman"/>
        </w:rPr>
        <w:t xml:space="preserve"> a fungible "FIQ" </w:t>
      </w:r>
      <w:r>
        <w:rPr>
          <w:rFonts w:eastAsia="Times New Roman"/>
        </w:rPr>
        <w:lastRenderedPageBreak/>
        <w:t>reward token for logging farm activity, and anchors content hashes of predictions, financial transactions, and credit-score snapshots to the Hedera Consensus Service for tamper-evidence, with every blockchain interaction implemented as be</w:t>
      </w:r>
      <w:r>
        <w:rPr>
          <w:rFonts w:eastAsia="Times New Roman"/>
        </w:rPr>
        <w:t xml:space="preserve">st-effort so a third-party outage never blocks core farm-management functionality. The platform is delivered as an offline-first Progressive Web Application with WhatsApp Cloud API notification delivery and English/Kiswahili </w:t>
      </w:r>
      <w:proofErr w:type="spellStart"/>
      <w:r>
        <w:rPr>
          <w:rFonts w:eastAsia="Times New Roman"/>
        </w:rPr>
        <w:t>localisation</w:t>
      </w:r>
      <w:proofErr w:type="spellEnd"/>
      <w:r>
        <w:rPr>
          <w:rFonts w:eastAsia="Times New Roman"/>
        </w:rPr>
        <w:t>, addressing the co</w:t>
      </w:r>
      <w:r>
        <w:rPr>
          <w:rFonts w:eastAsia="Times New Roman"/>
        </w:rPr>
        <w:t>nnectivity, cost, and channel-familiarity constraints documented in Kenyan and Ugandan digital-agriculture literature.</w:t>
      </w:r>
    </w:p>
    <w:p w:rsidR="000216F0" w:rsidRDefault="0030472D">
      <w:pPr>
        <w:jc w:val="both"/>
      </w:pPr>
      <w:r>
        <w:rPr>
          <w:rFonts w:eastAsia="Times New Roman"/>
        </w:rPr>
        <w:t xml:space="preserve">The system was developed iteratively across seventeen integrated Django applications and evaluated through its automated test suite: 230 </w:t>
      </w:r>
      <w:r>
        <w:rPr>
          <w:rFonts w:eastAsia="Times New Roman"/>
        </w:rPr>
        <w:t xml:space="preserve">tests, of which 229 passed, including an independent re-implementation of the credit-scoring engine's </w:t>
      </w:r>
      <w:proofErr w:type="spellStart"/>
      <w:r>
        <w:rPr>
          <w:rFonts w:eastAsia="Times New Roman"/>
        </w:rPr>
        <w:t>explainability</w:t>
      </w:r>
      <w:proofErr w:type="spellEnd"/>
      <w:r>
        <w:rPr>
          <w:rFonts w:eastAsia="Times New Roman"/>
        </w:rPr>
        <w:t xml:space="preserve"> calculation that confirmed its reported contributions sum exactly to the underlying score, and dedicated resilience tests confirming the pl</w:t>
      </w:r>
      <w:r>
        <w:rPr>
          <w:rFonts w:eastAsia="Times New Roman"/>
        </w:rPr>
        <w:t xml:space="preserve">atform continues operating correctly when Hedera, WhatsApp, or geocoding services are unavailable. This study's central limitation is stated explicitly: because </w:t>
      </w:r>
      <w:proofErr w:type="spellStart"/>
      <w:r>
        <w:rPr>
          <w:rFonts w:eastAsia="Times New Roman"/>
        </w:rPr>
        <w:t>FarmIQ</w:t>
      </w:r>
      <w:proofErr w:type="spellEnd"/>
      <w:r>
        <w:rPr>
          <w:rFonts w:eastAsia="Times New Roman"/>
        </w:rPr>
        <w:t xml:space="preserve"> has never issued a real loan, its credit-scoring engine's real-world predictive validity</w:t>
      </w:r>
      <w:r>
        <w:rPr>
          <w:rFonts w:eastAsia="Times New Roman"/>
        </w:rPr>
        <w:t xml:space="preserve"> against actual repayment outcomes remains unvalidated, and constitutes the primary direction for future work alongside formal field-based user acceptance testing. </w:t>
      </w:r>
      <w:proofErr w:type="spellStart"/>
      <w:r>
        <w:rPr>
          <w:rFonts w:eastAsia="Times New Roman"/>
        </w:rPr>
        <w:t>FarmIQ</w:t>
      </w:r>
      <w:proofErr w:type="spellEnd"/>
      <w:r>
        <w:rPr>
          <w:rFonts w:eastAsia="Times New Roman"/>
        </w:rPr>
        <w:t xml:space="preserve"> demonstrates that the routine records a smallholder farm already needs to keep can si</w:t>
      </w:r>
      <w:r>
        <w:rPr>
          <w:rFonts w:eastAsia="Times New Roman"/>
        </w:rPr>
        <w:t>multaneously produce an explainable production forecast, a blockchain-anchored trust record, and a genuinely unsupervised, population-relative credit signal — addressing an integration gap in the current literature between alternative credit scoring, expla</w:t>
      </w:r>
      <w:r>
        <w:rPr>
          <w:rFonts w:eastAsia="Times New Roman"/>
        </w:rPr>
        <w:t>inable AI, blockchain-based trust, and low-connectivity digital accessibility for smallholder agriculture.</w:t>
      </w:r>
    </w:p>
    <w:p w:rsidR="000216F0" w:rsidRDefault="0030472D">
      <w:pPr>
        <w:jc w:val="both"/>
      </w:pPr>
      <w:r>
        <w:rPr>
          <w:rFonts w:eastAsia="Times New Roman"/>
          <w:b/>
        </w:rPr>
        <w:t>Keywords:</w:t>
      </w:r>
      <w:r>
        <w:rPr>
          <w:rFonts w:eastAsia="Times New Roman"/>
        </w:rPr>
        <w:t xml:space="preserve"> Smallholder Agriculture, Alternative Credit Scoring, Financial Inclusion, Machine Learning, Explainable AI, Blockchain, Hedera, Progressive</w:t>
      </w:r>
      <w:r>
        <w:rPr>
          <w:rFonts w:eastAsia="Times New Roman"/>
        </w:rPr>
        <w:t xml:space="preserve"> Web Application, </w:t>
      </w:r>
      <w:proofErr w:type="spellStart"/>
      <w:r>
        <w:rPr>
          <w:rFonts w:eastAsia="Times New Roman"/>
        </w:rPr>
        <w:t>Tokenised</w:t>
      </w:r>
      <w:proofErr w:type="spellEnd"/>
      <w:r>
        <w:rPr>
          <w:rFonts w:eastAsia="Times New Roman"/>
        </w:rPr>
        <w:t xml:space="preserve"> Incentives, Farm Management Information Systems</w:t>
      </w:r>
    </w:p>
    <w:p w:rsidR="000216F0" w:rsidRDefault="000216F0">
      <w:pPr>
        <w:pageBreakBefore/>
      </w:pPr>
      <w:bookmarkStart w:id="2" w:name="_GoBack"/>
      <w:bookmarkEnd w:id="2"/>
    </w:p>
    <w:p w:rsidR="000216F0" w:rsidRDefault="0030472D">
      <w:pPr>
        <w:pStyle w:val="Heading1"/>
        <w:spacing w:before="80" w:after="200"/>
      </w:pPr>
      <w:bookmarkStart w:id="3" w:name="_Toc240737051"/>
      <w:r>
        <w:rPr>
          <w:rFonts w:ascii="Times New Roman" w:eastAsia="Times New Roman" w:hAnsi="Times New Roman"/>
          <w:color w:val="047857"/>
          <w:sz w:val="36"/>
        </w:rPr>
        <w:t>Table of Contents</w:t>
      </w:r>
      <w:bookmarkEnd w:id="3"/>
    </w:p>
    <w:p w:rsidR="0030472D" w:rsidRDefault="0030472D">
      <w:pPr>
        <w:pStyle w:val="TOC1"/>
        <w:tabs>
          <w:tab w:val="right" w:leader="dot" w:pos="8630"/>
        </w:tabs>
        <w:rPr>
          <w:rFonts w:asciiTheme="minorHAnsi" w:hAnsiTheme="minorHAnsi"/>
          <w:noProof/>
          <w:sz w:val="22"/>
        </w:rPr>
      </w:pPr>
      <w:r>
        <w:rPr>
          <w:rFonts w:eastAsia="Times New Roman"/>
          <w:sz w:val="22"/>
        </w:rPr>
        <w:fldChar w:fldCharType="begin"/>
      </w:r>
      <w:r>
        <w:instrText xml:space="preserve"> TOC \o "1-3" \h \z \u </w:instrText>
      </w:r>
      <w:r>
        <w:fldChar w:fldCharType="separate"/>
      </w:r>
      <w:hyperlink w:anchor="_Toc240737049" w:history="1">
        <w:r w:rsidRPr="0046086B">
          <w:rPr>
            <w:rStyle w:val="Hyperlink"/>
            <w:rFonts w:eastAsia="Times New Roman"/>
            <w:noProof/>
          </w:rPr>
          <w:t>Acknowledgement</w:t>
        </w:r>
        <w:r>
          <w:rPr>
            <w:noProof/>
            <w:webHidden/>
          </w:rPr>
          <w:tab/>
        </w:r>
        <w:r>
          <w:rPr>
            <w:noProof/>
            <w:webHidden/>
          </w:rPr>
          <w:fldChar w:fldCharType="begin"/>
        </w:r>
        <w:r>
          <w:rPr>
            <w:noProof/>
            <w:webHidden/>
          </w:rPr>
          <w:instrText xml:space="preserve"> PAGEREF _Toc240737049 \h </w:instrText>
        </w:r>
        <w:r>
          <w:rPr>
            <w:noProof/>
            <w:webHidden/>
          </w:rPr>
        </w:r>
        <w:r>
          <w:rPr>
            <w:noProof/>
            <w:webHidden/>
          </w:rPr>
          <w:fldChar w:fldCharType="separate"/>
        </w:r>
        <w:r>
          <w:rPr>
            <w:noProof/>
            <w:webHidden/>
          </w:rPr>
          <w:t>2</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50" w:history="1">
        <w:r w:rsidRPr="0046086B">
          <w:rPr>
            <w:rStyle w:val="Hyperlink"/>
            <w:rFonts w:eastAsia="Times New Roman"/>
            <w:noProof/>
          </w:rPr>
          <w:t>Abstract</w:t>
        </w:r>
        <w:r>
          <w:rPr>
            <w:noProof/>
            <w:webHidden/>
          </w:rPr>
          <w:tab/>
        </w:r>
        <w:r>
          <w:rPr>
            <w:noProof/>
            <w:webHidden/>
          </w:rPr>
          <w:fldChar w:fldCharType="begin"/>
        </w:r>
        <w:r>
          <w:rPr>
            <w:noProof/>
            <w:webHidden/>
          </w:rPr>
          <w:instrText xml:space="preserve"> PAGEREF _Toc240737050 \h </w:instrText>
        </w:r>
        <w:r>
          <w:rPr>
            <w:noProof/>
            <w:webHidden/>
          </w:rPr>
        </w:r>
        <w:r>
          <w:rPr>
            <w:noProof/>
            <w:webHidden/>
          </w:rPr>
          <w:fldChar w:fldCharType="separate"/>
        </w:r>
        <w:r>
          <w:rPr>
            <w:noProof/>
            <w:webHidden/>
          </w:rPr>
          <w:t>3</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051" w:history="1">
        <w:r w:rsidRPr="0046086B">
          <w:rPr>
            <w:rStyle w:val="Hyperlink"/>
            <w:rFonts w:eastAsia="Times New Roman"/>
            <w:noProof/>
          </w:rPr>
          <w:t>Table of Contents</w:t>
        </w:r>
        <w:r>
          <w:rPr>
            <w:noProof/>
            <w:webHidden/>
          </w:rPr>
          <w:tab/>
        </w:r>
        <w:r>
          <w:rPr>
            <w:noProof/>
            <w:webHidden/>
          </w:rPr>
          <w:fldChar w:fldCharType="begin"/>
        </w:r>
        <w:r>
          <w:rPr>
            <w:noProof/>
            <w:webHidden/>
          </w:rPr>
          <w:instrText xml:space="preserve"> PAGEREF _Toc240737051 \h </w:instrText>
        </w:r>
        <w:r>
          <w:rPr>
            <w:noProof/>
            <w:webHidden/>
          </w:rPr>
        </w:r>
        <w:r>
          <w:rPr>
            <w:noProof/>
            <w:webHidden/>
          </w:rPr>
          <w:fldChar w:fldCharType="separate"/>
        </w:r>
        <w:r>
          <w:rPr>
            <w:noProof/>
            <w:webHidden/>
          </w:rPr>
          <w:t>5</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052" w:history="1">
        <w:r w:rsidRPr="0046086B">
          <w:rPr>
            <w:rStyle w:val="Hyperlink"/>
            <w:rFonts w:eastAsia="Times New Roman"/>
            <w:noProof/>
          </w:rPr>
          <w:t>List of Figures</w:t>
        </w:r>
        <w:r>
          <w:rPr>
            <w:noProof/>
            <w:webHidden/>
          </w:rPr>
          <w:tab/>
        </w:r>
        <w:r>
          <w:rPr>
            <w:noProof/>
            <w:webHidden/>
          </w:rPr>
          <w:fldChar w:fldCharType="begin"/>
        </w:r>
        <w:r>
          <w:rPr>
            <w:noProof/>
            <w:webHidden/>
          </w:rPr>
          <w:instrText xml:space="preserve"> PAGEREF _Toc240737052 \h </w:instrText>
        </w:r>
        <w:r>
          <w:rPr>
            <w:noProof/>
            <w:webHidden/>
          </w:rPr>
        </w:r>
        <w:r>
          <w:rPr>
            <w:noProof/>
            <w:webHidden/>
          </w:rPr>
          <w:fldChar w:fldCharType="separate"/>
        </w:r>
        <w:r>
          <w:rPr>
            <w:noProof/>
            <w:webHidden/>
          </w:rPr>
          <w:t>10</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053" w:history="1">
        <w:r w:rsidRPr="0046086B">
          <w:rPr>
            <w:rStyle w:val="Hyperlink"/>
            <w:rFonts w:eastAsia="Times New Roman"/>
            <w:noProof/>
          </w:rPr>
          <w:t>List of Tables</w:t>
        </w:r>
        <w:r>
          <w:rPr>
            <w:noProof/>
            <w:webHidden/>
          </w:rPr>
          <w:tab/>
        </w:r>
        <w:r>
          <w:rPr>
            <w:noProof/>
            <w:webHidden/>
          </w:rPr>
          <w:fldChar w:fldCharType="begin"/>
        </w:r>
        <w:r>
          <w:rPr>
            <w:noProof/>
            <w:webHidden/>
          </w:rPr>
          <w:instrText xml:space="preserve"> PAGEREF _Toc240737053 \h </w:instrText>
        </w:r>
        <w:r>
          <w:rPr>
            <w:noProof/>
            <w:webHidden/>
          </w:rPr>
        </w:r>
        <w:r>
          <w:rPr>
            <w:noProof/>
            <w:webHidden/>
          </w:rPr>
          <w:fldChar w:fldCharType="separate"/>
        </w:r>
        <w:r>
          <w:rPr>
            <w:noProof/>
            <w:webHidden/>
          </w:rPr>
          <w:t>11</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054" w:history="1">
        <w:r w:rsidRPr="0046086B">
          <w:rPr>
            <w:rStyle w:val="Hyperlink"/>
            <w:rFonts w:eastAsia="Times New Roman"/>
            <w:noProof/>
          </w:rPr>
          <w:t>List of Abbreviations</w:t>
        </w:r>
        <w:r>
          <w:rPr>
            <w:noProof/>
            <w:webHidden/>
          </w:rPr>
          <w:tab/>
        </w:r>
        <w:r>
          <w:rPr>
            <w:noProof/>
            <w:webHidden/>
          </w:rPr>
          <w:fldChar w:fldCharType="begin"/>
        </w:r>
        <w:r>
          <w:rPr>
            <w:noProof/>
            <w:webHidden/>
          </w:rPr>
          <w:instrText xml:space="preserve"> PAGEREF _Toc240737054 \h </w:instrText>
        </w:r>
        <w:r>
          <w:rPr>
            <w:noProof/>
            <w:webHidden/>
          </w:rPr>
        </w:r>
        <w:r>
          <w:rPr>
            <w:noProof/>
            <w:webHidden/>
          </w:rPr>
          <w:fldChar w:fldCharType="separate"/>
        </w:r>
        <w:r>
          <w:rPr>
            <w:noProof/>
            <w:webHidden/>
          </w:rPr>
          <w:t>12</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055" w:history="1">
        <w:r w:rsidRPr="0046086B">
          <w:rPr>
            <w:rStyle w:val="Hyperlink"/>
            <w:rFonts w:eastAsia="Times New Roman"/>
            <w:noProof/>
          </w:rPr>
          <w:t>Chapter 1: Introduction</w:t>
        </w:r>
        <w:r>
          <w:rPr>
            <w:noProof/>
            <w:webHidden/>
          </w:rPr>
          <w:tab/>
        </w:r>
        <w:r>
          <w:rPr>
            <w:noProof/>
            <w:webHidden/>
          </w:rPr>
          <w:fldChar w:fldCharType="begin"/>
        </w:r>
        <w:r>
          <w:rPr>
            <w:noProof/>
            <w:webHidden/>
          </w:rPr>
          <w:instrText xml:space="preserve"> PAGEREF _Toc240737055 \h </w:instrText>
        </w:r>
        <w:r>
          <w:rPr>
            <w:noProof/>
            <w:webHidden/>
          </w:rPr>
        </w:r>
        <w:r>
          <w:rPr>
            <w:noProof/>
            <w:webHidden/>
          </w:rPr>
          <w:fldChar w:fldCharType="separate"/>
        </w:r>
        <w:r>
          <w:rPr>
            <w:noProof/>
            <w:webHidden/>
          </w:rPr>
          <w:t>14</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56" w:history="1">
        <w:r w:rsidRPr="0046086B">
          <w:rPr>
            <w:rStyle w:val="Hyperlink"/>
            <w:rFonts w:eastAsia="Times New Roman"/>
            <w:noProof/>
          </w:rPr>
          <w:t>1.1 Background Information</w:t>
        </w:r>
        <w:r>
          <w:rPr>
            <w:noProof/>
            <w:webHidden/>
          </w:rPr>
          <w:tab/>
        </w:r>
        <w:r>
          <w:rPr>
            <w:noProof/>
            <w:webHidden/>
          </w:rPr>
          <w:fldChar w:fldCharType="begin"/>
        </w:r>
        <w:r>
          <w:rPr>
            <w:noProof/>
            <w:webHidden/>
          </w:rPr>
          <w:instrText xml:space="preserve"> PAGEREF _Toc240737056 \h </w:instrText>
        </w:r>
        <w:r>
          <w:rPr>
            <w:noProof/>
            <w:webHidden/>
          </w:rPr>
        </w:r>
        <w:r>
          <w:rPr>
            <w:noProof/>
            <w:webHidden/>
          </w:rPr>
          <w:fldChar w:fldCharType="separate"/>
        </w:r>
        <w:r>
          <w:rPr>
            <w:noProof/>
            <w:webHidden/>
          </w:rPr>
          <w:t>14</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57" w:history="1">
        <w:r w:rsidRPr="0046086B">
          <w:rPr>
            <w:rStyle w:val="Hyperlink"/>
            <w:rFonts w:eastAsia="Times New Roman"/>
            <w:noProof/>
          </w:rPr>
          <w:t>1.2 Problem Statement</w:t>
        </w:r>
        <w:r>
          <w:rPr>
            <w:noProof/>
            <w:webHidden/>
          </w:rPr>
          <w:tab/>
        </w:r>
        <w:r>
          <w:rPr>
            <w:noProof/>
            <w:webHidden/>
          </w:rPr>
          <w:fldChar w:fldCharType="begin"/>
        </w:r>
        <w:r>
          <w:rPr>
            <w:noProof/>
            <w:webHidden/>
          </w:rPr>
          <w:instrText xml:space="preserve"> PAGEREF _Toc240737057 \h </w:instrText>
        </w:r>
        <w:r>
          <w:rPr>
            <w:noProof/>
            <w:webHidden/>
          </w:rPr>
        </w:r>
        <w:r>
          <w:rPr>
            <w:noProof/>
            <w:webHidden/>
          </w:rPr>
          <w:fldChar w:fldCharType="separate"/>
        </w:r>
        <w:r>
          <w:rPr>
            <w:noProof/>
            <w:webHidden/>
          </w:rPr>
          <w:t>16</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58" w:history="1">
        <w:r w:rsidRPr="0046086B">
          <w:rPr>
            <w:rStyle w:val="Hyperlink"/>
            <w:rFonts w:eastAsia="Times New Roman"/>
            <w:noProof/>
          </w:rPr>
          <w:t>1.3 Research Objectives</w:t>
        </w:r>
        <w:r>
          <w:rPr>
            <w:noProof/>
            <w:webHidden/>
          </w:rPr>
          <w:tab/>
        </w:r>
        <w:r>
          <w:rPr>
            <w:noProof/>
            <w:webHidden/>
          </w:rPr>
          <w:fldChar w:fldCharType="begin"/>
        </w:r>
        <w:r>
          <w:rPr>
            <w:noProof/>
            <w:webHidden/>
          </w:rPr>
          <w:instrText xml:space="preserve"> PAGEREF _Toc240737058 \h </w:instrText>
        </w:r>
        <w:r>
          <w:rPr>
            <w:noProof/>
            <w:webHidden/>
          </w:rPr>
        </w:r>
        <w:r>
          <w:rPr>
            <w:noProof/>
            <w:webHidden/>
          </w:rPr>
          <w:fldChar w:fldCharType="separate"/>
        </w:r>
        <w:r>
          <w:rPr>
            <w:noProof/>
            <w:webHidden/>
          </w:rPr>
          <w:t>18</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59" w:history="1">
        <w:r w:rsidRPr="0046086B">
          <w:rPr>
            <w:rStyle w:val="Hyperlink"/>
            <w:rFonts w:eastAsia="Times New Roman"/>
            <w:noProof/>
          </w:rPr>
          <w:t>1.3.1 General Objective</w:t>
        </w:r>
        <w:r>
          <w:rPr>
            <w:noProof/>
            <w:webHidden/>
          </w:rPr>
          <w:tab/>
        </w:r>
        <w:r>
          <w:rPr>
            <w:noProof/>
            <w:webHidden/>
          </w:rPr>
          <w:fldChar w:fldCharType="begin"/>
        </w:r>
        <w:r>
          <w:rPr>
            <w:noProof/>
            <w:webHidden/>
          </w:rPr>
          <w:instrText xml:space="preserve"> PAGEREF _Toc240737059 \h </w:instrText>
        </w:r>
        <w:r>
          <w:rPr>
            <w:noProof/>
            <w:webHidden/>
          </w:rPr>
        </w:r>
        <w:r>
          <w:rPr>
            <w:noProof/>
            <w:webHidden/>
          </w:rPr>
          <w:fldChar w:fldCharType="separate"/>
        </w:r>
        <w:r>
          <w:rPr>
            <w:noProof/>
            <w:webHidden/>
          </w:rPr>
          <w:t>18</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60" w:history="1">
        <w:r w:rsidRPr="0046086B">
          <w:rPr>
            <w:rStyle w:val="Hyperlink"/>
            <w:rFonts w:eastAsia="Times New Roman"/>
            <w:noProof/>
          </w:rPr>
          <w:t>1.3.2 Specific Objectives</w:t>
        </w:r>
        <w:r>
          <w:rPr>
            <w:noProof/>
            <w:webHidden/>
          </w:rPr>
          <w:tab/>
        </w:r>
        <w:r>
          <w:rPr>
            <w:noProof/>
            <w:webHidden/>
          </w:rPr>
          <w:fldChar w:fldCharType="begin"/>
        </w:r>
        <w:r>
          <w:rPr>
            <w:noProof/>
            <w:webHidden/>
          </w:rPr>
          <w:instrText xml:space="preserve"> PAGEREF _Toc240737060 \h </w:instrText>
        </w:r>
        <w:r>
          <w:rPr>
            <w:noProof/>
            <w:webHidden/>
          </w:rPr>
        </w:r>
        <w:r>
          <w:rPr>
            <w:noProof/>
            <w:webHidden/>
          </w:rPr>
          <w:fldChar w:fldCharType="separate"/>
        </w:r>
        <w:r>
          <w:rPr>
            <w:noProof/>
            <w:webHidden/>
          </w:rPr>
          <w:t>18</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61" w:history="1">
        <w:r w:rsidRPr="0046086B">
          <w:rPr>
            <w:rStyle w:val="Hyperlink"/>
            <w:rFonts w:eastAsia="Times New Roman"/>
            <w:noProof/>
          </w:rPr>
          <w:t>1.4 Research Questions</w:t>
        </w:r>
        <w:r>
          <w:rPr>
            <w:noProof/>
            <w:webHidden/>
          </w:rPr>
          <w:tab/>
        </w:r>
        <w:r>
          <w:rPr>
            <w:noProof/>
            <w:webHidden/>
          </w:rPr>
          <w:fldChar w:fldCharType="begin"/>
        </w:r>
        <w:r>
          <w:rPr>
            <w:noProof/>
            <w:webHidden/>
          </w:rPr>
          <w:instrText xml:space="preserve"> PAGEREF _Toc240737061 \h </w:instrText>
        </w:r>
        <w:r>
          <w:rPr>
            <w:noProof/>
            <w:webHidden/>
          </w:rPr>
        </w:r>
        <w:r>
          <w:rPr>
            <w:noProof/>
            <w:webHidden/>
          </w:rPr>
          <w:fldChar w:fldCharType="separate"/>
        </w:r>
        <w:r>
          <w:rPr>
            <w:noProof/>
            <w:webHidden/>
          </w:rPr>
          <w:t>19</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62" w:history="1">
        <w:r w:rsidRPr="0046086B">
          <w:rPr>
            <w:rStyle w:val="Hyperlink"/>
            <w:rFonts w:eastAsia="Times New Roman"/>
            <w:noProof/>
          </w:rPr>
          <w:t>1.5 Justification</w:t>
        </w:r>
        <w:r>
          <w:rPr>
            <w:noProof/>
            <w:webHidden/>
          </w:rPr>
          <w:tab/>
        </w:r>
        <w:r>
          <w:rPr>
            <w:noProof/>
            <w:webHidden/>
          </w:rPr>
          <w:fldChar w:fldCharType="begin"/>
        </w:r>
        <w:r>
          <w:rPr>
            <w:noProof/>
            <w:webHidden/>
          </w:rPr>
          <w:instrText xml:space="preserve"> PAGEREF _Toc240737062 \h </w:instrText>
        </w:r>
        <w:r>
          <w:rPr>
            <w:noProof/>
            <w:webHidden/>
          </w:rPr>
        </w:r>
        <w:r>
          <w:rPr>
            <w:noProof/>
            <w:webHidden/>
          </w:rPr>
          <w:fldChar w:fldCharType="separate"/>
        </w:r>
        <w:r>
          <w:rPr>
            <w:noProof/>
            <w:webHidden/>
          </w:rPr>
          <w:t>20</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63" w:history="1">
        <w:r w:rsidRPr="0046086B">
          <w:rPr>
            <w:rStyle w:val="Hyperlink"/>
            <w:rFonts w:eastAsia="Times New Roman"/>
            <w:noProof/>
          </w:rPr>
          <w:t>1.6 Scope</w:t>
        </w:r>
        <w:r>
          <w:rPr>
            <w:noProof/>
            <w:webHidden/>
          </w:rPr>
          <w:tab/>
        </w:r>
        <w:r>
          <w:rPr>
            <w:noProof/>
            <w:webHidden/>
          </w:rPr>
          <w:fldChar w:fldCharType="begin"/>
        </w:r>
        <w:r>
          <w:rPr>
            <w:noProof/>
            <w:webHidden/>
          </w:rPr>
          <w:instrText xml:space="preserve"> PAGEREF _Toc240737063 \h </w:instrText>
        </w:r>
        <w:r>
          <w:rPr>
            <w:noProof/>
            <w:webHidden/>
          </w:rPr>
        </w:r>
        <w:r>
          <w:rPr>
            <w:noProof/>
            <w:webHidden/>
          </w:rPr>
          <w:fldChar w:fldCharType="separate"/>
        </w:r>
        <w:r>
          <w:rPr>
            <w:noProof/>
            <w:webHidden/>
          </w:rPr>
          <w:t>22</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64" w:history="1">
        <w:r w:rsidRPr="0046086B">
          <w:rPr>
            <w:rStyle w:val="Hyperlink"/>
            <w:rFonts w:eastAsia="Times New Roman"/>
            <w:noProof/>
          </w:rPr>
          <w:t>1.7 Limitations and Delimitations</w:t>
        </w:r>
        <w:r>
          <w:rPr>
            <w:noProof/>
            <w:webHidden/>
          </w:rPr>
          <w:tab/>
        </w:r>
        <w:r>
          <w:rPr>
            <w:noProof/>
            <w:webHidden/>
          </w:rPr>
          <w:fldChar w:fldCharType="begin"/>
        </w:r>
        <w:r>
          <w:rPr>
            <w:noProof/>
            <w:webHidden/>
          </w:rPr>
          <w:instrText xml:space="preserve"> PAGEREF _Toc240737064 \h </w:instrText>
        </w:r>
        <w:r>
          <w:rPr>
            <w:noProof/>
            <w:webHidden/>
          </w:rPr>
        </w:r>
        <w:r>
          <w:rPr>
            <w:noProof/>
            <w:webHidden/>
          </w:rPr>
          <w:fldChar w:fldCharType="separate"/>
        </w:r>
        <w:r>
          <w:rPr>
            <w:noProof/>
            <w:webHidden/>
          </w:rPr>
          <w:t>23</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65" w:history="1">
        <w:r w:rsidRPr="0046086B">
          <w:rPr>
            <w:rStyle w:val="Hyperlink"/>
            <w:rFonts w:eastAsia="Times New Roman"/>
            <w:noProof/>
          </w:rPr>
          <w:t>1.7.1 Delimitations</w:t>
        </w:r>
        <w:r>
          <w:rPr>
            <w:noProof/>
            <w:webHidden/>
          </w:rPr>
          <w:tab/>
        </w:r>
        <w:r>
          <w:rPr>
            <w:noProof/>
            <w:webHidden/>
          </w:rPr>
          <w:fldChar w:fldCharType="begin"/>
        </w:r>
        <w:r>
          <w:rPr>
            <w:noProof/>
            <w:webHidden/>
          </w:rPr>
          <w:instrText xml:space="preserve"> PAGEREF _Toc240737065 \h </w:instrText>
        </w:r>
        <w:r>
          <w:rPr>
            <w:noProof/>
            <w:webHidden/>
          </w:rPr>
        </w:r>
        <w:r>
          <w:rPr>
            <w:noProof/>
            <w:webHidden/>
          </w:rPr>
          <w:fldChar w:fldCharType="separate"/>
        </w:r>
        <w:r>
          <w:rPr>
            <w:noProof/>
            <w:webHidden/>
          </w:rPr>
          <w:t>23</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66" w:history="1">
        <w:r w:rsidRPr="0046086B">
          <w:rPr>
            <w:rStyle w:val="Hyperlink"/>
            <w:rFonts w:eastAsia="Times New Roman"/>
            <w:noProof/>
          </w:rPr>
          <w:t>1.7.2 Limitations</w:t>
        </w:r>
        <w:r>
          <w:rPr>
            <w:noProof/>
            <w:webHidden/>
          </w:rPr>
          <w:tab/>
        </w:r>
        <w:r>
          <w:rPr>
            <w:noProof/>
            <w:webHidden/>
          </w:rPr>
          <w:fldChar w:fldCharType="begin"/>
        </w:r>
        <w:r>
          <w:rPr>
            <w:noProof/>
            <w:webHidden/>
          </w:rPr>
          <w:instrText xml:space="preserve"> PAGEREF _Toc240737066 \h </w:instrText>
        </w:r>
        <w:r>
          <w:rPr>
            <w:noProof/>
            <w:webHidden/>
          </w:rPr>
        </w:r>
        <w:r>
          <w:rPr>
            <w:noProof/>
            <w:webHidden/>
          </w:rPr>
          <w:fldChar w:fldCharType="separate"/>
        </w:r>
        <w:r>
          <w:rPr>
            <w:noProof/>
            <w:webHidden/>
          </w:rPr>
          <w:t>24</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067" w:history="1">
        <w:r w:rsidRPr="0046086B">
          <w:rPr>
            <w:rStyle w:val="Hyperlink"/>
            <w:rFonts w:eastAsia="Times New Roman"/>
            <w:noProof/>
          </w:rPr>
          <w:t>Chapter 2: Literature Review</w:t>
        </w:r>
        <w:r>
          <w:rPr>
            <w:noProof/>
            <w:webHidden/>
          </w:rPr>
          <w:tab/>
        </w:r>
        <w:r>
          <w:rPr>
            <w:noProof/>
            <w:webHidden/>
          </w:rPr>
          <w:fldChar w:fldCharType="begin"/>
        </w:r>
        <w:r>
          <w:rPr>
            <w:noProof/>
            <w:webHidden/>
          </w:rPr>
          <w:instrText xml:space="preserve"> PAGEREF _Toc240737067 \h </w:instrText>
        </w:r>
        <w:r>
          <w:rPr>
            <w:noProof/>
            <w:webHidden/>
          </w:rPr>
        </w:r>
        <w:r>
          <w:rPr>
            <w:noProof/>
            <w:webHidden/>
          </w:rPr>
          <w:fldChar w:fldCharType="separate"/>
        </w:r>
        <w:r>
          <w:rPr>
            <w:noProof/>
            <w:webHidden/>
          </w:rPr>
          <w:t>26</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68" w:history="1">
        <w:r w:rsidRPr="0046086B">
          <w:rPr>
            <w:rStyle w:val="Hyperlink"/>
            <w:rFonts w:eastAsia="Times New Roman"/>
            <w:noProof/>
          </w:rPr>
          <w:t>2.1 Introduction</w:t>
        </w:r>
        <w:r>
          <w:rPr>
            <w:noProof/>
            <w:webHidden/>
          </w:rPr>
          <w:tab/>
        </w:r>
        <w:r>
          <w:rPr>
            <w:noProof/>
            <w:webHidden/>
          </w:rPr>
          <w:fldChar w:fldCharType="begin"/>
        </w:r>
        <w:r>
          <w:rPr>
            <w:noProof/>
            <w:webHidden/>
          </w:rPr>
          <w:instrText xml:space="preserve"> PAGEREF _Toc240737068 \h </w:instrText>
        </w:r>
        <w:r>
          <w:rPr>
            <w:noProof/>
            <w:webHidden/>
          </w:rPr>
        </w:r>
        <w:r>
          <w:rPr>
            <w:noProof/>
            <w:webHidden/>
          </w:rPr>
          <w:fldChar w:fldCharType="separate"/>
        </w:r>
        <w:r>
          <w:rPr>
            <w:noProof/>
            <w:webHidden/>
          </w:rPr>
          <w:t>26</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69" w:history="1">
        <w:r w:rsidRPr="0046086B">
          <w:rPr>
            <w:rStyle w:val="Hyperlink"/>
            <w:rFonts w:eastAsia="Times New Roman"/>
            <w:noProof/>
          </w:rPr>
          <w:t>2.2 Financial Exclusion and Credit Access Challenges for Smallholder Farmers</w:t>
        </w:r>
        <w:r>
          <w:rPr>
            <w:noProof/>
            <w:webHidden/>
          </w:rPr>
          <w:tab/>
        </w:r>
        <w:r>
          <w:rPr>
            <w:noProof/>
            <w:webHidden/>
          </w:rPr>
          <w:fldChar w:fldCharType="begin"/>
        </w:r>
        <w:r>
          <w:rPr>
            <w:noProof/>
            <w:webHidden/>
          </w:rPr>
          <w:instrText xml:space="preserve"> PAGEREF _Toc240737069 \h </w:instrText>
        </w:r>
        <w:r>
          <w:rPr>
            <w:noProof/>
            <w:webHidden/>
          </w:rPr>
        </w:r>
        <w:r>
          <w:rPr>
            <w:noProof/>
            <w:webHidden/>
          </w:rPr>
          <w:fldChar w:fldCharType="separate"/>
        </w:r>
        <w:r>
          <w:rPr>
            <w:noProof/>
            <w:webHidden/>
          </w:rPr>
          <w:t>26</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0" w:history="1">
        <w:r w:rsidRPr="0046086B">
          <w:rPr>
            <w:rStyle w:val="Hyperlink"/>
            <w:rFonts w:eastAsia="Times New Roman"/>
            <w:noProof/>
          </w:rPr>
          <w:t>2.3 Alternative and Algorithmic Credit Scoring Using Non-Traditional Data</w:t>
        </w:r>
        <w:r>
          <w:rPr>
            <w:noProof/>
            <w:webHidden/>
          </w:rPr>
          <w:tab/>
        </w:r>
        <w:r>
          <w:rPr>
            <w:noProof/>
            <w:webHidden/>
          </w:rPr>
          <w:fldChar w:fldCharType="begin"/>
        </w:r>
        <w:r>
          <w:rPr>
            <w:noProof/>
            <w:webHidden/>
          </w:rPr>
          <w:instrText xml:space="preserve"> PAGEREF _Toc240737070 \h </w:instrText>
        </w:r>
        <w:r>
          <w:rPr>
            <w:noProof/>
            <w:webHidden/>
          </w:rPr>
        </w:r>
        <w:r>
          <w:rPr>
            <w:noProof/>
            <w:webHidden/>
          </w:rPr>
          <w:fldChar w:fldCharType="separate"/>
        </w:r>
        <w:r>
          <w:rPr>
            <w:noProof/>
            <w:webHidden/>
          </w:rPr>
          <w:t>27</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1" w:history="1">
        <w:r w:rsidRPr="0046086B">
          <w:rPr>
            <w:rStyle w:val="Hyperlink"/>
            <w:rFonts w:eastAsia="Times New Roman"/>
            <w:noProof/>
          </w:rPr>
          <w:t>2.4 Unsupervised Machine Learning for Scoring and Segmentation</w:t>
        </w:r>
        <w:r>
          <w:rPr>
            <w:noProof/>
            <w:webHidden/>
          </w:rPr>
          <w:tab/>
        </w:r>
        <w:r>
          <w:rPr>
            <w:noProof/>
            <w:webHidden/>
          </w:rPr>
          <w:fldChar w:fldCharType="begin"/>
        </w:r>
        <w:r>
          <w:rPr>
            <w:noProof/>
            <w:webHidden/>
          </w:rPr>
          <w:instrText xml:space="preserve"> PAGEREF _Toc240737071 \h </w:instrText>
        </w:r>
        <w:r>
          <w:rPr>
            <w:noProof/>
            <w:webHidden/>
          </w:rPr>
        </w:r>
        <w:r>
          <w:rPr>
            <w:noProof/>
            <w:webHidden/>
          </w:rPr>
          <w:fldChar w:fldCharType="separate"/>
        </w:r>
        <w:r>
          <w:rPr>
            <w:noProof/>
            <w:webHidden/>
          </w:rPr>
          <w:t>29</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2" w:history="1">
        <w:r w:rsidRPr="0046086B">
          <w:rPr>
            <w:rStyle w:val="Hyperlink"/>
            <w:rFonts w:eastAsia="Times New Roman"/>
            <w:noProof/>
          </w:rPr>
          <w:t>2.5 Explainable AI in Financial and Agricultural Decision Support</w:t>
        </w:r>
        <w:r>
          <w:rPr>
            <w:noProof/>
            <w:webHidden/>
          </w:rPr>
          <w:tab/>
        </w:r>
        <w:r>
          <w:rPr>
            <w:noProof/>
            <w:webHidden/>
          </w:rPr>
          <w:fldChar w:fldCharType="begin"/>
        </w:r>
        <w:r>
          <w:rPr>
            <w:noProof/>
            <w:webHidden/>
          </w:rPr>
          <w:instrText xml:space="preserve"> PAGEREF _Toc240737072 \h </w:instrText>
        </w:r>
        <w:r>
          <w:rPr>
            <w:noProof/>
            <w:webHidden/>
          </w:rPr>
        </w:r>
        <w:r>
          <w:rPr>
            <w:noProof/>
            <w:webHidden/>
          </w:rPr>
          <w:fldChar w:fldCharType="separate"/>
        </w:r>
        <w:r>
          <w:rPr>
            <w:noProof/>
            <w:webHidden/>
          </w:rPr>
          <w:t>29</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3" w:history="1">
        <w:r w:rsidRPr="0046086B">
          <w:rPr>
            <w:rStyle w:val="Hyperlink"/>
            <w:rFonts w:eastAsia="Times New Roman"/>
            <w:noProof/>
          </w:rPr>
          <w:t>2.6 Machine Learning for Livestock Production Forecasting</w:t>
        </w:r>
        <w:r>
          <w:rPr>
            <w:noProof/>
            <w:webHidden/>
          </w:rPr>
          <w:tab/>
        </w:r>
        <w:r>
          <w:rPr>
            <w:noProof/>
            <w:webHidden/>
          </w:rPr>
          <w:fldChar w:fldCharType="begin"/>
        </w:r>
        <w:r>
          <w:rPr>
            <w:noProof/>
            <w:webHidden/>
          </w:rPr>
          <w:instrText xml:space="preserve"> PAGEREF _Toc240737073 \h </w:instrText>
        </w:r>
        <w:r>
          <w:rPr>
            <w:noProof/>
            <w:webHidden/>
          </w:rPr>
        </w:r>
        <w:r>
          <w:rPr>
            <w:noProof/>
            <w:webHidden/>
          </w:rPr>
          <w:fldChar w:fldCharType="separate"/>
        </w:r>
        <w:r>
          <w:rPr>
            <w:noProof/>
            <w:webHidden/>
          </w:rPr>
          <w:t>30</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4" w:history="1">
        <w:r w:rsidRPr="0046086B">
          <w:rPr>
            <w:rStyle w:val="Hyperlink"/>
            <w:rFonts w:eastAsia="Times New Roman"/>
            <w:noProof/>
          </w:rPr>
          <w:t>2.7 Blockchain Technology for Agricultural Traceability and Trust</w:t>
        </w:r>
        <w:r>
          <w:rPr>
            <w:noProof/>
            <w:webHidden/>
          </w:rPr>
          <w:tab/>
        </w:r>
        <w:r>
          <w:rPr>
            <w:noProof/>
            <w:webHidden/>
          </w:rPr>
          <w:fldChar w:fldCharType="begin"/>
        </w:r>
        <w:r>
          <w:rPr>
            <w:noProof/>
            <w:webHidden/>
          </w:rPr>
          <w:instrText xml:space="preserve"> PAGEREF _Toc240737074 \h </w:instrText>
        </w:r>
        <w:r>
          <w:rPr>
            <w:noProof/>
            <w:webHidden/>
          </w:rPr>
        </w:r>
        <w:r>
          <w:rPr>
            <w:noProof/>
            <w:webHidden/>
          </w:rPr>
          <w:fldChar w:fldCharType="separate"/>
        </w:r>
        <w:r>
          <w:rPr>
            <w:noProof/>
            <w:webHidden/>
          </w:rPr>
          <w:t>31</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5" w:history="1">
        <w:r w:rsidRPr="0046086B">
          <w:rPr>
            <w:rStyle w:val="Hyperlink"/>
            <w:rFonts w:eastAsia="Times New Roman"/>
            <w:noProof/>
          </w:rPr>
          <w:t>2.8 Tokenised Incentives for Data Contribution</w:t>
        </w:r>
        <w:r>
          <w:rPr>
            <w:noProof/>
            <w:webHidden/>
          </w:rPr>
          <w:tab/>
        </w:r>
        <w:r>
          <w:rPr>
            <w:noProof/>
            <w:webHidden/>
          </w:rPr>
          <w:fldChar w:fldCharType="begin"/>
        </w:r>
        <w:r>
          <w:rPr>
            <w:noProof/>
            <w:webHidden/>
          </w:rPr>
          <w:instrText xml:space="preserve"> PAGEREF _Toc240737075 \h </w:instrText>
        </w:r>
        <w:r>
          <w:rPr>
            <w:noProof/>
            <w:webHidden/>
          </w:rPr>
        </w:r>
        <w:r>
          <w:rPr>
            <w:noProof/>
            <w:webHidden/>
          </w:rPr>
          <w:fldChar w:fldCharType="separate"/>
        </w:r>
        <w:r>
          <w:rPr>
            <w:noProof/>
            <w:webHidden/>
          </w:rPr>
          <w:t>32</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6" w:history="1">
        <w:r w:rsidRPr="0046086B">
          <w:rPr>
            <w:rStyle w:val="Hyperlink"/>
            <w:rFonts w:eastAsia="Times New Roman"/>
            <w:noProof/>
          </w:rPr>
          <w:t>2.9 Progressive Web Applications and Mobile Messaging for Low-Connectivity Rural Contexts</w:t>
        </w:r>
        <w:r>
          <w:rPr>
            <w:noProof/>
            <w:webHidden/>
          </w:rPr>
          <w:tab/>
        </w:r>
        <w:r>
          <w:rPr>
            <w:noProof/>
            <w:webHidden/>
          </w:rPr>
          <w:fldChar w:fldCharType="begin"/>
        </w:r>
        <w:r>
          <w:rPr>
            <w:noProof/>
            <w:webHidden/>
          </w:rPr>
          <w:instrText xml:space="preserve"> PAGEREF _Toc240737076 \h </w:instrText>
        </w:r>
        <w:r>
          <w:rPr>
            <w:noProof/>
            <w:webHidden/>
          </w:rPr>
        </w:r>
        <w:r>
          <w:rPr>
            <w:noProof/>
            <w:webHidden/>
          </w:rPr>
          <w:fldChar w:fldCharType="separate"/>
        </w:r>
        <w:r>
          <w:rPr>
            <w:noProof/>
            <w:webHidden/>
          </w:rPr>
          <w:t>33</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7" w:history="1">
        <w:r w:rsidRPr="0046086B">
          <w:rPr>
            <w:rStyle w:val="Hyperlink"/>
            <w:rFonts w:eastAsia="Times New Roman"/>
            <w:noProof/>
          </w:rPr>
          <w:t>2.10 Farm Management Information Systems: Current State and Gaps for Smallholders</w:t>
        </w:r>
        <w:r>
          <w:rPr>
            <w:noProof/>
            <w:webHidden/>
          </w:rPr>
          <w:tab/>
        </w:r>
        <w:r>
          <w:rPr>
            <w:noProof/>
            <w:webHidden/>
          </w:rPr>
          <w:fldChar w:fldCharType="begin"/>
        </w:r>
        <w:r>
          <w:rPr>
            <w:noProof/>
            <w:webHidden/>
          </w:rPr>
          <w:instrText xml:space="preserve"> PAGEREF _Toc240737077 \h </w:instrText>
        </w:r>
        <w:r>
          <w:rPr>
            <w:noProof/>
            <w:webHidden/>
          </w:rPr>
        </w:r>
        <w:r>
          <w:rPr>
            <w:noProof/>
            <w:webHidden/>
          </w:rPr>
          <w:fldChar w:fldCharType="separate"/>
        </w:r>
        <w:r>
          <w:rPr>
            <w:noProof/>
            <w:webHidden/>
          </w:rPr>
          <w:t>34</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8" w:history="1">
        <w:r w:rsidRPr="0046086B">
          <w:rPr>
            <w:rStyle w:val="Hyperlink"/>
            <w:rFonts w:eastAsia="Times New Roman"/>
            <w:noProof/>
          </w:rPr>
          <w:t>2.11 Synthesis of Key Challenges in Current Literature</w:t>
        </w:r>
        <w:r>
          <w:rPr>
            <w:noProof/>
            <w:webHidden/>
          </w:rPr>
          <w:tab/>
        </w:r>
        <w:r>
          <w:rPr>
            <w:noProof/>
            <w:webHidden/>
          </w:rPr>
          <w:fldChar w:fldCharType="begin"/>
        </w:r>
        <w:r>
          <w:rPr>
            <w:noProof/>
            <w:webHidden/>
          </w:rPr>
          <w:instrText xml:space="preserve"> PAGEREF _Toc240737078 \h </w:instrText>
        </w:r>
        <w:r>
          <w:rPr>
            <w:noProof/>
            <w:webHidden/>
          </w:rPr>
        </w:r>
        <w:r>
          <w:rPr>
            <w:noProof/>
            <w:webHidden/>
          </w:rPr>
          <w:fldChar w:fldCharType="separate"/>
        </w:r>
        <w:r>
          <w:rPr>
            <w:noProof/>
            <w:webHidden/>
          </w:rPr>
          <w:t>35</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79" w:history="1">
        <w:r w:rsidRPr="0046086B">
          <w:rPr>
            <w:rStyle w:val="Hyperlink"/>
            <w:rFonts w:eastAsia="Times New Roman"/>
            <w:noProof/>
          </w:rPr>
          <w:t>2.12 Related Works</w:t>
        </w:r>
        <w:r>
          <w:rPr>
            <w:noProof/>
            <w:webHidden/>
          </w:rPr>
          <w:tab/>
        </w:r>
        <w:r>
          <w:rPr>
            <w:noProof/>
            <w:webHidden/>
          </w:rPr>
          <w:fldChar w:fldCharType="begin"/>
        </w:r>
        <w:r>
          <w:rPr>
            <w:noProof/>
            <w:webHidden/>
          </w:rPr>
          <w:instrText xml:space="preserve"> PAGEREF _Toc240737079 \h </w:instrText>
        </w:r>
        <w:r>
          <w:rPr>
            <w:noProof/>
            <w:webHidden/>
          </w:rPr>
        </w:r>
        <w:r>
          <w:rPr>
            <w:noProof/>
            <w:webHidden/>
          </w:rPr>
          <w:fldChar w:fldCharType="separate"/>
        </w:r>
        <w:r>
          <w:rPr>
            <w:noProof/>
            <w:webHidden/>
          </w:rPr>
          <w:t>36</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80" w:history="1">
        <w:r w:rsidRPr="0046086B">
          <w:rPr>
            <w:rStyle w:val="Hyperlink"/>
            <w:rFonts w:eastAsia="Times New Roman"/>
            <w:noProof/>
          </w:rPr>
          <w:t>2.13 Research Gaps Identified</w:t>
        </w:r>
        <w:r>
          <w:rPr>
            <w:noProof/>
            <w:webHidden/>
          </w:rPr>
          <w:tab/>
        </w:r>
        <w:r>
          <w:rPr>
            <w:noProof/>
            <w:webHidden/>
          </w:rPr>
          <w:fldChar w:fldCharType="begin"/>
        </w:r>
        <w:r>
          <w:rPr>
            <w:noProof/>
            <w:webHidden/>
          </w:rPr>
          <w:instrText xml:space="preserve"> PAGEREF _Toc240737080 \h </w:instrText>
        </w:r>
        <w:r>
          <w:rPr>
            <w:noProof/>
            <w:webHidden/>
          </w:rPr>
        </w:r>
        <w:r>
          <w:rPr>
            <w:noProof/>
            <w:webHidden/>
          </w:rPr>
          <w:fldChar w:fldCharType="separate"/>
        </w:r>
        <w:r>
          <w:rPr>
            <w:noProof/>
            <w:webHidden/>
          </w:rPr>
          <w:t>38</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81" w:history="1">
        <w:r w:rsidRPr="0046086B">
          <w:rPr>
            <w:rStyle w:val="Hyperlink"/>
            <w:rFonts w:eastAsia="Times New Roman"/>
            <w:noProof/>
          </w:rPr>
          <w:t>2.14 Conceptual Framework</w:t>
        </w:r>
        <w:r>
          <w:rPr>
            <w:noProof/>
            <w:webHidden/>
          </w:rPr>
          <w:tab/>
        </w:r>
        <w:r>
          <w:rPr>
            <w:noProof/>
            <w:webHidden/>
          </w:rPr>
          <w:fldChar w:fldCharType="begin"/>
        </w:r>
        <w:r>
          <w:rPr>
            <w:noProof/>
            <w:webHidden/>
          </w:rPr>
          <w:instrText xml:space="preserve"> PAGEREF _Toc240737081 \h </w:instrText>
        </w:r>
        <w:r>
          <w:rPr>
            <w:noProof/>
            <w:webHidden/>
          </w:rPr>
        </w:r>
        <w:r>
          <w:rPr>
            <w:noProof/>
            <w:webHidden/>
          </w:rPr>
          <w:fldChar w:fldCharType="separate"/>
        </w:r>
        <w:r>
          <w:rPr>
            <w:noProof/>
            <w:webHidden/>
          </w:rPr>
          <w:t>39</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082" w:history="1">
        <w:r w:rsidRPr="0046086B">
          <w:rPr>
            <w:rStyle w:val="Hyperlink"/>
            <w:rFonts w:eastAsia="Times New Roman"/>
            <w:noProof/>
          </w:rPr>
          <w:t>Chapter 3: Methodology</w:t>
        </w:r>
        <w:r>
          <w:rPr>
            <w:noProof/>
            <w:webHidden/>
          </w:rPr>
          <w:tab/>
        </w:r>
        <w:r>
          <w:rPr>
            <w:noProof/>
            <w:webHidden/>
          </w:rPr>
          <w:fldChar w:fldCharType="begin"/>
        </w:r>
        <w:r>
          <w:rPr>
            <w:noProof/>
            <w:webHidden/>
          </w:rPr>
          <w:instrText xml:space="preserve"> PAGEREF _Toc240737082 \h </w:instrText>
        </w:r>
        <w:r>
          <w:rPr>
            <w:noProof/>
            <w:webHidden/>
          </w:rPr>
        </w:r>
        <w:r>
          <w:rPr>
            <w:noProof/>
            <w:webHidden/>
          </w:rPr>
          <w:fldChar w:fldCharType="separate"/>
        </w:r>
        <w:r>
          <w:rPr>
            <w:noProof/>
            <w:webHidden/>
          </w:rPr>
          <w:t>43</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83" w:history="1">
        <w:r w:rsidRPr="0046086B">
          <w:rPr>
            <w:rStyle w:val="Hyperlink"/>
            <w:rFonts w:eastAsia="Times New Roman"/>
            <w:noProof/>
          </w:rPr>
          <w:t>3.1 Introduction</w:t>
        </w:r>
        <w:r>
          <w:rPr>
            <w:noProof/>
            <w:webHidden/>
          </w:rPr>
          <w:tab/>
        </w:r>
        <w:r>
          <w:rPr>
            <w:noProof/>
            <w:webHidden/>
          </w:rPr>
          <w:fldChar w:fldCharType="begin"/>
        </w:r>
        <w:r>
          <w:rPr>
            <w:noProof/>
            <w:webHidden/>
          </w:rPr>
          <w:instrText xml:space="preserve"> PAGEREF _Toc240737083 \h </w:instrText>
        </w:r>
        <w:r>
          <w:rPr>
            <w:noProof/>
            <w:webHidden/>
          </w:rPr>
        </w:r>
        <w:r>
          <w:rPr>
            <w:noProof/>
            <w:webHidden/>
          </w:rPr>
          <w:fldChar w:fldCharType="separate"/>
        </w:r>
        <w:r>
          <w:rPr>
            <w:noProof/>
            <w:webHidden/>
          </w:rPr>
          <w:t>43</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84" w:history="1">
        <w:r w:rsidRPr="0046086B">
          <w:rPr>
            <w:rStyle w:val="Hyperlink"/>
            <w:rFonts w:eastAsia="Times New Roman"/>
            <w:noProof/>
          </w:rPr>
          <w:t>3.2 Research Paradigm</w:t>
        </w:r>
        <w:r>
          <w:rPr>
            <w:noProof/>
            <w:webHidden/>
          </w:rPr>
          <w:tab/>
        </w:r>
        <w:r>
          <w:rPr>
            <w:noProof/>
            <w:webHidden/>
          </w:rPr>
          <w:fldChar w:fldCharType="begin"/>
        </w:r>
        <w:r>
          <w:rPr>
            <w:noProof/>
            <w:webHidden/>
          </w:rPr>
          <w:instrText xml:space="preserve"> PAGEREF _Toc240737084 \h </w:instrText>
        </w:r>
        <w:r>
          <w:rPr>
            <w:noProof/>
            <w:webHidden/>
          </w:rPr>
        </w:r>
        <w:r>
          <w:rPr>
            <w:noProof/>
            <w:webHidden/>
          </w:rPr>
          <w:fldChar w:fldCharType="separate"/>
        </w:r>
        <w:r>
          <w:rPr>
            <w:noProof/>
            <w:webHidden/>
          </w:rPr>
          <w:t>43</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85" w:history="1">
        <w:r w:rsidRPr="0046086B">
          <w:rPr>
            <w:rStyle w:val="Hyperlink"/>
            <w:rFonts w:eastAsia="Times New Roman"/>
            <w:noProof/>
          </w:rPr>
          <w:t>3.2.1 Data Acquisition</w:t>
        </w:r>
        <w:r>
          <w:rPr>
            <w:noProof/>
            <w:webHidden/>
          </w:rPr>
          <w:tab/>
        </w:r>
        <w:r>
          <w:rPr>
            <w:noProof/>
            <w:webHidden/>
          </w:rPr>
          <w:fldChar w:fldCharType="begin"/>
        </w:r>
        <w:r>
          <w:rPr>
            <w:noProof/>
            <w:webHidden/>
          </w:rPr>
          <w:instrText xml:space="preserve"> PAGEREF _Toc240737085 \h </w:instrText>
        </w:r>
        <w:r>
          <w:rPr>
            <w:noProof/>
            <w:webHidden/>
          </w:rPr>
        </w:r>
        <w:r>
          <w:rPr>
            <w:noProof/>
            <w:webHidden/>
          </w:rPr>
          <w:fldChar w:fldCharType="separate"/>
        </w:r>
        <w:r>
          <w:rPr>
            <w:noProof/>
            <w:webHidden/>
          </w:rPr>
          <w:t>43</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86" w:history="1">
        <w:r w:rsidRPr="0046086B">
          <w:rPr>
            <w:rStyle w:val="Hyperlink"/>
            <w:rFonts w:eastAsia="Times New Roman"/>
            <w:noProof/>
          </w:rPr>
          <w:t>3.2.2 Data Processing</w:t>
        </w:r>
        <w:r>
          <w:rPr>
            <w:noProof/>
            <w:webHidden/>
          </w:rPr>
          <w:tab/>
        </w:r>
        <w:r>
          <w:rPr>
            <w:noProof/>
            <w:webHidden/>
          </w:rPr>
          <w:fldChar w:fldCharType="begin"/>
        </w:r>
        <w:r>
          <w:rPr>
            <w:noProof/>
            <w:webHidden/>
          </w:rPr>
          <w:instrText xml:space="preserve"> PAGEREF _Toc240737086 \h </w:instrText>
        </w:r>
        <w:r>
          <w:rPr>
            <w:noProof/>
            <w:webHidden/>
          </w:rPr>
        </w:r>
        <w:r>
          <w:rPr>
            <w:noProof/>
            <w:webHidden/>
          </w:rPr>
          <w:fldChar w:fldCharType="separate"/>
        </w:r>
        <w:r>
          <w:rPr>
            <w:noProof/>
            <w:webHidden/>
          </w:rPr>
          <w:t>44</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87" w:history="1">
        <w:r w:rsidRPr="0046086B">
          <w:rPr>
            <w:rStyle w:val="Hyperlink"/>
            <w:rFonts w:eastAsia="Times New Roman"/>
            <w:noProof/>
          </w:rPr>
          <w:t>3.2.3 Model Training</w:t>
        </w:r>
        <w:r>
          <w:rPr>
            <w:noProof/>
            <w:webHidden/>
          </w:rPr>
          <w:tab/>
        </w:r>
        <w:r>
          <w:rPr>
            <w:noProof/>
            <w:webHidden/>
          </w:rPr>
          <w:fldChar w:fldCharType="begin"/>
        </w:r>
        <w:r>
          <w:rPr>
            <w:noProof/>
            <w:webHidden/>
          </w:rPr>
          <w:instrText xml:space="preserve"> PAGEREF _Toc240737087 \h </w:instrText>
        </w:r>
        <w:r>
          <w:rPr>
            <w:noProof/>
            <w:webHidden/>
          </w:rPr>
        </w:r>
        <w:r>
          <w:rPr>
            <w:noProof/>
            <w:webHidden/>
          </w:rPr>
          <w:fldChar w:fldCharType="separate"/>
        </w:r>
        <w:r>
          <w:rPr>
            <w:noProof/>
            <w:webHidden/>
          </w:rPr>
          <w:t>44</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88" w:history="1">
        <w:r w:rsidRPr="0046086B">
          <w:rPr>
            <w:rStyle w:val="Hyperlink"/>
            <w:rFonts w:eastAsia="Times New Roman"/>
            <w:noProof/>
          </w:rPr>
          <w:t>3.2.4 Model Validation and Testing</w:t>
        </w:r>
        <w:r>
          <w:rPr>
            <w:noProof/>
            <w:webHidden/>
          </w:rPr>
          <w:tab/>
        </w:r>
        <w:r>
          <w:rPr>
            <w:noProof/>
            <w:webHidden/>
          </w:rPr>
          <w:fldChar w:fldCharType="begin"/>
        </w:r>
        <w:r>
          <w:rPr>
            <w:noProof/>
            <w:webHidden/>
          </w:rPr>
          <w:instrText xml:space="preserve"> PAGEREF _Toc240737088 \h </w:instrText>
        </w:r>
        <w:r>
          <w:rPr>
            <w:noProof/>
            <w:webHidden/>
          </w:rPr>
        </w:r>
        <w:r>
          <w:rPr>
            <w:noProof/>
            <w:webHidden/>
          </w:rPr>
          <w:fldChar w:fldCharType="separate"/>
        </w:r>
        <w:r>
          <w:rPr>
            <w:noProof/>
            <w:webHidden/>
          </w:rPr>
          <w:t>45</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89" w:history="1">
        <w:r w:rsidRPr="0046086B">
          <w:rPr>
            <w:rStyle w:val="Hyperlink"/>
            <w:rFonts w:eastAsia="Times New Roman"/>
            <w:noProof/>
          </w:rPr>
          <w:t>3.3 System Development Methodology and Justification</w:t>
        </w:r>
        <w:r>
          <w:rPr>
            <w:noProof/>
            <w:webHidden/>
          </w:rPr>
          <w:tab/>
        </w:r>
        <w:r>
          <w:rPr>
            <w:noProof/>
            <w:webHidden/>
          </w:rPr>
          <w:fldChar w:fldCharType="begin"/>
        </w:r>
        <w:r>
          <w:rPr>
            <w:noProof/>
            <w:webHidden/>
          </w:rPr>
          <w:instrText xml:space="preserve"> PAGEREF _Toc240737089 \h </w:instrText>
        </w:r>
        <w:r>
          <w:rPr>
            <w:noProof/>
            <w:webHidden/>
          </w:rPr>
        </w:r>
        <w:r>
          <w:rPr>
            <w:noProof/>
            <w:webHidden/>
          </w:rPr>
          <w:fldChar w:fldCharType="separate"/>
        </w:r>
        <w:r>
          <w:rPr>
            <w:noProof/>
            <w:webHidden/>
          </w:rPr>
          <w:t>46</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90" w:history="1">
        <w:r w:rsidRPr="0046086B">
          <w:rPr>
            <w:rStyle w:val="Hyperlink"/>
            <w:rFonts w:eastAsia="Times New Roman"/>
            <w:noProof/>
          </w:rPr>
          <w:t>3.3.1 Justification of Methodology</w:t>
        </w:r>
        <w:r>
          <w:rPr>
            <w:noProof/>
            <w:webHidden/>
          </w:rPr>
          <w:tab/>
        </w:r>
        <w:r>
          <w:rPr>
            <w:noProof/>
            <w:webHidden/>
          </w:rPr>
          <w:fldChar w:fldCharType="begin"/>
        </w:r>
        <w:r>
          <w:rPr>
            <w:noProof/>
            <w:webHidden/>
          </w:rPr>
          <w:instrText xml:space="preserve"> PAGEREF _Toc240737090 \h </w:instrText>
        </w:r>
        <w:r>
          <w:rPr>
            <w:noProof/>
            <w:webHidden/>
          </w:rPr>
        </w:r>
        <w:r>
          <w:rPr>
            <w:noProof/>
            <w:webHidden/>
          </w:rPr>
          <w:fldChar w:fldCharType="separate"/>
        </w:r>
        <w:r>
          <w:rPr>
            <w:noProof/>
            <w:webHidden/>
          </w:rPr>
          <w:t>46</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91" w:history="1">
        <w:r w:rsidRPr="0046086B">
          <w:rPr>
            <w:rStyle w:val="Hyperlink"/>
            <w:rFonts w:eastAsia="Times New Roman"/>
            <w:noProof/>
          </w:rPr>
          <w:t>3.3.2 Development and Feature Timeline</w:t>
        </w:r>
        <w:r>
          <w:rPr>
            <w:noProof/>
            <w:webHidden/>
          </w:rPr>
          <w:tab/>
        </w:r>
        <w:r>
          <w:rPr>
            <w:noProof/>
            <w:webHidden/>
          </w:rPr>
          <w:fldChar w:fldCharType="begin"/>
        </w:r>
        <w:r>
          <w:rPr>
            <w:noProof/>
            <w:webHidden/>
          </w:rPr>
          <w:instrText xml:space="preserve"> PAGEREF _Toc240737091 \h </w:instrText>
        </w:r>
        <w:r>
          <w:rPr>
            <w:noProof/>
            <w:webHidden/>
          </w:rPr>
        </w:r>
        <w:r>
          <w:rPr>
            <w:noProof/>
            <w:webHidden/>
          </w:rPr>
          <w:fldChar w:fldCharType="separate"/>
        </w:r>
        <w:r>
          <w:rPr>
            <w:noProof/>
            <w:webHidden/>
          </w:rPr>
          <w:t>47</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92" w:history="1">
        <w:r w:rsidRPr="0046086B">
          <w:rPr>
            <w:rStyle w:val="Hyperlink"/>
            <w:rFonts w:eastAsia="Times New Roman"/>
            <w:noProof/>
          </w:rPr>
          <w:t>3.4 System Analysis Diagrams</w:t>
        </w:r>
        <w:r>
          <w:rPr>
            <w:noProof/>
            <w:webHidden/>
          </w:rPr>
          <w:tab/>
        </w:r>
        <w:r>
          <w:rPr>
            <w:noProof/>
            <w:webHidden/>
          </w:rPr>
          <w:fldChar w:fldCharType="begin"/>
        </w:r>
        <w:r>
          <w:rPr>
            <w:noProof/>
            <w:webHidden/>
          </w:rPr>
          <w:instrText xml:space="preserve"> PAGEREF _Toc240737092 \h </w:instrText>
        </w:r>
        <w:r>
          <w:rPr>
            <w:noProof/>
            <w:webHidden/>
          </w:rPr>
        </w:r>
        <w:r>
          <w:rPr>
            <w:noProof/>
            <w:webHidden/>
          </w:rPr>
          <w:fldChar w:fldCharType="separate"/>
        </w:r>
        <w:r>
          <w:rPr>
            <w:noProof/>
            <w:webHidden/>
          </w:rPr>
          <w:t>49</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93" w:history="1">
        <w:r w:rsidRPr="0046086B">
          <w:rPr>
            <w:rStyle w:val="Hyperlink"/>
            <w:rFonts w:eastAsia="Times New Roman"/>
            <w:noProof/>
          </w:rPr>
          <w:t>3.4.1 Use Case Diagram</w:t>
        </w:r>
        <w:r>
          <w:rPr>
            <w:noProof/>
            <w:webHidden/>
          </w:rPr>
          <w:tab/>
        </w:r>
        <w:r>
          <w:rPr>
            <w:noProof/>
            <w:webHidden/>
          </w:rPr>
          <w:fldChar w:fldCharType="begin"/>
        </w:r>
        <w:r>
          <w:rPr>
            <w:noProof/>
            <w:webHidden/>
          </w:rPr>
          <w:instrText xml:space="preserve"> PAGEREF _Toc240737093 \h </w:instrText>
        </w:r>
        <w:r>
          <w:rPr>
            <w:noProof/>
            <w:webHidden/>
          </w:rPr>
        </w:r>
        <w:r>
          <w:rPr>
            <w:noProof/>
            <w:webHidden/>
          </w:rPr>
          <w:fldChar w:fldCharType="separate"/>
        </w:r>
        <w:r>
          <w:rPr>
            <w:noProof/>
            <w:webHidden/>
          </w:rPr>
          <w:t>49</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94" w:history="1">
        <w:r w:rsidRPr="0046086B">
          <w:rPr>
            <w:rStyle w:val="Hyperlink"/>
            <w:rFonts w:eastAsia="Times New Roman"/>
            <w:noProof/>
          </w:rPr>
          <w:t>3.4.2 Sequence Diagram</w:t>
        </w:r>
        <w:r>
          <w:rPr>
            <w:noProof/>
            <w:webHidden/>
          </w:rPr>
          <w:tab/>
        </w:r>
        <w:r>
          <w:rPr>
            <w:noProof/>
            <w:webHidden/>
          </w:rPr>
          <w:fldChar w:fldCharType="begin"/>
        </w:r>
        <w:r>
          <w:rPr>
            <w:noProof/>
            <w:webHidden/>
          </w:rPr>
          <w:instrText xml:space="preserve"> PAGEREF _Toc240737094 \h </w:instrText>
        </w:r>
        <w:r>
          <w:rPr>
            <w:noProof/>
            <w:webHidden/>
          </w:rPr>
        </w:r>
        <w:r>
          <w:rPr>
            <w:noProof/>
            <w:webHidden/>
          </w:rPr>
          <w:fldChar w:fldCharType="separate"/>
        </w:r>
        <w:r>
          <w:rPr>
            <w:noProof/>
            <w:webHidden/>
          </w:rPr>
          <w:t>49</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95" w:history="1">
        <w:r w:rsidRPr="0046086B">
          <w:rPr>
            <w:rStyle w:val="Hyperlink"/>
            <w:rFonts w:eastAsia="Times New Roman"/>
            <w:noProof/>
          </w:rPr>
          <w:t>3.4.3 Entity-Relationship Diagram</w:t>
        </w:r>
        <w:r>
          <w:rPr>
            <w:noProof/>
            <w:webHidden/>
          </w:rPr>
          <w:tab/>
        </w:r>
        <w:r>
          <w:rPr>
            <w:noProof/>
            <w:webHidden/>
          </w:rPr>
          <w:fldChar w:fldCharType="begin"/>
        </w:r>
        <w:r>
          <w:rPr>
            <w:noProof/>
            <w:webHidden/>
          </w:rPr>
          <w:instrText xml:space="preserve"> PAGEREF _Toc240737095 \h </w:instrText>
        </w:r>
        <w:r>
          <w:rPr>
            <w:noProof/>
            <w:webHidden/>
          </w:rPr>
        </w:r>
        <w:r>
          <w:rPr>
            <w:noProof/>
            <w:webHidden/>
          </w:rPr>
          <w:fldChar w:fldCharType="separate"/>
        </w:r>
        <w:r>
          <w:rPr>
            <w:noProof/>
            <w:webHidden/>
          </w:rPr>
          <w:t>50</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096" w:history="1">
        <w:r w:rsidRPr="0046086B">
          <w:rPr>
            <w:rStyle w:val="Hyperlink"/>
            <w:rFonts w:eastAsia="Times New Roman"/>
            <w:noProof/>
          </w:rPr>
          <w:t>3.5 Design Diagrams</w:t>
        </w:r>
        <w:r>
          <w:rPr>
            <w:noProof/>
            <w:webHidden/>
          </w:rPr>
          <w:tab/>
        </w:r>
        <w:r>
          <w:rPr>
            <w:noProof/>
            <w:webHidden/>
          </w:rPr>
          <w:fldChar w:fldCharType="begin"/>
        </w:r>
        <w:r>
          <w:rPr>
            <w:noProof/>
            <w:webHidden/>
          </w:rPr>
          <w:instrText xml:space="preserve"> PAGEREF _Toc240737096 \h </w:instrText>
        </w:r>
        <w:r>
          <w:rPr>
            <w:noProof/>
            <w:webHidden/>
          </w:rPr>
        </w:r>
        <w:r>
          <w:rPr>
            <w:noProof/>
            <w:webHidden/>
          </w:rPr>
          <w:fldChar w:fldCharType="separate"/>
        </w:r>
        <w:r>
          <w:rPr>
            <w:noProof/>
            <w:webHidden/>
          </w:rPr>
          <w:t>50</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97" w:history="1">
        <w:r w:rsidRPr="0046086B">
          <w:rPr>
            <w:rStyle w:val="Hyperlink"/>
            <w:rFonts w:eastAsia="Times New Roman"/>
            <w:noProof/>
          </w:rPr>
          <w:t>3.5.1 Class Diagram</w:t>
        </w:r>
        <w:r>
          <w:rPr>
            <w:noProof/>
            <w:webHidden/>
          </w:rPr>
          <w:tab/>
        </w:r>
        <w:r>
          <w:rPr>
            <w:noProof/>
            <w:webHidden/>
          </w:rPr>
          <w:fldChar w:fldCharType="begin"/>
        </w:r>
        <w:r>
          <w:rPr>
            <w:noProof/>
            <w:webHidden/>
          </w:rPr>
          <w:instrText xml:space="preserve"> PAGEREF _Toc240737097 \h </w:instrText>
        </w:r>
        <w:r>
          <w:rPr>
            <w:noProof/>
            <w:webHidden/>
          </w:rPr>
        </w:r>
        <w:r>
          <w:rPr>
            <w:noProof/>
            <w:webHidden/>
          </w:rPr>
          <w:fldChar w:fldCharType="separate"/>
        </w:r>
        <w:r>
          <w:rPr>
            <w:noProof/>
            <w:webHidden/>
          </w:rPr>
          <w:t>50</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98" w:history="1">
        <w:r w:rsidRPr="0046086B">
          <w:rPr>
            <w:rStyle w:val="Hyperlink"/>
            <w:rFonts w:eastAsia="Times New Roman"/>
            <w:noProof/>
          </w:rPr>
          <w:t>3.5.2 Database Schema</w:t>
        </w:r>
        <w:r>
          <w:rPr>
            <w:noProof/>
            <w:webHidden/>
          </w:rPr>
          <w:tab/>
        </w:r>
        <w:r>
          <w:rPr>
            <w:noProof/>
            <w:webHidden/>
          </w:rPr>
          <w:fldChar w:fldCharType="begin"/>
        </w:r>
        <w:r>
          <w:rPr>
            <w:noProof/>
            <w:webHidden/>
          </w:rPr>
          <w:instrText xml:space="preserve"> PAGEREF _Toc240737098 \h </w:instrText>
        </w:r>
        <w:r>
          <w:rPr>
            <w:noProof/>
            <w:webHidden/>
          </w:rPr>
        </w:r>
        <w:r>
          <w:rPr>
            <w:noProof/>
            <w:webHidden/>
          </w:rPr>
          <w:fldChar w:fldCharType="separate"/>
        </w:r>
        <w:r>
          <w:rPr>
            <w:noProof/>
            <w:webHidden/>
          </w:rPr>
          <w:t>51</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099" w:history="1">
        <w:r w:rsidRPr="0046086B">
          <w:rPr>
            <w:rStyle w:val="Hyperlink"/>
            <w:rFonts w:eastAsia="Times New Roman"/>
            <w:noProof/>
          </w:rPr>
          <w:t>3.5.3 System Architecture Diagram</w:t>
        </w:r>
        <w:r>
          <w:rPr>
            <w:noProof/>
            <w:webHidden/>
          </w:rPr>
          <w:tab/>
        </w:r>
        <w:r>
          <w:rPr>
            <w:noProof/>
            <w:webHidden/>
          </w:rPr>
          <w:fldChar w:fldCharType="begin"/>
        </w:r>
        <w:r>
          <w:rPr>
            <w:noProof/>
            <w:webHidden/>
          </w:rPr>
          <w:instrText xml:space="preserve"> PAGEREF _Toc240737099 \h </w:instrText>
        </w:r>
        <w:r>
          <w:rPr>
            <w:noProof/>
            <w:webHidden/>
          </w:rPr>
        </w:r>
        <w:r>
          <w:rPr>
            <w:noProof/>
            <w:webHidden/>
          </w:rPr>
          <w:fldChar w:fldCharType="separate"/>
        </w:r>
        <w:r>
          <w:rPr>
            <w:noProof/>
            <w:webHidden/>
          </w:rPr>
          <w:t>51</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00" w:history="1">
        <w:r w:rsidRPr="0046086B">
          <w:rPr>
            <w:rStyle w:val="Hyperlink"/>
            <w:rFonts w:eastAsia="Times New Roman"/>
            <w:noProof/>
          </w:rPr>
          <w:t>3.5.4 Activity Diagram</w:t>
        </w:r>
        <w:r>
          <w:rPr>
            <w:noProof/>
            <w:webHidden/>
          </w:rPr>
          <w:tab/>
        </w:r>
        <w:r>
          <w:rPr>
            <w:noProof/>
            <w:webHidden/>
          </w:rPr>
          <w:fldChar w:fldCharType="begin"/>
        </w:r>
        <w:r>
          <w:rPr>
            <w:noProof/>
            <w:webHidden/>
          </w:rPr>
          <w:instrText xml:space="preserve"> PAGEREF _Toc240737100 \h </w:instrText>
        </w:r>
        <w:r>
          <w:rPr>
            <w:noProof/>
            <w:webHidden/>
          </w:rPr>
        </w:r>
        <w:r>
          <w:rPr>
            <w:noProof/>
            <w:webHidden/>
          </w:rPr>
          <w:fldChar w:fldCharType="separate"/>
        </w:r>
        <w:r>
          <w:rPr>
            <w:noProof/>
            <w:webHidden/>
          </w:rPr>
          <w:t>51</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01" w:history="1">
        <w:r w:rsidRPr="0046086B">
          <w:rPr>
            <w:rStyle w:val="Hyperlink"/>
            <w:rFonts w:eastAsia="Times New Roman"/>
            <w:noProof/>
          </w:rPr>
          <w:t>3.6 Deliverables</w:t>
        </w:r>
        <w:r>
          <w:rPr>
            <w:noProof/>
            <w:webHidden/>
          </w:rPr>
          <w:tab/>
        </w:r>
        <w:r>
          <w:rPr>
            <w:noProof/>
            <w:webHidden/>
          </w:rPr>
          <w:fldChar w:fldCharType="begin"/>
        </w:r>
        <w:r>
          <w:rPr>
            <w:noProof/>
            <w:webHidden/>
          </w:rPr>
          <w:instrText xml:space="preserve"> PAGEREF _Toc240737101 \h </w:instrText>
        </w:r>
        <w:r>
          <w:rPr>
            <w:noProof/>
            <w:webHidden/>
          </w:rPr>
        </w:r>
        <w:r>
          <w:rPr>
            <w:noProof/>
            <w:webHidden/>
          </w:rPr>
          <w:fldChar w:fldCharType="separate"/>
        </w:r>
        <w:r>
          <w:rPr>
            <w:noProof/>
            <w:webHidden/>
          </w:rPr>
          <w:t>51</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02" w:history="1">
        <w:r w:rsidRPr="0046086B">
          <w:rPr>
            <w:rStyle w:val="Hyperlink"/>
            <w:rFonts w:eastAsia="Times New Roman"/>
            <w:noProof/>
          </w:rPr>
          <w:t>3.7 Tools and Techniques</w:t>
        </w:r>
        <w:r>
          <w:rPr>
            <w:noProof/>
            <w:webHidden/>
          </w:rPr>
          <w:tab/>
        </w:r>
        <w:r>
          <w:rPr>
            <w:noProof/>
            <w:webHidden/>
          </w:rPr>
          <w:fldChar w:fldCharType="begin"/>
        </w:r>
        <w:r>
          <w:rPr>
            <w:noProof/>
            <w:webHidden/>
          </w:rPr>
          <w:instrText xml:space="preserve"> PAGEREF _Toc240737102 \h </w:instrText>
        </w:r>
        <w:r>
          <w:rPr>
            <w:noProof/>
            <w:webHidden/>
          </w:rPr>
        </w:r>
        <w:r>
          <w:rPr>
            <w:noProof/>
            <w:webHidden/>
          </w:rPr>
          <w:fldChar w:fldCharType="separate"/>
        </w:r>
        <w:r>
          <w:rPr>
            <w:noProof/>
            <w:webHidden/>
          </w:rPr>
          <w:t>52</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103" w:history="1">
        <w:r w:rsidRPr="0046086B">
          <w:rPr>
            <w:rStyle w:val="Hyperlink"/>
            <w:rFonts w:eastAsia="Times New Roman"/>
            <w:noProof/>
          </w:rPr>
          <w:t>Chapter 4: System Analysis and Design</w:t>
        </w:r>
        <w:r>
          <w:rPr>
            <w:noProof/>
            <w:webHidden/>
          </w:rPr>
          <w:tab/>
        </w:r>
        <w:r>
          <w:rPr>
            <w:noProof/>
            <w:webHidden/>
          </w:rPr>
          <w:fldChar w:fldCharType="begin"/>
        </w:r>
        <w:r>
          <w:rPr>
            <w:noProof/>
            <w:webHidden/>
          </w:rPr>
          <w:instrText xml:space="preserve"> PAGEREF _Toc240737103 \h </w:instrText>
        </w:r>
        <w:r>
          <w:rPr>
            <w:noProof/>
            <w:webHidden/>
          </w:rPr>
        </w:r>
        <w:r>
          <w:rPr>
            <w:noProof/>
            <w:webHidden/>
          </w:rPr>
          <w:fldChar w:fldCharType="separate"/>
        </w:r>
        <w:r>
          <w:rPr>
            <w:noProof/>
            <w:webHidden/>
          </w:rPr>
          <w:t>55</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04" w:history="1">
        <w:r w:rsidRPr="0046086B">
          <w:rPr>
            <w:rStyle w:val="Hyperlink"/>
            <w:rFonts w:eastAsia="Times New Roman"/>
            <w:noProof/>
          </w:rPr>
          <w:t>4.1 Introduction</w:t>
        </w:r>
        <w:r>
          <w:rPr>
            <w:noProof/>
            <w:webHidden/>
          </w:rPr>
          <w:tab/>
        </w:r>
        <w:r>
          <w:rPr>
            <w:noProof/>
            <w:webHidden/>
          </w:rPr>
          <w:fldChar w:fldCharType="begin"/>
        </w:r>
        <w:r>
          <w:rPr>
            <w:noProof/>
            <w:webHidden/>
          </w:rPr>
          <w:instrText xml:space="preserve"> PAGEREF _Toc240737104 \h </w:instrText>
        </w:r>
        <w:r>
          <w:rPr>
            <w:noProof/>
            <w:webHidden/>
          </w:rPr>
        </w:r>
        <w:r>
          <w:rPr>
            <w:noProof/>
            <w:webHidden/>
          </w:rPr>
          <w:fldChar w:fldCharType="separate"/>
        </w:r>
        <w:r>
          <w:rPr>
            <w:noProof/>
            <w:webHidden/>
          </w:rPr>
          <w:t>55</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05" w:history="1">
        <w:r w:rsidRPr="0046086B">
          <w:rPr>
            <w:rStyle w:val="Hyperlink"/>
            <w:rFonts w:eastAsia="Times New Roman"/>
            <w:noProof/>
          </w:rPr>
          <w:t>4.2 System Requirements</w:t>
        </w:r>
        <w:r>
          <w:rPr>
            <w:noProof/>
            <w:webHidden/>
          </w:rPr>
          <w:tab/>
        </w:r>
        <w:r>
          <w:rPr>
            <w:noProof/>
            <w:webHidden/>
          </w:rPr>
          <w:fldChar w:fldCharType="begin"/>
        </w:r>
        <w:r>
          <w:rPr>
            <w:noProof/>
            <w:webHidden/>
          </w:rPr>
          <w:instrText xml:space="preserve"> PAGEREF _Toc240737105 \h </w:instrText>
        </w:r>
        <w:r>
          <w:rPr>
            <w:noProof/>
            <w:webHidden/>
          </w:rPr>
        </w:r>
        <w:r>
          <w:rPr>
            <w:noProof/>
            <w:webHidden/>
          </w:rPr>
          <w:fldChar w:fldCharType="separate"/>
        </w:r>
        <w:r>
          <w:rPr>
            <w:noProof/>
            <w:webHidden/>
          </w:rPr>
          <w:t>55</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06" w:history="1">
        <w:r w:rsidRPr="0046086B">
          <w:rPr>
            <w:rStyle w:val="Hyperlink"/>
            <w:rFonts w:eastAsia="Times New Roman"/>
            <w:noProof/>
          </w:rPr>
          <w:t>4.2.1 Functional Requirements</w:t>
        </w:r>
        <w:r>
          <w:rPr>
            <w:noProof/>
            <w:webHidden/>
          </w:rPr>
          <w:tab/>
        </w:r>
        <w:r>
          <w:rPr>
            <w:noProof/>
            <w:webHidden/>
          </w:rPr>
          <w:fldChar w:fldCharType="begin"/>
        </w:r>
        <w:r>
          <w:rPr>
            <w:noProof/>
            <w:webHidden/>
          </w:rPr>
          <w:instrText xml:space="preserve"> PAGEREF _Toc240737106 \h </w:instrText>
        </w:r>
        <w:r>
          <w:rPr>
            <w:noProof/>
            <w:webHidden/>
          </w:rPr>
        </w:r>
        <w:r>
          <w:rPr>
            <w:noProof/>
            <w:webHidden/>
          </w:rPr>
          <w:fldChar w:fldCharType="separate"/>
        </w:r>
        <w:r>
          <w:rPr>
            <w:noProof/>
            <w:webHidden/>
          </w:rPr>
          <w:t>55</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07" w:history="1">
        <w:r w:rsidRPr="0046086B">
          <w:rPr>
            <w:rStyle w:val="Hyperlink"/>
            <w:rFonts w:eastAsia="Times New Roman"/>
            <w:noProof/>
          </w:rPr>
          <w:t>4.2.2 Non-Functional Requirements</w:t>
        </w:r>
        <w:r>
          <w:rPr>
            <w:noProof/>
            <w:webHidden/>
          </w:rPr>
          <w:tab/>
        </w:r>
        <w:r>
          <w:rPr>
            <w:noProof/>
            <w:webHidden/>
          </w:rPr>
          <w:fldChar w:fldCharType="begin"/>
        </w:r>
        <w:r>
          <w:rPr>
            <w:noProof/>
            <w:webHidden/>
          </w:rPr>
          <w:instrText xml:space="preserve"> PAGEREF _Toc240737107 \h </w:instrText>
        </w:r>
        <w:r>
          <w:rPr>
            <w:noProof/>
            <w:webHidden/>
          </w:rPr>
        </w:r>
        <w:r>
          <w:rPr>
            <w:noProof/>
            <w:webHidden/>
          </w:rPr>
          <w:fldChar w:fldCharType="separate"/>
        </w:r>
        <w:r>
          <w:rPr>
            <w:noProof/>
            <w:webHidden/>
          </w:rPr>
          <w:t>57</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08" w:history="1">
        <w:r w:rsidRPr="0046086B">
          <w:rPr>
            <w:rStyle w:val="Hyperlink"/>
            <w:rFonts w:eastAsia="Times New Roman"/>
            <w:noProof/>
          </w:rPr>
          <w:t>4.2.3 Data Requirements</w:t>
        </w:r>
        <w:r>
          <w:rPr>
            <w:noProof/>
            <w:webHidden/>
          </w:rPr>
          <w:tab/>
        </w:r>
        <w:r>
          <w:rPr>
            <w:noProof/>
            <w:webHidden/>
          </w:rPr>
          <w:fldChar w:fldCharType="begin"/>
        </w:r>
        <w:r>
          <w:rPr>
            <w:noProof/>
            <w:webHidden/>
          </w:rPr>
          <w:instrText xml:space="preserve"> PAGEREF _Toc240737108 \h </w:instrText>
        </w:r>
        <w:r>
          <w:rPr>
            <w:noProof/>
            <w:webHidden/>
          </w:rPr>
        </w:r>
        <w:r>
          <w:rPr>
            <w:noProof/>
            <w:webHidden/>
          </w:rPr>
          <w:fldChar w:fldCharType="separate"/>
        </w:r>
        <w:r>
          <w:rPr>
            <w:noProof/>
            <w:webHidden/>
          </w:rPr>
          <w:t>58</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09" w:history="1">
        <w:r w:rsidRPr="0046086B">
          <w:rPr>
            <w:rStyle w:val="Hyperlink"/>
            <w:rFonts w:eastAsia="Times New Roman"/>
            <w:noProof/>
          </w:rPr>
          <w:t>4.2.4 Interface and Integration Requirements</w:t>
        </w:r>
        <w:r>
          <w:rPr>
            <w:noProof/>
            <w:webHidden/>
          </w:rPr>
          <w:tab/>
        </w:r>
        <w:r>
          <w:rPr>
            <w:noProof/>
            <w:webHidden/>
          </w:rPr>
          <w:fldChar w:fldCharType="begin"/>
        </w:r>
        <w:r>
          <w:rPr>
            <w:noProof/>
            <w:webHidden/>
          </w:rPr>
          <w:instrText xml:space="preserve"> PAGEREF _Toc240737109 \h </w:instrText>
        </w:r>
        <w:r>
          <w:rPr>
            <w:noProof/>
            <w:webHidden/>
          </w:rPr>
        </w:r>
        <w:r>
          <w:rPr>
            <w:noProof/>
            <w:webHidden/>
          </w:rPr>
          <w:fldChar w:fldCharType="separate"/>
        </w:r>
        <w:r>
          <w:rPr>
            <w:noProof/>
            <w:webHidden/>
          </w:rPr>
          <w:t>58</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10" w:history="1">
        <w:r w:rsidRPr="0046086B">
          <w:rPr>
            <w:rStyle w:val="Hyperlink"/>
            <w:rFonts w:eastAsia="Times New Roman"/>
            <w:noProof/>
          </w:rPr>
          <w:t>4.3 System Analysis Diagrams</w:t>
        </w:r>
        <w:r>
          <w:rPr>
            <w:noProof/>
            <w:webHidden/>
          </w:rPr>
          <w:tab/>
        </w:r>
        <w:r>
          <w:rPr>
            <w:noProof/>
            <w:webHidden/>
          </w:rPr>
          <w:fldChar w:fldCharType="begin"/>
        </w:r>
        <w:r>
          <w:rPr>
            <w:noProof/>
            <w:webHidden/>
          </w:rPr>
          <w:instrText xml:space="preserve"> PAGEREF _Toc240737110 \h </w:instrText>
        </w:r>
        <w:r>
          <w:rPr>
            <w:noProof/>
            <w:webHidden/>
          </w:rPr>
        </w:r>
        <w:r>
          <w:rPr>
            <w:noProof/>
            <w:webHidden/>
          </w:rPr>
          <w:fldChar w:fldCharType="separate"/>
        </w:r>
        <w:r>
          <w:rPr>
            <w:noProof/>
            <w:webHidden/>
          </w:rPr>
          <w:t>59</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11" w:history="1">
        <w:r w:rsidRPr="0046086B">
          <w:rPr>
            <w:rStyle w:val="Hyperlink"/>
            <w:rFonts w:eastAsia="Times New Roman"/>
            <w:noProof/>
          </w:rPr>
          <w:t>4.3.1 Context Diagram</w:t>
        </w:r>
        <w:r>
          <w:rPr>
            <w:noProof/>
            <w:webHidden/>
          </w:rPr>
          <w:tab/>
        </w:r>
        <w:r>
          <w:rPr>
            <w:noProof/>
            <w:webHidden/>
          </w:rPr>
          <w:fldChar w:fldCharType="begin"/>
        </w:r>
        <w:r>
          <w:rPr>
            <w:noProof/>
            <w:webHidden/>
          </w:rPr>
          <w:instrText xml:space="preserve"> PAGEREF _Toc240737111 \h </w:instrText>
        </w:r>
        <w:r>
          <w:rPr>
            <w:noProof/>
            <w:webHidden/>
          </w:rPr>
        </w:r>
        <w:r>
          <w:rPr>
            <w:noProof/>
            <w:webHidden/>
          </w:rPr>
          <w:fldChar w:fldCharType="separate"/>
        </w:r>
        <w:r>
          <w:rPr>
            <w:noProof/>
            <w:webHidden/>
          </w:rPr>
          <w:t>59</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12" w:history="1">
        <w:r w:rsidRPr="0046086B">
          <w:rPr>
            <w:rStyle w:val="Hyperlink"/>
            <w:rFonts w:eastAsia="Times New Roman"/>
            <w:noProof/>
          </w:rPr>
          <w:t>4.3.2 Use Case Diagram</w:t>
        </w:r>
        <w:r>
          <w:rPr>
            <w:noProof/>
            <w:webHidden/>
          </w:rPr>
          <w:tab/>
        </w:r>
        <w:r>
          <w:rPr>
            <w:noProof/>
            <w:webHidden/>
          </w:rPr>
          <w:fldChar w:fldCharType="begin"/>
        </w:r>
        <w:r>
          <w:rPr>
            <w:noProof/>
            <w:webHidden/>
          </w:rPr>
          <w:instrText xml:space="preserve"> PAGEREF _Toc240737112 \h </w:instrText>
        </w:r>
        <w:r>
          <w:rPr>
            <w:noProof/>
            <w:webHidden/>
          </w:rPr>
        </w:r>
        <w:r>
          <w:rPr>
            <w:noProof/>
            <w:webHidden/>
          </w:rPr>
          <w:fldChar w:fldCharType="separate"/>
        </w:r>
        <w:r>
          <w:rPr>
            <w:noProof/>
            <w:webHidden/>
          </w:rPr>
          <w:t>59</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13" w:history="1">
        <w:r w:rsidRPr="0046086B">
          <w:rPr>
            <w:rStyle w:val="Hyperlink"/>
            <w:rFonts w:eastAsia="Times New Roman"/>
            <w:noProof/>
          </w:rPr>
          <w:t>4.3.3 Data Flow Diagram</w:t>
        </w:r>
        <w:r>
          <w:rPr>
            <w:noProof/>
            <w:webHidden/>
          </w:rPr>
          <w:tab/>
        </w:r>
        <w:r>
          <w:rPr>
            <w:noProof/>
            <w:webHidden/>
          </w:rPr>
          <w:fldChar w:fldCharType="begin"/>
        </w:r>
        <w:r>
          <w:rPr>
            <w:noProof/>
            <w:webHidden/>
          </w:rPr>
          <w:instrText xml:space="preserve"> PAGEREF _Toc240737113 \h </w:instrText>
        </w:r>
        <w:r>
          <w:rPr>
            <w:noProof/>
            <w:webHidden/>
          </w:rPr>
        </w:r>
        <w:r>
          <w:rPr>
            <w:noProof/>
            <w:webHidden/>
          </w:rPr>
          <w:fldChar w:fldCharType="separate"/>
        </w:r>
        <w:r>
          <w:rPr>
            <w:noProof/>
            <w:webHidden/>
          </w:rPr>
          <w:t>60</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14" w:history="1">
        <w:r w:rsidRPr="0046086B">
          <w:rPr>
            <w:rStyle w:val="Hyperlink"/>
            <w:rFonts w:eastAsia="Times New Roman"/>
            <w:noProof/>
          </w:rPr>
          <w:t>4.3.4 Activity Diagram</w:t>
        </w:r>
        <w:r>
          <w:rPr>
            <w:noProof/>
            <w:webHidden/>
          </w:rPr>
          <w:tab/>
        </w:r>
        <w:r>
          <w:rPr>
            <w:noProof/>
            <w:webHidden/>
          </w:rPr>
          <w:fldChar w:fldCharType="begin"/>
        </w:r>
        <w:r>
          <w:rPr>
            <w:noProof/>
            <w:webHidden/>
          </w:rPr>
          <w:instrText xml:space="preserve"> PAGEREF _Toc240737114 \h </w:instrText>
        </w:r>
        <w:r>
          <w:rPr>
            <w:noProof/>
            <w:webHidden/>
          </w:rPr>
        </w:r>
        <w:r>
          <w:rPr>
            <w:noProof/>
            <w:webHidden/>
          </w:rPr>
          <w:fldChar w:fldCharType="separate"/>
        </w:r>
        <w:r>
          <w:rPr>
            <w:noProof/>
            <w:webHidden/>
          </w:rPr>
          <w:t>60</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15" w:history="1">
        <w:r w:rsidRPr="0046086B">
          <w:rPr>
            <w:rStyle w:val="Hyperlink"/>
            <w:rFonts w:eastAsia="Times New Roman"/>
            <w:noProof/>
          </w:rPr>
          <w:t>4.3.5 Entity Relationship Diagram</w:t>
        </w:r>
        <w:r>
          <w:rPr>
            <w:noProof/>
            <w:webHidden/>
          </w:rPr>
          <w:tab/>
        </w:r>
        <w:r>
          <w:rPr>
            <w:noProof/>
            <w:webHidden/>
          </w:rPr>
          <w:fldChar w:fldCharType="begin"/>
        </w:r>
        <w:r>
          <w:rPr>
            <w:noProof/>
            <w:webHidden/>
          </w:rPr>
          <w:instrText xml:space="preserve"> PAGEREF _Toc240737115 \h </w:instrText>
        </w:r>
        <w:r>
          <w:rPr>
            <w:noProof/>
            <w:webHidden/>
          </w:rPr>
        </w:r>
        <w:r>
          <w:rPr>
            <w:noProof/>
            <w:webHidden/>
          </w:rPr>
          <w:fldChar w:fldCharType="separate"/>
        </w:r>
        <w:r>
          <w:rPr>
            <w:noProof/>
            <w:webHidden/>
          </w:rPr>
          <w:t>61</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16" w:history="1">
        <w:r w:rsidRPr="0046086B">
          <w:rPr>
            <w:rStyle w:val="Hyperlink"/>
            <w:rFonts w:eastAsia="Times New Roman"/>
            <w:noProof/>
          </w:rPr>
          <w:t>4.4 System Design</w:t>
        </w:r>
        <w:r>
          <w:rPr>
            <w:noProof/>
            <w:webHidden/>
          </w:rPr>
          <w:tab/>
        </w:r>
        <w:r>
          <w:rPr>
            <w:noProof/>
            <w:webHidden/>
          </w:rPr>
          <w:fldChar w:fldCharType="begin"/>
        </w:r>
        <w:r>
          <w:rPr>
            <w:noProof/>
            <w:webHidden/>
          </w:rPr>
          <w:instrText xml:space="preserve"> PAGEREF _Toc240737116 \h </w:instrText>
        </w:r>
        <w:r>
          <w:rPr>
            <w:noProof/>
            <w:webHidden/>
          </w:rPr>
        </w:r>
        <w:r>
          <w:rPr>
            <w:noProof/>
            <w:webHidden/>
          </w:rPr>
          <w:fldChar w:fldCharType="separate"/>
        </w:r>
        <w:r>
          <w:rPr>
            <w:noProof/>
            <w:webHidden/>
          </w:rPr>
          <w:t>61</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17" w:history="1">
        <w:r w:rsidRPr="0046086B">
          <w:rPr>
            <w:rStyle w:val="Hyperlink"/>
            <w:rFonts w:eastAsia="Times New Roman"/>
            <w:noProof/>
          </w:rPr>
          <w:t>4.4.1 High-Level System Architecture Diagram</w:t>
        </w:r>
        <w:r>
          <w:rPr>
            <w:noProof/>
            <w:webHidden/>
          </w:rPr>
          <w:tab/>
        </w:r>
        <w:r>
          <w:rPr>
            <w:noProof/>
            <w:webHidden/>
          </w:rPr>
          <w:fldChar w:fldCharType="begin"/>
        </w:r>
        <w:r>
          <w:rPr>
            <w:noProof/>
            <w:webHidden/>
          </w:rPr>
          <w:instrText xml:space="preserve"> PAGEREF _Toc240737117 \h </w:instrText>
        </w:r>
        <w:r>
          <w:rPr>
            <w:noProof/>
            <w:webHidden/>
          </w:rPr>
        </w:r>
        <w:r>
          <w:rPr>
            <w:noProof/>
            <w:webHidden/>
          </w:rPr>
          <w:fldChar w:fldCharType="separate"/>
        </w:r>
        <w:r>
          <w:rPr>
            <w:noProof/>
            <w:webHidden/>
          </w:rPr>
          <w:t>61</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18" w:history="1">
        <w:r w:rsidRPr="0046086B">
          <w:rPr>
            <w:rStyle w:val="Hyperlink"/>
            <w:rFonts w:eastAsia="Times New Roman"/>
            <w:noProof/>
          </w:rPr>
          <w:t>4.4.2 Layered System Design</w:t>
        </w:r>
        <w:r>
          <w:rPr>
            <w:noProof/>
            <w:webHidden/>
          </w:rPr>
          <w:tab/>
        </w:r>
        <w:r>
          <w:rPr>
            <w:noProof/>
            <w:webHidden/>
          </w:rPr>
          <w:fldChar w:fldCharType="begin"/>
        </w:r>
        <w:r>
          <w:rPr>
            <w:noProof/>
            <w:webHidden/>
          </w:rPr>
          <w:instrText xml:space="preserve"> PAGEREF _Toc240737118 \h </w:instrText>
        </w:r>
        <w:r>
          <w:rPr>
            <w:noProof/>
            <w:webHidden/>
          </w:rPr>
        </w:r>
        <w:r>
          <w:rPr>
            <w:noProof/>
            <w:webHidden/>
          </w:rPr>
          <w:fldChar w:fldCharType="separate"/>
        </w:r>
        <w:r>
          <w:rPr>
            <w:noProof/>
            <w:webHidden/>
          </w:rPr>
          <w:t>62</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19" w:history="1">
        <w:r w:rsidRPr="0046086B">
          <w:rPr>
            <w:rStyle w:val="Hyperlink"/>
            <w:rFonts w:eastAsia="Times New Roman"/>
            <w:noProof/>
          </w:rPr>
          <w:t>4.4.3 System Workflow Diagram</w:t>
        </w:r>
        <w:r>
          <w:rPr>
            <w:noProof/>
            <w:webHidden/>
          </w:rPr>
          <w:tab/>
        </w:r>
        <w:r>
          <w:rPr>
            <w:noProof/>
            <w:webHidden/>
          </w:rPr>
          <w:fldChar w:fldCharType="begin"/>
        </w:r>
        <w:r>
          <w:rPr>
            <w:noProof/>
            <w:webHidden/>
          </w:rPr>
          <w:instrText xml:space="preserve"> PAGEREF _Toc240737119 \h </w:instrText>
        </w:r>
        <w:r>
          <w:rPr>
            <w:noProof/>
            <w:webHidden/>
          </w:rPr>
        </w:r>
        <w:r>
          <w:rPr>
            <w:noProof/>
            <w:webHidden/>
          </w:rPr>
          <w:fldChar w:fldCharType="separate"/>
        </w:r>
        <w:r>
          <w:rPr>
            <w:noProof/>
            <w:webHidden/>
          </w:rPr>
          <w:t>63</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20" w:history="1">
        <w:r w:rsidRPr="0046086B">
          <w:rPr>
            <w:rStyle w:val="Hyperlink"/>
            <w:rFonts w:eastAsia="Times New Roman"/>
            <w:noProof/>
          </w:rPr>
          <w:t>4.4.4 Component Interaction Diagram</w:t>
        </w:r>
        <w:r>
          <w:rPr>
            <w:noProof/>
            <w:webHidden/>
          </w:rPr>
          <w:tab/>
        </w:r>
        <w:r>
          <w:rPr>
            <w:noProof/>
            <w:webHidden/>
          </w:rPr>
          <w:fldChar w:fldCharType="begin"/>
        </w:r>
        <w:r>
          <w:rPr>
            <w:noProof/>
            <w:webHidden/>
          </w:rPr>
          <w:instrText xml:space="preserve"> PAGEREF _Toc240737120 \h </w:instrText>
        </w:r>
        <w:r>
          <w:rPr>
            <w:noProof/>
            <w:webHidden/>
          </w:rPr>
        </w:r>
        <w:r>
          <w:rPr>
            <w:noProof/>
            <w:webHidden/>
          </w:rPr>
          <w:fldChar w:fldCharType="separate"/>
        </w:r>
        <w:r>
          <w:rPr>
            <w:noProof/>
            <w:webHidden/>
          </w:rPr>
          <w:t>63</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21" w:history="1">
        <w:r w:rsidRPr="0046086B">
          <w:rPr>
            <w:rStyle w:val="Hyperlink"/>
            <w:rFonts w:eastAsia="Times New Roman"/>
            <w:noProof/>
          </w:rPr>
          <w:t>4.4.5 Role Hierarchy and Access Control Design</w:t>
        </w:r>
        <w:r>
          <w:rPr>
            <w:noProof/>
            <w:webHidden/>
          </w:rPr>
          <w:tab/>
        </w:r>
        <w:r>
          <w:rPr>
            <w:noProof/>
            <w:webHidden/>
          </w:rPr>
          <w:fldChar w:fldCharType="begin"/>
        </w:r>
        <w:r>
          <w:rPr>
            <w:noProof/>
            <w:webHidden/>
          </w:rPr>
          <w:instrText xml:space="preserve"> PAGEREF _Toc240737121 \h </w:instrText>
        </w:r>
        <w:r>
          <w:rPr>
            <w:noProof/>
            <w:webHidden/>
          </w:rPr>
        </w:r>
        <w:r>
          <w:rPr>
            <w:noProof/>
            <w:webHidden/>
          </w:rPr>
          <w:fldChar w:fldCharType="separate"/>
        </w:r>
        <w:r>
          <w:rPr>
            <w:noProof/>
            <w:webHidden/>
          </w:rPr>
          <w:t>63</w:t>
        </w:r>
        <w:r>
          <w:rPr>
            <w:noProof/>
            <w:webHidden/>
          </w:rPr>
          <w:fldChar w:fldCharType="end"/>
        </w:r>
      </w:hyperlink>
    </w:p>
    <w:p w:rsidR="0030472D" w:rsidRDefault="0030472D">
      <w:pPr>
        <w:pStyle w:val="TOC3"/>
        <w:tabs>
          <w:tab w:val="right" w:leader="dot" w:pos="8630"/>
        </w:tabs>
        <w:rPr>
          <w:rFonts w:asciiTheme="minorHAnsi" w:hAnsiTheme="minorHAnsi"/>
          <w:noProof/>
          <w:sz w:val="22"/>
        </w:rPr>
      </w:pPr>
      <w:hyperlink w:anchor="_Toc240737122" w:history="1">
        <w:r w:rsidRPr="0046086B">
          <w:rPr>
            <w:rStyle w:val="Hyperlink"/>
            <w:rFonts w:eastAsia="Times New Roman"/>
            <w:noProof/>
          </w:rPr>
          <w:t>4.4.6 Integration Design Diagram</w:t>
        </w:r>
        <w:r>
          <w:rPr>
            <w:noProof/>
            <w:webHidden/>
          </w:rPr>
          <w:tab/>
        </w:r>
        <w:r>
          <w:rPr>
            <w:noProof/>
            <w:webHidden/>
          </w:rPr>
          <w:fldChar w:fldCharType="begin"/>
        </w:r>
        <w:r>
          <w:rPr>
            <w:noProof/>
            <w:webHidden/>
          </w:rPr>
          <w:instrText xml:space="preserve"> PAGEREF _Toc240737122 \h </w:instrText>
        </w:r>
        <w:r>
          <w:rPr>
            <w:noProof/>
            <w:webHidden/>
          </w:rPr>
        </w:r>
        <w:r>
          <w:rPr>
            <w:noProof/>
            <w:webHidden/>
          </w:rPr>
          <w:fldChar w:fldCharType="separate"/>
        </w:r>
        <w:r>
          <w:rPr>
            <w:noProof/>
            <w:webHidden/>
          </w:rPr>
          <w:t>64</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23" w:history="1">
        <w:r w:rsidRPr="0046086B">
          <w:rPr>
            <w:rStyle w:val="Hyperlink"/>
            <w:rFonts w:eastAsia="Times New Roman"/>
            <w:noProof/>
          </w:rPr>
          <w:t>4.5 Database Schema</w:t>
        </w:r>
        <w:r>
          <w:rPr>
            <w:noProof/>
            <w:webHidden/>
          </w:rPr>
          <w:tab/>
        </w:r>
        <w:r>
          <w:rPr>
            <w:noProof/>
            <w:webHidden/>
          </w:rPr>
          <w:fldChar w:fldCharType="begin"/>
        </w:r>
        <w:r>
          <w:rPr>
            <w:noProof/>
            <w:webHidden/>
          </w:rPr>
          <w:instrText xml:space="preserve"> PAGEREF _Toc240737123 \h </w:instrText>
        </w:r>
        <w:r>
          <w:rPr>
            <w:noProof/>
            <w:webHidden/>
          </w:rPr>
        </w:r>
        <w:r>
          <w:rPr>
            <w:noProof/>
            <w:webHidden/>
          </w:rPr>
          <w:fldChar w:fldCharType="separate"/>
        </w:r>
        <w:r>
          <w:rPr>
            <w:noProof/>
            <w:webHidden/>
          </w:rPr>
          <w:t>65</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124" w:history="1">
        <w:r w:rsidRPr="0046086B">
          <w:rPr>
            <w:rStyle w:val="Hyperlink"/>
            <w:rFonts w:eastAsia="Times New Roman"/>
            <w:noProof/>
          </w:rPr>
          <w:t>Chapter 5: Implementation</w:t>
        </w:r>
        <w:r>
          <w:rPr>
            <w:noProof/>
            <w:webHidden/>
          </w:rPr>
          <w:tab/>
        </w:r>
        <w:r>
          <w:rPr>
            <w:noProof/>
            <w:webHidden/>
          </w:rPr>
          <w:fldChar w:fldCharType="begin"/>
        </w:r>
        <w:r>
          <w:rPr>
            <w:noProof/>
            <w:webHidden/>
          </w:rPr>
          <w:instrText xml:space="preserve"> PAGEREF _Toc240737124 \h </w:instrText>
        </w:r>
        <w:r>
          <w:rPr>
            <w:noProof/>
            <w:webHidden/>
          </w:rPr>
        </w:r>
        <w:r>
          <w:rPr>
            <w:noProof/>
            <w:webHidden/>
          </w:rPr>
          <w:fldChar w:fldCharType="separate"/>
        </w:r>
        <w:r>
          <w:rPr>
            <w:noProof/>
            <w:webHidden/>
          </w:rPr>
          <w:t>67</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25" w:history="1">
        <w:r w:rsidRPr="0046086B">
          <w:rPr>
            <w:rStyle w:val="Hyperlink"/>
            <w:rFonts w:eastAsia="Times New Roman"/>
            <w:noProof/>
          </w:rPr>
          <w:t>5.1 Introduction</w:t>
        </w:r>
        <w:r>
          <w:rPr>
            <w:noProof/>
            <w:webHidden/>
          </w:rPr>
          <w:tab/>
        </w:r>
        <w:r>
          <w:rPr>
            <w:noProof/>
            <w:webHidden/>
          </w:rPr>
          <w:fldChar w:fldCharType="begin"/>
        </w:r>
        <w:r>
          <w:rPr>
            <w:noProof/>
            <w:webHidden/>
          </w:rPr>
          <w:instrText xml:space="preserve"> PAGEREF _Toc240737125 \h </w:instrText>
        </w:r>
        <w:r>
          <w:rPr>
            <w:noProof/>
            <w:webHidden/>
          </w:rPr>
        </w:r>
        <w:r>
          <w:rPr>
            <w:noProof/>
            <w:webHidden/>
          </w:rPr>
          <w:fldChar w:fldCharType="separate"/>
        </w:r>
        <w:r>
          <w:rPr>
            <w:noProof/>
            <w:webHidden/>
          </w:rPr>
          <w:t>67</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26" w:history="1">
        <w:r w:rsidRPr="0046086B">
          <w:rPr>
            <w:rStyle w:val="Hyperlink"/>
            <w:rFonts w:eastAsia="Times New Roman"/>
            <w:noProof/>
          </w:rPr>
          <w:t>5.2 Development Environment and Technology Stack</w:t>
        </w:r>
        <w:r>
          <w:rPr>
            <w:noProof/>
            <w:webHidden/>
          </w:rPr>
          <w:tab/>
        </w:r>
        <w:r>
          <w:rPr>
            <w:noProof/>
            <w:webHidden/>
          </w:rPr>
          <w:fldChar w:fldCharType="begin"/>
        </w:r>
        <w:r>
          <w:rPr>
            <w:noProof/>
            <w:webHidden/>
          </w:rPr>
          <w:instrText xml:space="preserve"> PAGEREF _Toc240737126 \h </w:instrText>
        </w:r>
        <w:r>
          <w:rPr>
            <w:noProof/>
            <w:webHidden/>
          </w:rPr>
        </w:r>
        <w:r>
          <w:rPr>
            <w:noProof/>
            <w:webHidden/>
          </w:rPr>
          <w:fldChar w:fldCharType="separate"/>
        </w:r>
        <w:r>
          <w:rPr>
            <w:noProof/>
            <w:webHidden/>
          </w:rPr>
          <w:t>67</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27" w:history="1">
        <w:r w:rsidRPr="0046086B">
          <w:rPr>
            <w:rStyle w:val="Hyperlink"/>
            <w:rFonts w:eastAsia="Times New Roman"/>
            <w:noProof/>
          </w:rPr>
          <w:t>5.3 Farm, Role, and Authentication Implementation</w:t>
        </w:r>
        <w:r>
          <w:rPr>
            <w:noProof/>
            <w:webHidden/>
          </w:rPr>
          <w:tab/>
        </w:r>
        <w:r>
          <w:rPr>
            <w:noProof/>
            <w:webHidden/>
          </w:rPr>
          <w:fldChar w:fldCharType="begin"/>
        </w:r>
        <w:r>
          <w:rPr>
            <w:noProof/>
            <w:webHidden/>
          </w:rPr>
          <w:instrText xml:space="preserve"> PAGEREF _Toc240737127 \h </w:instrText>
        </w:r>
        <w:r>
          <w:rPr>
            <w:noProof/>
            <w:webHidden/>
          </w:rPr>
        </w:r>
        <w:r>
          <w:rPr>
            <w:noProof/>
            <w:webHidden/>
          </w:rPr>
          <w:fldChar w:fldCharType="separate"/>
        </w:r>
        <w:r>
          <w:rPr>
            <w:noProof/>
            <w:webHidden/>
          </w:rPr>
          <w:t>68</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28" w:history="1">
        <w:r w:rsidRPr="0046086B">
          <w:rPr>
            <w:rStyle w:val="Hyperlink"/>
            <w:rFonts w:eastAsia="Times New Roman"/>
            <w:noProof/>
          </w:rPr>
          <w:t>5.4 Herd, Crop, Finance, Inventory, and Task Implementation</w:t>
        </w:r>
        <w:r>
          <w:rPr>
            <w:noProof/>
            <w:webHidden/>
          </w:rPr>
          <w:tab/>
        </w:r>
        <w:r>
          <w:rPr>
            <w:noProof/>
            <w:webHidden/>
          </w:rPr>
          <w:fldChar w:fldCharType="begin"/>
        </w:r>
        <w:r>
          <w:rPr>
            <w:noProof/>
            <w:webHidden/>
          </w:rPr>
          <w:instrText xml:space="preserve"> PAGEREF _Toc240737128 \h </w:instrText>
        </w:r>
        <w:r>
          <w:rPr>
            <w:noProof/>
            <w:webHidden/>
          </w:rPr>
        </w:r>
        <w:r>
          <w:rPr>
            <w:noProof/>
            <w:webHidden/>
          </w:rPr>
          <w:fldChar w:fldCharType="separate"/>
        </w:r>
        <w:r>
          <w:rPr>
            <w:noProof/>
            <w:webHidden/>
          </w:rPr>
          <w:t>69</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29" w:history="1">
        <w:r w:rsidRPr="0046086B">
          <w:rPr>
            <w:rStyle w:val="Hyperlink"/>
            <w:rFonts w:eastAsia="Times New Roman"/>
            <w:noProof/>
          </w:rPr>
          <w:t>5.5 Milk-Yield Prediction Implementation</w:t>
        </w:r>
        <w:r>
          <w:rPr>
            <w:noProof/>
            <w:webHidden/>
          </w:rPr>
          <w:tab/>
        </w:r>
        <w:r>
          <w:rPr>
            <w:noProof/>
            <w:webHidden/>
          </w:rPr>
          <w:fldChar w:fldCharType="begin"/>
        </w:r>
        <w:r>
          <w:rPr>
            <w:noProof/>
            <w:webHidden/>
          </w:rPr>
          <w:instrText xml:space="preserve"> PAGEREF _Toc240737129 \h </w:instrText>
        </w:r>
        <w:r>
          <w:rPr>
            <w:noProof/>
            <w:webHidden/>
          </w:rPr>
        </w:r>
        <w:r>
          <w:rPr>
            <w:noProof/>
            <w:webHidden/>
          </w:rPr>
          <w:fldChar w:fldCharType="separate"/>
        </w:r>
        <w:r>
          <w:rPr>
            <w:noProof/>
            <w:webHidden/>
          </w:rPr>
          <w:t>70</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0" w:history="1">
        <w:r w:rsidRPr="0046086B">
          <w:rPr>
            <w:rStyle w:val="Hyperlink"/>
            <w:rFonts w:eastAsia="Times New Roman"/>
            <w:noProof/>
          </w:rPr>
          <w:t>5.6 Alternative Credit-Scoring Implementation</w:t>
        </w:r>
        <w:r>
          <w:rPr>
            <w:noProof/>
            <w:webHidden/>
          </w:rPr>
          <w:tab/>
        </w:r>
        <w:r>
          <w:rPr>
            <w:noProof/>
            <w:webHidden/>
          </w:rPr>
          <w:fldChar w:fldCharType="begin"/>
        </w:r>
        <w:r>
          <w:rPr>
            <w:noProof/>
            <w:webHidden/>
          </w:rPr>
          <w:instrText xml:space="preserve"> PAGEREF _Toc240737130 \h </w:instrText>
        </w:r>
        <w:r>
          <w:rPr>
            <w:noProof/>
            <w:webHidden/>
          </w:rPr>
        </w:r>
        <w:r>
          <w:rPr>
            <w:noProof/>
            <w:webHidden/>
          </w:rPr>
          <w:fldChar w:fldCharType="separate"/>
        </w:r>
        <w:r>
          <w:rPr>
            <w:noProof/>
            <w:webHidden/>
          </w:rPr>
          <w:t>72</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1" w:history="1">
        <w:r w:rsidRPr="0046086B">
          <w:rPr>
            <w:rStyle w:val="Hyperlink"/>
            <w:rFonts w:eastAsia="Times New Roman"/>
            <w:noProof/>
          </w:rPr>
          <w:t>5.7 Blockchain Implementation</w:t>
        </w:r>
        <w:r>
          <w:rPr>
            <w:noProof/>
            <w:webHidden/>
          </w:rPr>
          <w:tab/>
        </w:r>
        <w:r>
          <w:rPr>
            <w:noProof/>
            <w:webHidden/>
          </w:rPr>
          <w:fldChar w:fldCharType="begin"/>
        </w:r>
        <w:r>
          <w:rPr>
            <w:noProof/>
            <w:webHidden/>
          </w:rPr>
          <w:instrText xml:space="preserve"> PAGEREF _Toc240737131 \h </w:instrText>
        </w:r>
        <w:r>
          <w:rPr>
            <w:noProof/>
            <w:webHidden/>
          </w:rPr>
        </w:r>
        <w:r>
          <w:rPr>
            <w:noProof/>
            <w:webHidden/>
          </w:rPr>
          <w:fldChar w:fldCharType="separate"/>
        </w:r>
        <w:r>
          <w:rPr>
            <w:noProof/>
            <w:webHidden/>
          </w:rPr>
          <w:t>75</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2" w:history="1">
        <w:r w:rsidRPr="0046086B">
          <w:rPr>
            <w:rStyle w:val="Hyperlink"/>
            <w:rFonts w:eastAsia="Times New Roman"/>
            <w:noProof/>
          </w:rPr>
          <w:t>5.8 Notifications Implementation</w:t>
        </w:r>
        <w:r>
          <w:rPr>
            <w:noProof/>
            <w:webHidden/>
          </w:rPr>
          <w:tab/>
        </w:r>
        <w:r>
          <w:rPr>
            <w:noProof/>
            <w:webHidden/>
          </w:rPr>
          <w:fldChar w:fldCharType="begin"/>
        </w:r>
        <w:r>
          <w:rPr>
            <w:noProof/>
            <w:webHidden/>
          </w:rPr>
          <w:instrText xml:space="preserve"> PAGEREF _Toc240737132 \h </w:instrText>
        </w:r>
        <w:r>
          <w:rPr>
            <w:noProof/>
            <w:webHidden/>
          </w:rPr>
        </w:r>
        <w:r>
          <w:rPr>
            <w:noProof/>
            <w:webHidden/>
          </w:rPr>
          <w:fldChar w:fldCharType="separate"/>
        </w:r>
        <w:r>
          <w:rPr>
            <w:noProof/>
            <w:webHidden/>
          </w:rPr>
          <w:t>77</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3" w:history="1">
        <w:r w:rsidRPr="0046086B">
          <w:rPr>
            <w:rStyle w:val="Hyperlink"/>
            <w:rFonts w:eastAsia="Times New Roman"/>
            <w:noProof/>
          </w:rPr>
          <w:t>5.9 Progressive Web Application and Offline-First Implementation</w:t>
        </w:r>
        <w:r>
          <w:rPr>
            <w:noProof/>
            <w:webHidden/>
          </w:rPr>
          <w:tab/>
        </w:r>
        <w:r>
          <w:rPr>
            <w:noProof/>
            <w:webHidden/>
          </w:rPr>
          <w:fldChar w:fldCharType="begin"/>
        </w:r>
        <w:r>
          <w:rPr>
            <w:noProof/>
            <w:webHidden/>
          </w:rPr>
          <w:instrText xml:space="preserve"> PAGEREF _Toc240737133 \h </w:instrText>
        </w:r>
        <w:r>
          <w:rPr>
            <w:noProof/>
            <w:webHidden/>
          </w:rPr>
        </w:r>
        <w:r>
          <w:rPr>
            <w:noProof/>
            <w:webHidden/>
          </w:rPr>
          <w:fldChar w:fldCharType="separate"/>
        </w:r>
        <w:r>
          <w:rPr>
            <w:noProof/>
            <w:webHidden/>
          </w:rPr>
          <w:t>78</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4" w:history="1">
        <w:r w:rsidRPr="0046086B">
          <w:rPr>
            <w:rStyle w:val="Hyperlink"/>
            <w:rFonts w:eastAsia="Times New Roman"/>
            <w:noProof/>
          </w:rPr>
          <w:t>5.10 Internationalisation</w:t>
        </w:r>
        <w:r>
          <w:rPr>
            <w:noProof/>
            <w:webHidden/>
          </w:rPr>
          <w:tab/>
        </w:r>
        <w:r>
          <w:rPr>
            <w:noProof/>
            <w:webHidden/>
          </w:rPr>
          <w:fldChar w:fldCharType="begin"/>
        </w:r>
        <w:r>
          <w:rPr>
            <w:noProof/>
            <w:webHidden/>
          </w:rPr>
          <w:instrText xml:space="preserve"> PAGEREF _Toc240737134 \h </w:instrText>
        </w:r>
        <w:r>
          <w:rPr>
            <w:noProof/>
            <w:webHidden/>
          </w:rPr>
        </w:r>
        <w:r>
          <w:rPr>
            <w:noProof/>
            <w:webHidden/>
          </w:rPr>
          <w:fldChar w:fldCharType="separate"/>
        </w:r>
        <w:r>
          <w:rPr>
            <w:noProof/>
            <w:webHidden/>
          </w:rPr>
          <w:t>80</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5" w:history="1">
        <w:r w:rsidRPr="0046086B">
          <w:rPr>
            <w:rStyle w:val="Hyperlink"/>
            <w:rFonts w:eastAsia="Times New Roman"/>
            <w:noProof/>
          </w:rPr>
          <w:t>5.11 Security Implementation</w:t>
        </w:r>
        <w:r>
          <w:rPr>
            <w:noProof/>
            <w:webHidden/>
          </w:rPr>
          <w:tab/>
        </w:r>
        <w:r>
          <w:rPr>
            <w:noProof/>
            <w:webHidden/>
          </w:rPr>
          <w:fldChar w:fldCharType="begin"/>
        </w:r>
        <w:r>
          <w:rPr>
            <w:noProof/>
            <w:webHidden/>
          </w:rPr>
          <w:instrText xml:space="preserve"> PAGEREF _Toc240737135 \h </w:instrText>
        </w:r>
        <w:r>
          <w:rPr>
            <w:noProof/>
            <w:webHidden/>
          </w:rPr>
        </w:r>
        <w:r>
          <w:rPr>
            <w:noProof/>
            <w:webHidden/>
          </w:rPr>
          <w:fldChar w:fldCharType="separate"/>
        </w:r>
        <w:r>
          <w:rPr>
            <w:noProof/>
            <w:webHidden/>
          </w:rPr>
          <w:t>80</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136" w:history="1">
        <w:r w:rsidRPr="0046086B">
          <w:rPr>
            <w:rStyle w:val="Hyperlink"/>
            <w:rFonts w:eastAsia="Times New Roman"/>
            <w:noProof/>
          </w:rPr>
          <w:t>Chapter 6: Testing and Evaluation</w:t>
        </w:r>
        <w:r>
          <w:rPr>
            <w:noProof/>
            <w:webHidden/>
          </w:rPr>
          <w:tab/>
        </w:r>
        <w:r>
          <w:rPr>
            <w:noProof/>
            <w:webHidden/>
          </w:rPr>
          <w:fldChar w:fldCharType="begin"/>
        </w:r>
        <w:r>
          <w:rPr>
            <w:noProof/>
            <w:webHidden/>
          </w:rPr>
          <w:instrText xml:space="preserve"> PAGEREF _Toc240737136 \h </w:instrText>
        </w:r>
        <w:r>
          <w:rPr>
            <w:noProof/>
            <w:webHidden/>
          </w:rPr>
        </w:r>
        <w:r>
          <w:rPr>
            <w:noProof/>
            <w:webHidden/>
          </w:rPr>
          <w:fldChar w:fldCharType="separate"/>
        </w:r>
        <w:r>
          <w:rPr>
            <w:noProof/>
            <w:webHidden/>
          </w:rPr>
          <w:t>82</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7" w:history="1">
        <w:r w:rsidRPr="0046086B">
          <w:rPr>
            <w:rStyle w:val="Hyperlink"/>
            <w:rFonts w:eastAsia="Times New Roman"/>
            <w:noProof/>
          </w:rPr>
          <w:t>6.1 Introduction</w:t>
        </w:r>
        <w:r>
          <w:rPr>
            <w:noProof/>
            <w:webHidden/>
          </w:rPr>
          <w:tab/>
        </w:r>
        <w:r>
          <w:rPr>
            <w:noProof/>
            <w:webHidden/>
          </w:rPr>
          <w:fldChar w:fldCharType="begin"/>
        </w:r>
        <w:r>
          <w:rPr>
            <w:noProof/>
            <w:webHidden/>
          </w:rPr>
          <w:instrText xml:space="preserve"> PAGEREF _Toc240737137 \h </w:instrText>
        </w:r>
        <w:r>
          <w:rPr>
            <w:noProof/>
            <w:webHidden/>
          </w:rPr>
        </w:r>
        <w:r>
          <w:rPr>
            <w:noProof/>
            <w:webHidden/>
          </w:rPr>
          <w:fldChar w:fldCharType="separate"/>
        </w:r>
        <w:r>
          <w:rPr>
            <w:noProof/>
            <w:webHidden/>
          </w:rPr>
          <w:t>82</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8" w:history="1">
        <w:r w:rsidRPr="0046086B">
          <w:rPr>
            <w:rStyle w:val="Hyperlink"/>
            <w:rFonts w:eastAsia="Times New Roman"/>
            <w:noProof/>
          </w:rPr>
          <w:t>6.2 Testing Strategy</w:t>
        </w:r>
        <w:r>
          <w:rPr>
            <w:noProof/>
            <w:webHidden/>
          </w:rPr>
          <w:tab/>
        </w:r>
        <w:r>
          <w:rPr>
            <w:noProof/>
            <w:webHidden/>
          </w:rPr>
          <w:fldChar w:fldCharType="begin"/>
        </w:r>
        <w:r>
          <w:rPr>
            <w:noProof/>
            <w:webHidden/>
          </w:rPr>
          <w:instrText xml:space="preserve"> PAGEREF _Toc240737138 \h </w:instrText>
        </w:r>
        <w:r>
          <w:rPr>
            <w:noProof/>
            <w:webHidden/>
          </w:rPr>
        </w:r>
        <w:r>
          <w:rPr>
            <w:noProof/>
            <w:webHidden/>
          </w:rPr>
          <w:fldChar w:fldCharType="separate"/>
        </w:r>
        <w:r>
          <w:rPr>
            <w:noProof/>
            <w:webHidden/>
          </w:rPr>
          <w:t>82</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39" w:history="1">
        <w:r w:rsidRPr="0046086B">
          <w:rPr>
            <w:rStyle w:val="Hyperlink"/>
            <w:rFonts w:eastAsia="Times New Roman"/>
            <w:noProof/>
          </w:rPr>
          <w:t>6.3 Test Results Summary</w:t>
        </w:r>
        <w:r>
          <w:rPr>
            <w:noProof/>
            <w:webHidden/>
          </w:rPr>
          <w:tab/>
        </w:r>
        <w:r>
          <w:rPr>
            <w:noProof/>
            <w:webHidden/>
          </w:rPr>
          <w:fldChar w:fldCharType="begin"/>
        </w:r>
        <w:r>
          <w:rPr>
            <w:noProof/>
            <w:webHidden/>
          </w:rPr>
          <w:instrText xml:space="preserve"> PAGEREF _Toc240737139 \h </w:instrText>
        </w:r>
        <w:r>
          <w:rPr>
            <w:noProof/>
            <w:webHidden/>
          </w:rPr>
        </w:r>
        <w:r>
          <w:rPr>
            <w:noProof/>
            <w:webHidden/>
          </w:rPr>
          <w:fldChar w:fldCharType="separate"/>
        </w:r>
        <w:r>
          <w:rPr>
            <w:noProof/>
            <w:webHidden/>
          </w:rPr>
          <w:t>82</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0" w:history="1">
        <w:r w:rsidRPr="0046086B">
          <w:rPr>
            <w:rStyle w:val="Hyperlink"/>
            <w:rFonts w:eastAsia="Times New Roman"/>
            <w:noProof/>
          </w:rPr>
          <w:t>6.4 Explainability and Determinism Verification</w:t>
        </w:r>
        <w:r>
          <w:rPr>
            <w:noProof/>
            <w:webHidden/>
          </w:rPr>
          <w:tab/>
        </w:r>
        <w:r>
          <w:rPr>
            <w:noProof/>
            <w:webHidden/>
          </w:rPr>
          <w:fldChar w:fldCharType="begin"/>
        </w:r>
        <w:r>
          <w:rPr>
            <w:noProof/>
            <w:webHidden/>
          </w:rPr>
          <w:instrText xml:space="preserve"> PAGEREF _Toc240737140 \h </w:instrText>
        </w:r>
        <w:r>
          <w:rPr>
            <w:noProof/>
            <w:webHidden/>
          </w:rPr>
        </w:r>
        <w:r>
          <w:rPr>
            <w:noProof/>
            <w:webHidden/>
          </w:rPr>
          <w:fldChar w:fldCharType="separate"/>
        </w:r>
        <w:r>
          <w:rPr>
            <w:noProof/>
            <w:webHidden/>
          </w:rPr>
          <w:t>84</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1" w:history="1">
        <w:r w:rsidRPr="0046086B">
          <w:rPr>
            <w:rStyle w:val="Hyperlink"/>
            <w:rFonts w:eastAsia="Times New Roman"/>
            <w:noProof/>
          </w:rPr>
          <w:t>6.5 Resilience and Graceful-Degradation Testing</w:t>
        </w:r>
        <w:r>
          <w:rPr>
            <w:noProof/>
            <w:webHidden/>
          </w:rPr>
          <w:tab/>
        </w:r>
        <w:r>
          <w:rPr>
            <w:noProof/>
            <w:webHidden/>
          </w:rPr>
          <w:fldChar w:fldCharType="begin"/>
        </w:r>
        <w:r>
          <w:rPr>
            <w:noProof/>
            <w:webHidden/>
          </w:rPr>
          <w:instrText xml:space="preserve"> PAGEREF _Toc240737141 \h </w:instrText>
        </w:r>
        <w:r>
          <w:rPr>
            <w:noProof/>
            <w:webHidden/>
          </w:rPr>
        </w:r>
        <w:r>
          <w:rPr>
            <w:noProof/>
            <w:webHidden/>
          </w:rPr>
          <w:fldChar w:fldCharType="separate"/>
        </w:r>
        <w:r>
          <w:rPr>
            <w:noProof/>
            <w:webHidden/>
          </w:rPr>
          <w:t>85</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2" w:history="1">
        <w:r w:rsidRPr="0046086B">
          <w:rPr>
            <w:rStyle w:val="Hyperlink"/>
            <w:rFonts w:eastAsia="Times New Roman"/>
            <w:noProof/>
          </w:rPr>
          <w:t>6.6 The One Observed Failure and Coverage Gaps</w:t>
        </w:r>
        <w:r>
          <w:rPr>
            <w:noProof/>
            <w:webHidden/>
          </w:rPr>
          <w:tab/>
        </w:r>
        <w:r>
          <w:rPr>
            <w:noProof/>
            <w:webHidden/>
          </w:rPr>
          <w:fldChar w:fldCharType="begin"/>
        </w:r>
        <w:r>
          <w:rPr>
            <w:noProof/>
            <w:webHidden/>
          </w:rPr>
          <w:instrText xml:space="preserve"> PAGEREF _Toc240737142 \h </w:instrText>
        </w:r>
        <w:r>
          <w:rPr>
            <w:noProof/>
            <w:webHidden/>
          </w:rPr>
        </w:r>
        <w:r>
          <w:rPr>
            <w:noProof/>
            <w:webHidden/>
          </w:rPr>
          <w:fldChar w:fldCharType="separate"/>
        </w:r>
        <w:r>
          <w:rPr>
            <w:noProof/>
            <w:webHidden/>
          </w:rPr>
          <w:t>85</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3" w:history="1">
        <w:r w:rsidRPr="0046086B">
          <w:rPr>
            <w:rStyle w:val="Hyperlink"/>
            <w:rFonts w:eastAsia="Times New Roman"/>
            <w:noProof/>
          </w:rPr>
          <w:t>6.7 Evaluation Scope and What Was Not Assessed</w:t>
        </w:r>
        <w:r>
          <w:rPr>
            <w:noProof/>
            <w:webHidden/>
          </w:rPr>
          <w:tab/>
        </w:r>
        <w:r>
          <w:rPr>
            <w:noProof/>
            <w:webHidden/>
          </w:rPr>
          <w:fldChar w:fldCharType="begin"/>
        </w:r>
        <w:r>
          <w:rPr>
            <w:noProof/>
            <w:webHidden/>
          </w:rPr>
          <w:instrText xml:space="preserve"> PAGEREF _Toc240737143 \h </w:instrText>
        </w:r>
        <w:r>
          <w:rPr>
            <w:noProof/>
            <w:webHidden/>
          </w:rPr>
        </w:r>
        <w:r>
          <w:rPr>
            <w:noProof/>
            <w:webHidden/>
          </w:rPr>
          <w:fldChar w:fldCharType="separate"/>
        </w:r>
        <w:r>
          <w:rPr>
            <w:noProof/>
            <w:webHidden/>
          </w:rPr>
          <w:t>86</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144" w:history="1">
        <w:r w:rsidRPr="0046086B">
          <w:rPr>
            <w:rStyle w:val="Hyperlink"/>
            <w:rFonts w:eastAsia="Times New Roman"/>
            <w:noProof/>
          </w:rPr>
          <w:t>Chapter 7: Conclusion and Recommendations</w:t>
        </w:r>
        <w:r>
          <w:rPr>
            <w:noProof/>
            <w:webHidden/>
          </w:rPr>
          <w:tab/>
        </w:r>
        <w:r>
          <w:rPr>
            <w:noProof/>
            <w:webHidden/>
          </w:rPr>
          <w:fldChar w:fldCharType="begin"/>
        </w:r>
        <w:r>
          <w:rPr>
            <w:noProof/>
            <w:webHidden/>
          </w:rPr>
          <w:instrText xml:space="preserve"> PAGEREF _Toc240737144 \h </w:instrText>
        </w:r>
        <w:r>
          <w:rPr>
            <w:noProof/>
            <w:webHidden/>
          </w:rPr>
        </w:r>
        <w:r>
          <w:rPr>
            <w:noProof/>
            <w:webHidden/>
          </w:rPr>
          <w:fldChar w:fldCharType="separate"/>
        </w:r>
        <w:r>
          <w:rPr>
            <w:noProof/>
            <w:webHidden/>
          </w:rPr>
          <w:t>88</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5" w:history="1">
        <w:r w:rsidRPr="0046086B">
          <w:rPr>
            <w:rStyle w:val="Hyperlink"/>
            <w:rFonts w:eastAsia="Times New Roman"/>
            <w:noProof/>
          </w:rPr>
          <w:t>7.1 Summary of the Study</w:t>
        </w:r>
        <w:r>
          <w:rPr>
            <w:noProof/>
            <w:webHidden/>
          </w:rPr>
          <w:tab/>
        </w:r>
        <w:r>
          <w:rPr>
            <w:noProof/>
            <w:webHidden/>
          </w:rPr>
          <w:fldChar w:fldCharType="begin"/>
        </w:r>
        <w:r>
          <w:rPr>
            <w:noProof/>
            <w:webHidden/>
          </w:rPr>
          <w:instrText xml:space="preserve"> PAGEREF _Toc240737145 \h </w:instrText>
        </w:r>
        <w:r>
          <w:rPr>
            <w:noProof/>
            <w:webHidden/>
          </w:rPr>
        </w:r>
        <w:r>
          <w:rPr>
            <w:noProof/>
            <w:webHidden/>
          </w:rPr>
          <w:fldChar w:fldCharType="separate"/>
        </w:r>
        <w:r>
          <w:rPr>
            <w:noProof/>
            <w:webHidden/>
          </w:rPr>
          <w:t>88</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6" w:history="1">
        <w:r w:rsidRPr="0046086B">
          <w:rPr>
            <w:rStyle w:val="Hyperlink"/>
            <w:rFonts w:eastAsia="Times New Roman"/>
            <w:noProof/>
          </w:rPr>
          <w:t>7.2 Achievement of Objectives</w:t>
        </w:r>
        <w:r>
          <w:rPr>
            <w:noProof/>
            <w:webHidden/>
          </w:rPr>
          <w:tab/>
        </w:r>
        <w:r>
          <w:rPr>
            <w:noProof/>
            <w:webHidden/>
          </w:rPr>
          <w:fldChar w:fldCharType="begin"/>
        </w:r>
        <w:r>
          <w:rPr>
            <w:noProof/>
            <w:webHidden/>
          </w:rPr>
          <w:instrText xml:space="preserve"> PAGEREF _Toc240737146 \h </w:instrText>
        </w:r>
        <w:r>
          <w:rPr>
            <w:noProof/>
            <w:webHidden/>
          </w:rPr>
        </w:r>
        <w:r>
          <w:rPr>
            <w:noProof/>
            <w:webHidden/>
          </w:rPr>
          <w:fldChar w:fldCharType="separate"/>
        </w:r>
        <w:r>
          <w:rPr>
            <w:noProof/>
            <w:webHidden/>
          </w:rPr>
          <w:t>88</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7" w:history="1">
        <w:r w:rsidRPr="0046086B">
          <w:rPr>
            <w:rStyle w:val="Hyperlink"/>
            <w:rFonts w:eastAsia="Times New Roman"/>
            <w:noProof/>
          </w:rPr>
          <w:t>7.3 Contributions</w:t>
        </w:r>
        <w:r>
          <w:rPr>
            <w:noProof/>
            <w:webHidden/>
          </w:rPr>
          <w:tab/>
        </w:r>
        <w:r>
          <w:rPr>
            <w:noProof/>
            <w:webHidden/>
          </w:rPr>
          <w:fldChar w:fldCharType="begin"/>
        </w:r>
        <w:r>
          <w:rPr>
            <w:noProof/>
            <w:webHidden/>
          </w:rPr>
          <w:instrText xml:space="preserve"> PAGEREF _Toc240737147 \h </w:instrText>
        </w:r>
        <w:r>
          <w:rPr>
            <w:noProof/>
            <w:webHidden/>
          </w:rPr>
        </w:r>
        <w:r>
          <w:rPr>
            <w:noProof/>
            <w:webHidden/>
          </w:rPr>
          <w:fldChar w:fldCharType="separate"/>
        </w:r>
        <w:r>
          <w:rPr>
            <w:noProof/>
            <w:webHidden/>
          </w:rPr>
          <w:t>89</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8" w:history="1">
        <w:r w:rsidRPr="0046086B">
          <w:rPr>
            <w:rStyle w:val="Hyperlink"/>
            <w:rFonts w:eastAsia="Times New Roman"/>
            <w:noProof/>
          </w:rPr>
          <w:t>7.4 Limitations</w:t>
        </w:r>
        <w:r>
          <w:rPr>
            <w:noProof/>
            <w:webHidden/>
          </w:rPr>
          <w:tab/>
        </w:r>
        <w:r>
          <w:rPr>
            <w:noProof/>
            <w:webHidden/>
          </w:rPr>
          <w:fldChar w:fldCharType="begin"/>
        </w:r>
        <w:r>
          <w:rPr>
            <w:noProof/>
            <w:webHidden/>
          </w:rPr>
          <w:instrText xml:space="preserve"> PAGEREF _Toc240737148 \h </w:instrText>
        </w:r>
        <w:r>
          <w:rPr>
            <w:noProof/>
            <w:webHidden/>
          </w:rPr>
        </w:r>
        <w:r>
          <w:rPr>
            <w:noProof/>
            <w:webHidden/>
          </w:rPr>
          <w:fldChar w:fldCharType="separate"/>
        </w:r>
        <w:r>
          <w:rPr>
            <w:noProof/>
            <w:webHidden/>
          </w:rPr>
          <w:t>90</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49" w:history="1">
        <w:r w:rsidRPr="0046086B">
          <w:rPr>
            <w:rStyle w:val="Hyperlink"/>
            <w:rFonts w:eastAsia="Times New Roman"/>
            <w:noProof/>
          </w:rPr>
          <w:t>7.5 Recommendations for Future Work</w:t>
        </w:r>
        <w:r>
          <w:rPr>
            <w:noProof/>
            <w:webHidden/>
          </w:rPr>
          <w:tab/>
        </w:r>
        <w:r>
          <w:rPr>
            <w:noProof/>
            <w:webHidden/>
          </w:rPr>
          <w:fldChar w:fldCharType="begin"/>
        </w:r>
        <w:r>
          <w:rPr>
            <w:noProof/>
            <w:webHidden/>
          </w:rPr>
          <w:instrText xml:space="preserve"> PAGEREF _Toc240737149 \h </w:instrText>
        </w:r>
        <w:r>
          <w:rPr>
            <w:noProof/>
            <w:webHidden/>
          </w:rPr>
        </w:r>
        <w:r>
          <w:rPr>
            <w:noProof/>
            <w:webHidden/>
          </w:rPr>
          <w:fldChar w:fldCharType="separate"/>
        </w:r>
        <w:r>
          <w:rPr>
            <w:noProof/>
            <w:webHidden/>
          </w:rPr>
          <w:t>90</w:t>
        </w:r>
        <w:r>
          <w:rPr>
            <w:noProof/>
            <w:webHidden/>
          </w:rPr>
          <w:fldChar w:fldCharType="end"/>
        </w:r>
      </w:hyperlink>
    </w:p>
    <w:p w:rsidR="0030472D" w:rsidRDefault="0030472D">
      <w:pPr>
        <w:pStyle w:val="TOC2"/>
        <w:tabs>
          <w:tab w:val="right" w:leader="dot" w:pos="8630"/>
        </w:tabs>
        <w:rPr>
          <w:rFonts w:asciiTheme="minorHAnsi" w:hAnsiTheme="minorHAnsi"/>
          <w:noProof/>
          <w:sz w:val="22"/>
        </w:rPr>
      </w:pPr>
      <w:hyperlink w:anchor="_Toc240737150" w:history="1">
        <w:r w:rsidRPr="0046086B">
          <w:rPr>
            <w:rStyle w:val="Hyperlink"/>
            <w:rFonts w:eastAsia="Times New Roman"/>
            <w:noProof/>
          </w:rPr>
          <w:t>7.6 Conclusion</w:t>
        </w:r>
        <w:r>
          <w:rPr>
            <w:noProof/>
            <w:webHidden/>
          </w:rPr>
          <w:tab/>
        </w:r>
        <w:r>
          <w:rPr>
            <w:noProof/>
            <w:webHidden/>
          </w:rPr>
          <w:fldChar w:fldCharType="begin"/>
        </w:r>
        <w:r>
          <w:rPr>
            <w:noProof/>
            <w:webHidden/>
          </w:rPr>
          <w:instrText xml:space="preserve"> PAGEREF _Toc240737150 \h </w:instrText>
        </w:r>
        <w:r>
          <w:rPr>
            <w:noProof/>
            <w:webHidden/>
          </w:rPr>
        </w:r>
        <w:r>
          <w:rPr>
            <w:noProof/>
            <w:webHidden/>
          </w:rPr>
          <w:fldChar w:fldCharType="separate"/>
        </w:r>
        <w:r>
          <w:rPr>
            <w:noProof/>
            <w:webHidden/>
          </w:rPr>
          <w:t>91</w:t>
        </w:r>
        <w:r>
          <w:rPr>
            <w:noProof/>
            <w:webHidden/>
          </w:rPr>
          <w:fldChar w:fldCharType="end"/>
        </w:r>
      </w:hyperlink>
    </w:p>
    <w:p w:rsidR="0030472D" w:rsidRDefault="0030472D">
      <w:pPr>
        <w:pStyle w:val="TOC1"/>
        <w:tabs>
          <w:tab w:val="right" w:leader="dot" w:pos="8630"/>
        </w:tabs>
        <w:rPr>
          <w:rFonts w:asciiTheme="minorHAnsi" w:hAnsiTheme="minorHAnsi"/>
          <w:noProof/>
          <w:sz w:val="22"/>
        </w:rPr>
      </w:pPr>
      <w:hyperlink w:anchor="_Toc240737151" w:history="1">
        <w:r w:rsidRPr="0046086B">
          <w:rPr>
            <w:rStyle w:val="Hyperlink"/>
            <w:rFonts w:eastAsia="Times New Roman"/>
            <w:noProof/>
          </w:rPr>
          <w:t>References</w:t>
        </w:r>
        <w:r>
          <w:rPr>
            <w:noProof/>
            <w:webHidden/>
          </w:rPr>
          <w:tab/>
        </w:r>
        <w:r>
          <w:rPr>
            <w:noProof/>
            <w:webHidden/>
          </w:rPr>
          <w:fldChar w:fldCharType="begin"/>
        </w:r>
        <w:r>
          <w:rPr>
            <w:noProof/>
            <w:webHidden/>
          </w:rPr>
          <w:instrText xml:space="preserve"> PAGEREF _Toc240737151 \h </w:instrText>
        </w:r>
        <w:r>
          <w:rPr>
            <w:noProof/>
            <w:webHidden/>
          </w:rPr>
        </w:r>
        <w:r>
          <w:rPr>
            <w:noProof/>
            <w:webHidden/>
          </w:rPr>
          <w:fldChar w:fldCharType="separate"/>
        </w:r>
        <w:r>
          <w:rPr>
            <w:noProof/>
            <w:webHidden/>
          </w:rPr>
          <w:t>92</w:t>
        </w:r>
        <w:r>
          <w:rPr>
            <w:noProof/>
            <w:webHidden/>
          </w:rPr>
          <w:fldChar w:fldCharType="end"/>
        </w:r>
      </w:hyperlink>
    </w:p>
    <w:p w:rsidR="000216F0" w:rsidRDefault="0030472D">
      <w:r>
        <w:fldChar w:fldCharType="end"/>
      </w:r>
    </w:p>
    <w:p w:rsidR="000216F0" w:rsidRDefault="000216F0">
      <w:pPr>
        <w:pageBreakBefore/>
      </w:pPr>
    </w:p>
    <w:p w:rsidR="000216F0" w:rsidRDefault="0030472D">
      <w:pPr>
        <w:pStyle w:val="Heading1"/>
        <w:spacing w:before="80" w:after="200"/>
      </w:pPr>
      <w:bookmarkStart w:id="4" w:name="_Toc240737052"/>
      <w:r>
        <w:rPr>
          <w:rFonts w:ascii="Times New Roman" w:eastAsia="Times New Roman" w:hAnsi="Times New Roman"/>
          <w:color w:val="047857"/>
          <w:sz w:val="36"/>
        </w:rPr>
        <w:t>List of Figures</w:t>
      </w:r>
      <w:bookmarkEnd w:id="4"/>
    </w:p>
    <w:p w:rsidR="000216F0" w:rsidRDefault="0030472D">
      <w:pPr>
        <w:spacing w:after="120"/>
      </w:pPr>
      <w:r>
        <w:rPr>
          <w:rFonts w:eastAsia="Times New Roman"/>
        </w:rPr>
        <w:t xml:space="preserve">Figure 2.1: FarmIQ </w:t>
      </w:r>
      <w:r>
        <w:rPr>
          <w:rFonts w:eastAsia="Times New Roman"/>
        </w:rPr>
        <w:t>Conceptual Framework</w:t>
      </w:r>
    </w:p>
    <w:p w:rsidR="000216F0" w:rsidRDefault="0030472D">
      <w:pPr>
        <w:spacing w:after="120"/>
      </w:pPr>
      <w:r>
        <w:rPr>
          <w:rFonts w:eastAsia="Times New Roman"/>
        </w:rPr>
        <w:t>Figure 4.3: FarmIQ High-Level System Architecture</w:t>
      </w:r>
    </w:p>
    <w:p w:rsidR="000216F0" w:rsidRDefault="0030472D">
      <w:pPr>
        <w:spacing w:after="120"/>
      </w:pPr>
      <w:r>
        <w:rPr>
          <w:rFonts w:eastAsia="Times New Roman"/>
        </w:rPr>
        <w:t>Figure 4.4: FarmIQ Role Hierarchy and Permissions</w:t>
      </w:r>
    </w:p>
    <w:p w:rsidR="000216F0" w:rsidRDefault="0030472D">
      <w:pPr>
        <w:spacing w:after="120"/>
      </w:pPr>
      <w:r>
        <w:rPr>
          <w:rFonts w:eastAsia="Times New Roman"/>
        </w:rPr>
        <w:t>Figure 5.1: Milk-Yield Prediction Pipeline (Ridge Regression)</w:t>
      </w:r>
    </w:p>
    <w:p w:rsidR="000216F0" w:rsidRDefault="0030472D">
      <w:pPr>
        <w:spacing w:after="120"/>
      </w:pPr>
      <w:r>
        <w:rPr>
          <w:rFonts w:eastAsia="Times New Roman"/>
        </w:rPr>
        <w:t>Figure 5.2: Alternative Credit-Scoring Pipeline (PCA + KMeans)</w:t>
      </w:r>
    </w:p>
    <w:p w:rsidR="000216F0" w:rsidRDefault="0030472D">
      <w:pPr>
        <w:pStyle w:val="Heading1"/>
        <w:pageBreakBefore/>
        <w:spacing w:before="80" w:after="200"/>
      </w:pPr>
      <w:bookmarkStart w:id="5" w:name="_Toc240737053"/>
      <w:r>
        <w:rPr>
          <w:rFonts w:ascii="Times New Roman" w:eastAsia="Times New Roman" w:hAnsi="Times New Roman"/>
          <w:color w:val="047857"/>
          <w:sz w:val="36"/>
        </w:rPr>
        <w:lastRenderedPageBreak/>
        <w:t xml:space="preserve">List of </w:t>
      </w:r>
      <w:r>
        <w:rPr>
          <w:rFonts w:ascii="Times New Roman" w:eastAsia="Times New Roman" w:hAnsi="Times New Roman"/>
          <w:color w:val="047857"/>
          <w:sz w:val="36"/>
        </w:rPr>
        <w:t>Tables</w:t>
      </w:r>
      <w:bookmarkEnd w:id="5"/>
    </w:p>
    <w:p w:rsidR="000216F0" w:rsidRDefault="0030472D">
      <w:pPr>
        <w:spacing w:after="120"/>
      </w:pPr>
      <w:r>
        <w:rPr>
          <w:rFonts w:eastAsia="Times New Roman"/>
        </w:rPr>
        <w:t>Table 2.1: Comparative analysis of FarmIQ against representative existing systems</w:t>
      </w:r>
    </w:p>
    <w:p w:rsidR="000216F0" w:rsidRDefault="0030472D">
      <w:pPr>
        <w:spacing w:after="120"/>
      </w:pPr>
      <w:r>
        <w:rPr>
          <w:rFonts w:eastAsia="Times New Roman"/>
        </w:rPr>
        <w:t>Table 3.1: FarmIQ's evolutionary development sequence, reconstructed from migration history</w:t>
      </w:r>
    </w:p>
    <w:p w:rsidR="000216F0" w:rsidRDefault="0030472D">
      <w:pPr>
        <w:spacing w:after="120"/>
      </w:pPr>
      <w:r>
        <w:rPr>
          <w:rFonts w:eastAsia="Times New Roman"/>
        </w:rPr>
        <w:t>Table 4.1: Core database tables underlying FarmIQ's distinguishing analytic</w:t>
      </w:r>
      <w:r>
        <w:rPr>
          <w:rFonts w:eastAsia="Times New Roman"/>
        </w:rPr>
        <w:t>al and trust capabilities</w:t>
      </w:r>
    </w:p>
    <w:p w:rsidR="000216F0" w:rsidRDefault="0030472D">
      <w:pPr>
        <w:spacing w:after="120"/>
      </w:pPr>
      <w:r>
        <w:rPr>
          <w:rFonts w:eastAsia="Times New Roman"/>
        </w:rPr>
        <w:t>Table 6.1: Automated test results by application (230 tests total, 229 passing, 1 failing, 0 errors)</w:t>
      </w:r>
    </w:p>
    <w:p w:rsidR="000216F0" w:rsidRDefault="0030472D">
      <w:pPr>
        <w:pStyle w:val="Heading1"/>
        <w:pageBreakBefore/>
        <w:spacing w:before="80" w:after="200"/>
      </w:pPr>
      <w:bookmarkStart w:id="6" w:name="_Toc240737054"/>
      <w:r>
        <w:rPr>
          <w:rFonts w:ascii="Times New Roman" w:eastAsia="Times New Roman" w:hAnsi="Times New Roman"/>
          <w:color w:val="047857"/>
          <w:sz w:val="36"/>
        </w:rPr>
        <w:lastRenderedPageBreak/>
        <w:t>List of Abbreviations</w:t>
      </w:r>
      <w:bookmarkEnd w:id="6"/>
    </w:p>
    <w:p w:rsidR="000216F0" w:rsidRDefault="0030472D">
      <w:pPr>
        <w:spacing w:after="80"/>
      </w:pPr>
      <w:r>
        <w:rPr>
          <w:rFonts w:eastAsia="Times New Roman"/>
        </w:rPr>
        <w:t>AI - Artificial Intelligence</w:t>
      </w:r>
    </w:p>
    <w:p w:rsidR="000216F0" w:rsidRDefault="0030472D">
      <w:pPr>
        <w:spacing w:after="80"/>
      </w:pPr>
      <w:r>
        <w:rPr>
          <w:rFonts w:eastAsia="Times New Roman"/>
        </w:rPr>
        <w:t>API - Application Programming Interface</w:t>
      </w:r>
    </w:p>
    <w:p w:rsidR="000216F0" w:rsidRDefault="0030472D">
      <w:pPr>
        <w:spacing w:after="80"/>
      </w:pPr>
      <w:r>
        <w:rPr>
          <w:rFonts w:eastAsia="Times New Roman"/>
        </w:rPr>
        <w:t>CSS - Cascading Style Sheets</w:t>
      </w:r>
    </w:p>
    <w:p w:rsidR="000216F0" w:rsidRDefault="0030472D">
      <w:pPr>
        <w:spacing w:after="80"/>
      </w:pPr>
      <w:r>
        <w:rPr>
          <w:rFonts w:eastAsia="Times New Roman"/>
        </w:rPr>
        <w:t>CSV - Com</w:t>
      </w:r>
      <w:r>
        <w:rPr>
          <w:rFonts w:eastAsia="Times New Roman"/>
        </w:rPr>
        <w:t>ma-Separated Values</w:t>
      </w:r>
    </w:p>
    <w:p w:rsidR="000216F0" w:rsidRDefault="0030472D">
      <w:pPr>
        <w:spacing w:after="80"/>
      </w:pPr>
      <w:r>
        <w:rPr>
          <w:rFonts w:eastAsia="Times New Roman"/>
        </w:rPr>
        <w:t>ERD - Entity-Relationship Diagram</w:t>
      </w:r>
    </w:p>
    <w:p w:rsidR="000216F0" w:rsidRDefault="0030472D">
      <w:pPr>
        <w:spacing w:after="80"/>
      </w:pPr>
      <w:r>
        <w:rPr>
          <w:rFonts w:eastAsia="Times New Roman"/>
        </w:rPr>
        <w:t>FIQ - FarmIQ Token (platform reward token)</w:t>
      </w:r>
    </w:p>
    <w:p w:rsidR="000216F0" w:rsidRDefault="0030472D">
      <w:pPr>
        <w:spacing w:after="80"/>
      </w:pPr>
      <w:r>
        <w:rPr>
          <w:rFonts w:eastAsia="Times New Roman"/>
        </w:rPr>
        <w:t>FMIS - Farm Management Information System</w:t>
      </w:r>
    </w:p>
    <w:p w:rsidR="000216F0" w:rsidRDefault="0030472D">
      <w:pPr>
        <w:spacing w:after="80"/>
      </w:pPr>
      <w:r>
        <w:rPr>
          <w:rFonts w:eastAsia="Times New Roman"/>
        </w:rPr>
        <w:t>GPS - Global Positioning System</w:t>
      </w:r>
    </w:p>
    <w:p w:rsidR="000216F0" w:rsidRDefault="0030472D">
      <w:pPr>
        <w:spacing w:after="80"/>
      </w:pPr>
      <w:r>
        <w:rPr>
          <w:rFonts w:eastAsia="Times New Roman"/>
        </w:rPr>
        <w:t>HCS - Hedera Consensus Service</w:t>
      </w:r>
    </w:p>
    <w:p w:rsidR="000216F0" w:rsidRDefault="0030472D">
      <w:pPr>
        <w:spacing w:after="80"/>
      </w:pPr>
      <w:r>
        <w:rPr>
          <w:rFonts w:eastAsia="Times New Roman"/>
        </w:rPr>
        <w:t>HTML - HyperText Markup Language</w:t>
      </w:r>
    </w:p>
    <w:p w:rsidR="000216F0" w:rsidRDefault="0030472D">
      <w:pPr>
        <w:spacing w:after="80"/>
      </w:pPr>
      <w:r>
        <w:rPr>
          <w:rFonts w:eastAsia="Times New Roman"/>
        </w:rPr>
        <w:t>HTS - Hedera Token Se</w:t>
      </w:r>
      <w:r>
        <w:rPr>
          <w:rFonts w:eastAsia="Times New Roman"/>
        </w:rPr>
        <w:t>rvice</w:t>
      </w:r>
    </w:p>
    <w:p w:rsidR="000216F0" w:rsidRDefault="0030472D">
      <w:pPr>
        <w:spacing w:after="80"/>
      </w:pPr>
      <w:r>
        <w:rPr>
          <w:rFonts w:eastAsia="Times New Roman"/>
        </w:rPr>
        <w:t>IFC - International Finance Corporation</w:t>
      </w:r>
    </w:p>
    <w:p w:rsidR="000216F0" w:rsidRDefault="0030472D">
      <w:pPr>
        <w:spacing w:after="80"/>
      </w:pPr>
      <w:r>
        <w:rPr>
          <w:rFonts w:eastAsia="Times New Roman"/>
        </w:rPr>
        <w:t>IoT - Internet of Things</w:t>
      </w:r>
    </w:p>
    <w:p w:rsidR="000216F0" w:rsidRDefault="0030472D">
      <w:pPr>
        <w:spacing w:after="80"/>
      </w:pPr>
      <w:r>
        <w:rPr>
          <w:rFonts w:eastAsia="Times New Roman"/>
        </w:rPr>
        <w:t>IQR - Interquartile Range</w:t>
      </w:r>
    </w:p>
    <w:p w:rsidR="000216F0" w:rsidRDefault="0030472D">
      <w:pPr>
        <w:spacing w:after="80"/>
      </w:pPr>
      <w:r>
        <w:rPr>
          <w:rFonts w:eastAsia="Times New Roman"/>
        </w:rPr>
        <w:t>JSON - JavaScript Object Notation</w:t>
      </w:r>
    </w:p>
    <w:p w:rsidR="000216F0" w:rsidRDefault="0030472D">
      <w:pPr>
        <w:spacing w:after="80"/>
      </w:pPr>
      <w:r>
        <w:rPr>
          <w:rFonts w:eastAsia="Times New Roman"/>
        </w:rPr>
        <w:t>JWT - JSON Web Token</w:t>
      </w:r>
    </w:p>
    <w:p w:rsidR="000216F0" w:rsidRDefault="0030472D">
      <w:pPr>
        <w:spacing w:after="80"/>
      </w:pPr>
      <w:r>
        <w:rPr>
          <w:rFonts w:eastAsia="Times New Roman"/>
        </w:rPr>
        <w:t>KES - Kenya Shillings</w:t>
      </w:r>
    </w:p>
    <w:p w:rsidR="000216F0" w:rsidRDefault="0030472D">
      <w:pPr>
        <w:spacing w:after="80"/>
      </w:pPr>
      <w:r>
        <w:rPr>
          <w:rFonts w:eastAsia="Times New Roman"/>
        </w:rPr>
        <w:t>LIME - Local Interpretable Model-agnostic Explanations</w:t>
      </w:r>
    </w:p>
    <w:p w:rsidR="000216F0" w:rsidRDefault="0030472D">
      <w:pPr>
        <w:spacing w:after="80"/>
      </w:pPr>
      <w:r>
        <w:rPr>
          <w:rFonts w:eastAsia="Times New Roman"/>
        </w:rPr>
        <w:t>ML - Machine Learning</w:t>
      </w:r>
    </w:p>
    <w:p w:rsidR="000216F0" w:rsidRDefault="0030472D">
      <w:pPr>
        <w:spacing w:after="80"/>
      </w:pPr>
      <w:r>
        <w:rPr>
          <w:rFonts w:eastAsia="Times New Roman"/>
        </w:rPr>
        <w:t>MAE -</w:t>
      </w:r>
      <w:r>
        <w:rPr>
          <w:rFonts w:eastAsia="Times New Roman"/>
        </w:rPr>
        <w:t xml:space="preserve"> Mean Absolute Error</w:t>
      </w:r>
    </w:p>
    <w:p w:rsidR="000216F0" w:rsidRDefault="0030472D">
      <w:pPr>
        <w:spacing w:after="80"/>
      </w:pPr>
      <w:r>
        <w:rPr>
          <w:rFonts w:eastAsia="Times New Roman"/>
        </w:rPr>
        <w:t>NFT - Non-Fungible Token</w:t>
      </w:r>
    </w:p>
    <w:p w:rsidR="000216F0" w:rsidRDefault="0030472D">
      <w:pPr>
        <w:spacing w:after="80"/>
      </w:pPr>
      <w:r>
        <w:rPr>
          <w:rFonts w:eastAsia="Times New Roman"/>
        </w:rPr>
        <w:t>OOAD - Object-Oriented Analysis and Design</w:t>
      </w:r>
    </w:p>
    <w:p w:rsidR="000216F0" w:rsidRDefault="0030472D">
      <w:pPr>
        <w:spacing w:after="80"/>
      </w:pPr>
      <w:r>
        <w:rPr>
          <w:rFonts w:eastAsia="Times New Roman"/>
        </w:rPr>
        <w:t>ORM - Object-Relational Mapping</w:t>
      </w:r>
    </w:p>
    <w:p w:rsidR="000216F0" w:rsidRDefault="0030472D">
      <w:pPr>
        <w:spacing w:after="80"/>
      </w:pPr>
      <w:r>
        <w:rPr>
          <w:rFonts w:eastAsia="Times New Roman"/>
        </w:rPr>
        <w:t>OTP - One-Time Password</w:t>
      </w:r>
    </w:p>
    <w:p w:rsidR="000216F0" w:rsidRDefault="0030472D">
      <w:pPr>
        <w:spacing w:after="80"/>
      </w:pPr>
      <w:r>
        <w:rPr>
          <w:rFonts w:eastAsia="Times New Roman"/>
        </w:rPr>
        <w:t>PCA - Principal Component Analysis</w:t>
      </w:r>
    </w:p>
    <w:p w:rsidR="000216F0" w:rsidRDefault="0030472D">
      <w:pPr>
        <w:spacing w:after="80"/>
      </w:pPr>
      <w:r>
        <w:rPr>
          <w:rFonts w:eastAsia="Times New Roman"/>
        </w:rPr>
        <w:lastRenderedPageBreak/>
        <w:t>PDF - Portable Document Format</w:t>
      </w:r>
    </w:p>
    <w:p w:rsidR="000216F0" w:rsidRDefault="0030472D">
      <w:pPr>
        <w:spacing w:after="80"/>
      </w:pPr>
      <w:r>
        <w:rPr>
          <w:rFonts w:eastAsia="Times New Roman"/>
        </w:rPr>
        <w:t>PWA - Progressive Web Application</w:t>
      </w:r>
    </w:p>
    <w:p w:rsidR="000216F0" w:rsidRDefault="0030472D">
      <w:pPr>
        <w:spacing w:after="80"/>
      </w:pPr>
      <w:r>
        <w:rPr>
          <w:rFonts w:eastAsia="Times New Roman"/>
        </w:rPr>
        <w:t xml:space="preserve">RBAC - </w:t>
      </w:r>
      <w:r>
        <w:rPr>
          <w:rFonts w:eastAsia="Times New Roman"/>
        </w:rPr>
        <w:t>Role-Based Access Control</w:t>
      </w:r>
    </w:p>
    <w:p w:rsidR="000216F0" w:rsidRDefault="0030472D">
      <w:pPr>
        <w:spacing w:after="80"/>
      </w:pPr>
      <w:r>
        <w:rPr>
          <w:rFonts w:eastAsia="Times New Roman"/>
        </w:rPr>
        <w:t>REST - Representational State Transfer</w:t>
      </w:r>
    </w:p>
    <w:p w:rsidR="000216F0" w:rsidRDefault="0030472D">
      <w:pPr>
        <w:spacing w:after="80"/>
      </w:pPr>
      <w:r>
        <w:rPr>
          <w:rFonts w:eastAsia="Times New Roman"/>
        </w:rPr>
        <w:t>RMSE - Root Mean Squared Error</w:t>
      </w:r>
    </w:p>
    <w:p w:rsidR="000216F0" w:rsidRDefault="0030472D">
      <w:pPr>
        <w:spacing w:after="80"/>
      </w:pPr>
      <w:r>
        <w:rPr>
          <w:rFonts w:eastAsia="Times New Roman"/>
        </w:rPr>
        <w:t>SACCO - Savings and Credit Cooperative Organisation</w:t>
      </w:r>
    </w:p>
    <w:p w:rsidR="000216F0" w:rsidRDefault="0030472D">
      <w:pPr>
        <w:spacing w:after="80"/>
      </w:pPr>
      <w:r>
        <w:rPr>
          <w:rFonts w:eastAsia="Times New Roman"/>
        </w:rPr>
        <w:t>SDK - Software Development Kit</w:t>
      </w:r>
    </w:p>
    <w:p w:rsidR="000216F0" w:rsidRDefault="0030472D">
      <w:pPr>
        <w:spacing w:after="80"/>
      </w:pPr>
      <w:r>
        <w:rPr>
          <w:rFonts w:eastAsia="Times New Roman"/>
        </w:rPr>
        <w:t>SHA-256 - Secure Hash Algorithm 256-bit</w:t>
      </w:r>
    </w:p>
    <w:p w:rsidR="000216F0" w:rsidRDefault="0030472D">
      <w:pPr>
        <w:spacing w:after="80"/>
      </w:pPr>
      <w:r>
        <w:rPr>
          <w:rFonts w:eastAsia="Times New Roman"/>
        </w:rPr>
        <w:t xml:space="preserve">SHAP - SHapley Additive </w:t>
      </w:r>
      <w:r>
        <w:rPr>
          <w:rFonts w:eastAsia="Times New Roman"/>
        </w:rPr>
        <w:t>exPlanations</w:t>
      </w:r>
    </w:p>
    <w:p w:rsidR="000216F0" w:rsidRDefault="0030472D">
      <w:pPr>
        <w:spacing w:after="80"/>
      </w:pPr>
      <w:r>
        <w:rPr>
          <w:rFonts w:eastAsia="Times New Roman"/>
        </w:rPr>
        <w:t>SQL - Structured Query Language</w:t>
      </w:r>
    </w:p>
    <w:p w:rsidR="000216F0" w:rsidRDefault="0030472D">
      <w:pPr>
        <w:spacing w:after="80"/>
      </w:pPr>
      <w:r>
        <w:rPr>
          <w:rFonts w:eastAsia="Times New Roman"/>
        </w:rPr>
        <w:t>SSL/TLS - Secure Sockets Layer / Transport Layer Security</w:t>
      </w:r>
    </w:p>
    <w:p w:rsidR="000216F0" w:rsidRDefault="0030472D">
      <w:pPr>
        <w:spacing w:after="80"/>
      </w:pPr>
      <w:r>
        <w:rPr>
          <w:rFonts w:eastAsia="Times New Roman"/>
        </w:rPr>
        <w:t>SUS - System Usability Scale</w:t>
      </w:r>
    </w:p>
    <w:p w:rsidR="000216F0" w:rsidRDefault="0030472D">
      <w:pPr>
        <w:spacing w:after="80"/>
      </w:pPr>
      <w:r>
        <w:rPr>
          <w:rFonts w:eastAsia="Times New Roman"/>
        </w:rPr>
        <w:t>UAT - User Acceptance Testing</w:t>
      </w:r>
    </w:p>
    <w:p w:rsidR="000216F0" w:rsidRDefault="0030472D">
      <w:pPr>
        <w:spacing w:after="80"/>
      </w:pPr>
      <w:r>
        <w:rPr>
          <w:rFonts w:eastAsia="Times New Roman"/>
        </w:rPr>
        <w:t>UI/UX - User Interface / User Experience</w:t>
      </w:r>
    </w:p>
    <w:p w:rsidR="000216F0" w:rsidRDefault="0030472D">
      <w:pPr>
        <w:spacing w:after="80"/>
      </w:pPr>
      <w:r>
        <w:rPr>
          <w:rFonts w:eastAsia="Times New Roman"/>
        </w:rPr>
        <w:t>URL - Uniform Resource Locator</w:t>
      </w:r>
    </w:p>
    <w:p w:rsidR="000216F0" w:rsidRDefault="0030472D">
      <w:pPr>
        <w:spacing w:after="80"/>
      </w:pPr>
      <w:r>
        <w:rPr>
          <w:rFonts w:eastAsia="Times New Roman"/>
        </w:rPr>
        <w:t>UUID - Universally Uni</w:t>
      </w:r>
      <w:r>
        <w:rPr>
          <w:rFonts w:eastAsia="Times New Roman"/>
        </w:rPr>
        <w:t>que Identifier</w:t>
      </w:r>
    </w:p>
    <w:p w:rsidR="000216F0" w:rsidRDefault="0030472D">
      <w:pPr>
        <w:spacing w:after="80"/>
      </w:pPr>
      <w:r>
        <w:rPr>
          <w:rFonts w:eastAsia="Times New Roman"/>
        </w:rPr>
        <w:t>VAPID - Voluntary Application Server Identification</w:t>
      </w:r>
    </w:p>
    <w:p w:rsidR="000216F0" w:rsidRDefault="0030472D">
      <w:pPr>
        <w:spacing w:after="80"/>
      </w:pPr>
      <w:r>
        <w:rPr>
          <w:rFonts w:eastAsia="Times New Roman"/>
        </w:rPr>
        <w:t>WHO - World Health Organization</w:t>
      </w:r>
    </w:p>
    <w:p w:rsidR="000216F0" w:rsidRDefault="0030472D">
      <w:pPr>
        <w:spacing w:after="80"/>
      </w:pPr>
      <w:r>
        <w:rPr>
          <w:rFonts w:eastAsia="Times New Roman"/>
        </w:rPr>
        <w:t>XAI - Explainable Artificial Intelligence</w:t>
      </w:r>
    </w:p>
    <w:p w:rsidR="000216F0" w:rsidRDefault="0030472D">
      <w:pPr>
        <w:spacing w:after="80"/>
      </w:pPr>
      <w:r>
        <w:rPr>
          <w:rFonts w:eastAsia="Times New Roman"/>
        </w:rPr>
        <w:t>XLSX - Microsoft Excel Open XML Spreadsheet</w:t>
      </w:r>
    </w:p>
    <w:p w:rsidR="000216F0" w:rsidRDefault="0030472D">
      <w:pPr>
        <w:pStyle w:val="Heading1"/>
        <w:pageBreakBefore/>
        <w:spacing w:before="80" w:after="200"/>
      </w:pPr>
      <w:bookmarkStart w:id="7" w:name="_Toc240737055"/>
      <w:r>
        <w:rPr>
          <w:rFonts w:ascii="Times New Roman" w:eastAsia="Times New Roman" w:hAnsi="Times New Roman"/>
          <w:color w:val="047857"/>
          <w:sz w:val="36"/>
        </w:rPr>
        <w:lastRenderedPageBreak/>
        <w:t>Chapter 1: Introduction</w:t>
      </w:r>
      <w:bookmarkEnd w:id="7"/>
    </w:p>
    <w:p w:rsidR="000216F0" w:rsidRDefault="0030472D">
      <w:pPr>
        <w:pStyle w:val="Heading2"/>
        <w:spacing w:before="320" w:after="160"/>
      </w:pPr>
      <w:bookmarkStart w:id="8" w:name="_Toc240737056"/>
      <w:r>
        <w:rPr>
          <w:rFonts w:ascii="Times New Roman" w:eastAsia="Times New Roman" w:hAnsi="Times New Roman"/>
          <w:color w:val="1E3A5F"/>
          <w:sz w:val="28"/>
        </w:rPr>
        <w:t>1.1 Background Information</w:t>
      </w:r>
      <w:bookmarkEnd w:id="8"/>
    </w:p>
    <w:p w:rsidR="000216F0" w:rsidRDefault="0030472D">
      <w:pPr>
        <w:jc w:val="both"/>
      </w:pPr>
      <w:r>
        <w:rPr>
          <w:rFonts w:eastAsia="Times New Roman"/>
        </w:rPr>
        <w:t>Smallholder agricult</w:t>
      </w:r>
      <w:r>
        <w:rPr>
          <w:rFonts w:eastAsia="Times New Roman"/>
        </w:rPr>
        <w:t>ure remains the backbone of food security and rural livelihoods across Sub-Saharan Africa, yet the farmers who sustain it are systematically excluded from the formal financial system that could help them grow. The global financing gap for smallholder farme</w:t>
      </w:r>
      <w:r>
        <w:rPr>
          <w:rFonts w:eastAsia="Times New Roman"/>
        </w:rPr>
        <w:t>rs is estimated at approximately USD 170 billion annually, driven not by a lack of viable farm enterprises but by the structural mismatch between how formal lenders assess risk and how smallholder farms actually operate (GSMA, 2025a). Traditional credit sc</w:t>
      </w:r>
      <w:r>
        <w:rPr>
          <w:rFonts w:eastAsia="Times New Roman"/>
        </w:rPr>
        <w:t>oring depends on a verifiable transaction and repayment history, collateral that can be registered and seized, and formal documentation of income — conditions that describe a bank's ideal borrower far more than they describe a Kenyan dairy or mixed-crop sm</w:t>
      </w:r>
      <w:r>
        <w:rPr>
          <w:rFonts w:eastAsia="Times New Roman"/>
        </w:rPr>
        <w:t xml:space="preserve">allholder. Even where digital financial inclusion has advanced through mobile money, this progress has been concentrated in basic transaction accounts rather than in credit specifically; large rural and agricultural populations remain excluded from formal </w:t>
      </w:r>
      <w:r>
        <w:rPr>
          <w:rFonts w:eastAsia="Times New Roman"/>
        </w:rPr>
        <w:t>lending even as they gain access to a phone-based wallet (Demirguc-Kunt et al., 2022). Empirical evidence from Kenya confirms that the strongest determinants of whether a smallholder can access formal credit are education level, off-farm occupation, and ac</w:t>
      </w:r>
      <w:r>
        <w:rPr>
          <w:rFonts w:eastAsia="Times New Roman"/>
        </w:rPr>
        <w:t xml:space="preserve">cess to extension services rather than the underlying productivity or health of the farm itself (Kiplimo et al., 2015), while lenders continue to treat agriculture as inherently high-risk and too costly to underwrite for dispersed, low-value rural clients </w:t>
      </w:r>
      <w:r>
        <w:rPr>
          <w:rFonts w:eastAsia="Times New Roman"/>
        </w:rPr>
        <w:t>(Savoy, 2025).</w:t>
      </w:r>
    </w:p>
    <w:p w:rsidR="000216F0" w:rsidRDefault="0030472D">
      <w:pPr>
        <w:jc w:val="both"/>
      </w:pPr>
      <w:r>
        <w:rPr>
          <w:rFonts w:eastAsia="Times New Roman"/>
        </w:rPr>
        <w:t xml:space="preserve">Digital technologies have begun to erode this exclusion from several directions at once, though rarely as an integrated whole. Alternative credit-scoring research has shown that non-financial, behavioural, and agronomic signals can </w:t>
      </w:r>
      <w:r>
        <w:rPr>
          <w:rFonts w:eastAsia="Times New Roman"/>
        </w:rPr>
        <w:t>substitute for a missing credit history: psychometric assessments have extended credit to previously-rejected "thin-file" applicants without raising portfolio risk (Arraiz et al., 2017), mobile phone usage patterns alone have been shown to predict loan rep</w:t>
      </w:r>
      <w:r>
        <w:rPr>
          <w:rFonts w:eastAsia="Times New Roman"/>
        </w:rPr>
        <w:t xml:space="preserve">ayment about as well as a bureau score (Bjorkegren &amp; Grissen, 2018), and agricultural microfinance research has explicitly argued that context-specific, non-financial scoring factors are necessary precisely because </w:t>
      </w:r>
      <w:r>
        <w:rPr>
          <w:rFonts w:eastAsia="Times New Roman"/>
        </w:rPr>
        <w:lastRenderedPageBreak/>
        <w:t>smallholder borrowers have no financial h</w:t>
      </w:r>
      <w:r>
        <w:rPr>
          <w:rFonts w:eastAsia="Times New Roman"/>
        </w:rPr>
        <w:t>istory to score in the first place (Simumba et al., 2018). Agri-fintech platforms operating in Kenya, such as Apollo Agriculture, have translated this research into practice, using farm data, satellite field coordinates, and identity verification to underw</w:t>
      </w:r>
      <w:r>
        <w:rPr>
          <w:rFonts w:eastAsia="Times New Roman"/>
        </w:rPr>
        <w:t>rite input loans for farmers with no formal credit record (GSMA, 2025b), while related bundled-finance models from providers such as Pula and Tulaa combine credit, insurance, and input supply on the same data-driven basis (International Finance Corporation</w:t>
      </w:r>
      <w:r>
        <w:rPr>
          <w:rFonts w:eastAsia="Times New Roman"/>
        </w:rPr>
        <w:t xml:space="preserve"> [IFC], 2023). In parallel, machine learning has matured into a practical tool for production forecasting: regression-based models are an established, actively-researched method for predicting dairy milk yield from behavioural, environmental, and productio</w:t>
      </w:r>
      <w:r>
        <w:rPr>
          <w:rFonts w:eastAsia="Times New Roman"/>
        </w:rPr>
        <w:t>n data (Hooker et al., 2025), and explainable AI techniques such as SHAP-based feature attribution are increasingly paired with agricultural prediction models specifically to build the trust of farmers and advisors who would otherwise be asked to act on an</w:t>
      </w:r>
      <w:r>
        <w:rPr>
          <w:rFonts w:eastAsia="Times New Roman"/>
        </w:rPr>
        <w:t xml:space="preserve"> opaque number (Ribeiro et al., 2016; Lundberg &amp; Lee, 2017). Blockchain technology has independently demonstrated value for agricultural traceability and tamper-evident record-keeping, with distributed ledgers used to guarantee the integrity of agri-food s</w:t>
      </w:r>
      <w:r>
        <w:rPr>
          <w:rFonts w:eastAsia="Times New Roman"/>
        </w:rPr>
        <w:t>upply chain data in a way that a conventional centralised database cannot (Marchese &amp; Tomarchio, 2022; UNDP, 2021), and tokenised incentive mechanisms have shown that a blockchain-issued reward token can be used deliberately to increase participants' contr</w:t>
      </w:r>
      <w:r>
        <w:rPr>
          <w:rFonts w:eastAsia="Times New Roman"/>
        </w:rPr>
        <w:t>ibution of data to a system (Pandey et al., 2022). Finally, accessibility research on rural digital services in Kenya and Uganda consistently finds that mobile phone-based channels — and messaging platforms such as WhatsApp in particular, which farmers alr</w:t>
      </w:r>
      <w:r>
        <w:rPr>
          <w:rFonts w:eastAsia="Times New Roman"/>
        </w:rPr>
        <w:t>eady use and often repurpose for agricultural information exchange on their own initiative — reach smallholders far more effectively than dedicated applications requiring new downloads, app-store access, or sustained broadband connectivity (Kansiime et al.</w:t>
      </w:r>
      <w:r>
        <w:rPr>
          <w:rFonts w:eastAsia="Times New Roman"/>
        </w:rPr>
        <w:t>, 2022; Coggins et al., 2022).</w:t>
      </w:r>
    </w:p>
    <w:p w:rsidR="000216F0" w:rsidRDefault="0030472D">
      <w:pPr>
        <w:jc w:val="both"/>
      </w:pPr>
      <w:r>
        <w:rPr>
          <w:rFonts w:eastAsia="Times New Roman"/>
        </w:rPr>
        <w:t>Despite the individual maturity of these technologies, farm management information systems (FMIS) research shows that most commercial farm software was designed for large, structured commercial operations, leaving most everyd</w:t>
      </w:r>
      <w:r>
        <w:rPr>
          <w:rFonts w:eastAsia="Times New Roman"/>
        </w:rPr>
        <w:t>ay farm activity unlogged and data fragmented across the sector (Fountas et al., 2015), and more recent human-computer interaction fieldwork confirms that small and medium farmers still rely on ad hoc, informal data habits rather than adopting formal FMIS,</w:t>
      </w:r>
      <w:r>
        <w:rPr>
          <w:rFonts w:eastAsia="Times New Roman"/>
        </w:rPr>
        <w:t xml:space="preserve"> in part due to low technical </w:t>
      </w:r>
      <w:r>
        <w:rPr>
          <w:rFonts w:eastAsia="Times New Roman"/>
        </w:rPr>
        <w:lastRenderedPageBreak/>
        <w:t>confidence and scepticism toward unfamiliar systems (Friedman et al., 2024). A systematic review of AI adoption in East African agriculture similarly finds that precision-agriculture and advisory tools show clear technical pro</w:t>
      </w:r>
      <w:r>
        <w:rPr>
          <w:rFonts w:eastAsia="Times New Roman"/>
        </w:rPr>
        <w:t>mise but remain thinly adopted by smallholders because of rural infrastructure gaps, low digital skills, and weak integration with the institutions — lenders, cooperatives, extension services — that could act on the data these tools produce (Shitaye et al.</w:t>
      </w:r>
      <w:r>
        <w:rPr>
          <w:rFonts w:eastAsia="Times New Roman"/>
        </w:rPr>
        <w:t>, 2026). This is the specific gap FarmIQ addresses: rather than treating farm record-keeping, production forecasting, financial trust, and access to formal credit as separate problems to be solved by separate, disconnected tools, FarmIQ integrates them int</w:t>
      </w:r>
      <w:r>
        <w:rPr>
          <w:rFonts w:eastAsia="Times New Roman"/>
        </w:rPr>
        <w:t>o a single Progressive Web Application in which the same day-to-day farm records a smallholder already needs to keep — milk yields, feeding, crop activity, finances, tasks — simultaneously feed a yield-prediction model, earn a blockchain-anchored reward to</w:t>
      </w:r>
      <w:r>
        <w:rPr>
          <w:rFonts w:eastAsia="Times New Roman"/>
        </w:rPr>
        <w:t>ken, and build the evidentiary basis for an alternative, explainable credit score computed without ever requiring a loan-repayment history that does not exist.</w:t>
      </w:r>
    </w:p>
    <w:p w:rsidR="000216F0" w:rsidRDefault="0030472D">
      <w:pPr>
        <w:pStyle w:val="Heading2"/>
        <w:spacing w:before="320" w:after="160"/>
      </w:pPr>
      <w:bookmarkStart w:id="9" w:name="_Toc240737057"/>
      <w:r>
        <w:rPr>
          <w:rFonts w:ascii="Times New Roman" w:eastAsia="Times New Roman" w:hAnsi="Times New Roman"/>
          <w:color w:val="1E3A5F"/>
          <w:sz w:val="28"/>
        </w:rPr>
        <w:t>1.2 Problem Statement</w:t>
      </w:r>
      <w:bookmarkEnd w:id="9"/>
    </w:p>
    <w:p w:rsidR="000216F0" w:rsidRDefault="0030472D">
      <w:pPr>
        <w:jc w:val="both"/>
      </w:pPr>
      <w:r>
        <w:rPr>
          <w:rFonts w:eastAsia="Times New Roman"/>
        </w:rPr>
        <w:t>In an ideal agricultural economy, a smallholder farmer would be able to ke</w:t>
      </w:r>
      <w:r>
        <w:rPr>
          <w:rFonts w:eastAsia="Times New Roman"/>
        </w:rPr>
        <w:t xml:space="preserve">ep reliable digital records of their herd, crops, and finances with minimal effort; receive early, understandable warning of production risks such as a declining milk trend or an overdue task; trust that the record of what they own and what they have done </w:t>
      </w:r>
      <w:r>
        <w:rPr>
          <w:rFonts w:eastAsia="Times New Roman"/>
        </w:rPr>
        <w:t>cannot be quietly altered after the fact; and use the accumulated evidence of their own farm's performance to access affordable formal credit on terms proportionate to their actual productivity. In practice, none of these conditions holds for the large maj</w:t>
      </w:r>
      <w:r>
        <w:rPr>
          <w:rFonts w:eastAsia="Times New Roman"/>
        </w:rPr>
        <w:t>ority of Kenyan smallholder farmers. Farm record-keeping tools that exist in the market are overwhelmingly designed for large, structured commercial operations with dedicated administrative staff, and even where lighter tools exist, empirical fieldwork sho</w:t>
      </w:r>
      <w:r>
        <w:rPr>
          <w:rFonts w:eastAsia="Times New Roman"/>
        </w:rPr>
        <w:t>ws that small and medium farmers default to informal, ad hoc data habits rather than sustained use of any FMIS, partly out of scepticism toward unfamiliar digital systems (Fountas et al., 2015; Friedman et al., 2024). The consequence is that a Kenyan small</w:t>
      </w:r>
      <w:r>
        <w:rPr>
          <w:rFonts w:eastAsia="Times New Roman"/>
        </w:rPr>
        <w:t>holder farm typically has no continuous, trustworthy digital trail of its own production history — the exact evidentiary base a lender would need to assess it on its actual merits rather than by proxy.</w:t>
      </w:r>
    </w:p>
    <w:p w:rsidR="000216F0" w:rsidRDefault="0030472D">
      <w:pPr>
        <w:jc w:val="both"/>
      </w:pPr>
      <w:r>
        <w:rPr>
          <w:rFonts w:eastAsia="Times New Roman"/>
        </w:rPr>
        <w:lastRenderedPageBreak/>
        <w:t>This absence of a data trail compounds directly into f</w:t>
      </w:r>
      <w:r>
        <w:rPr>
          <w:rFonts w:eastAsia="Times New Roman"/>
        </w:rPr>
        <w:t>inancial exclusion. Formal credit access in Kenya is empirically determined less by farm productivity than by education, off-farm occupation, and extension-service contact (Kiplimo et al., 2015), while lenders continue to treat dispersed smallholder agricu</w:t>
      </w:r>
      <w:r>
        <w:rPr>
          <w:rFonts w:eastAsia="Times New Roman"/>
        </w:rPr>
        <w:t>lture as too costly and too risky to underwrite at scale (Savoy, 2025), leaving an estimated USD 170 billion smallholder financing gap globally (GSMA, 2025a). Where alternative, non-traditional-data credit scoring has been researched and deployed, it has s</w:t>
      </w:r>
      <w:r>
        <w:rPr>
          <w:rFonts w:eastAsia="Times New Roman"/>
        </w:rPr>
        <w:t xml:space="preserve">till overwhelmingly depended on a supervised model trained against historical, labelled loan-repayment outcomes (Bao et al., 2019) — precisely the data that does not exist for a platform, like FarmIQ, that has never issued a real loan and therefore has no </w:t>
      </w:r>
      <w:r>
        <w:rPr>
          <w:rFonts w:eastAsia="Times New Roman"/>
        </w:rPr>
        <w:t>repayment history to train against. A genuinely unsupervised, population-relative approach to alternative credit scoring — one that ranks a farm against its current peers on measurable operational health rather than against a trained model of past defaults</w:t>
      </w:r>
      <w:r>
        <w:rPr>
          <w:rFonts w:eastAsia="Times New Roman"/>
        </w:rPr>
        <w:t xml:space="preserve"> — remains comparatively rare in the literature (Bao et al., 2019; Miljkovic &amp; Wang, 2024), leaving a documented methodological gap for exactly the cold-start situation smallholder-facing platforms are most likely to face.</w:t>
      </w:r>
    </w:p>
    <w:p w:rsidR="000216F0" w:rsidRDefault="0030472D">
      <w:pPr>
        <w:jc w:val="both"/>
      </w:pPr>
      <w:r>
        <w:rPr>
          <w:rFonts w:eastAsia="Times New Roman"/>
        </w:rPr>
        <w:t>Beyond credit access, smallholder</w:t>
      </w:r>
      <w:r>
        <w:rPr>
          <w:rFonts w:eastAsia="Times New Roman"/>
        </w:rPr>
        <w:t>s also lack transparent, tamper-evident assurance that their own records — a herd registration, a harvest, a financial transaction, a computed score — have not been altered after the fact, a concern formal blockchain-based traceability systems address in c</w:t>
      </w:r>
      <w:r>
        <w:rPr>
          <w:rFonts w:eastAsia="Times New Roman"/>
        </w:rPr>
        <w:t>ommercial agri-food supply chains (Marchese &amp; Tomarchio, 2022) but rarely extend down to the individual smallholder's own record-keeping. Compounding this, the effort of maintaining detailed farm records is, for a smallholder or hired farm worker, uncompen</w:t>
      </w:r>
      <w:r>
        <w:rPr>
          <w:rFonts w:eastAsia="Times New Roman"/>
        </w:rPr>
        <w:t>sated labour with no immediate personal benefit, even though tokenised incentive mechanisms have been shown elsewhere to measurably increase participants' willingness to contribute data to a system when contribution is directly rewarded (Pandey et al., 202</w:t>
      </w:r>
      <w:r>
        <w:rPr>
          <w:rFonts w:eastAsia="Times New Roman"/>
        </w:rPr>
        <w:t>2). Finally, existing digital agriculture tools frequently assume a dedicated application, reliable broadband, and a device capable of running it, despite survey evidence from Kenya and Uganda that the dominant constraints on smallholder technology use are</w:t>
      </w:r>
      <w:r>
        <w:rPr>
          <w:rFonts w:eastAsia="Times New Roman"/>
        </w:rPr>
        <w:t xml:space="preserve"> the cost of data, low digital literacy, and unreliable rural connectivity, and that farmers already gravitate toward low-friction channels such as WhatsApp that they use for other purposes (Kansiime et al., 2022; Coggins et al., 2022; GSMA &amp; IDH Farmfit, </w:t>
      </w:r>
      <w:r>
        <w:rPr>
          <w:rFonts w:eastAsia="Times New Roman"/>
        </w:rPr>
        <w:t>2020).</w:t>
      </w:r>
    </w:p>
    <w:p w:rsidR="000216F0" w:rsidRDefault="0030472D">
      <w:pPr>
        <w:jc w:val="both"/>
      </w:pPr>
      <w:r>
        <w:rPr>
          <w:rFonts w:eastAsia="Times New Roman"/>
        </w:rPr>
        <w:lastRenderedPageBreak/>
        <w:t>These failures compound into a self-reinforcing cycle: a smallholder farm with no digital record cannot demonstrate its productivity, a farm that cannot demonstrate its productivity cannot access affordable formal credit, and a farm without access t</w:t>
      </w:r>
      <w:r>
        <w:rPr>
          <w:rFonts w:eastAsia="Times New Roman"/>
        </w:rPr>
        <w:t>o credit has less capacity to invest in the inputs, veterinary care, or equipment that would improve the productivity a future record might otherwise have shown. FarmIQ was developed to interrupt this cycle at its root by making day-to-day farm record-keep</w:t>
      </w:r>
      <w:r>
        <w:rPr>
          <w:rFonts w:eastAsia="Times New Roman"/>
        </w:rPr>
        <w:t>ing itself valuable — through production forecasting, tokenised rewards, and tamper-evident trust — so that the same records a farmer needs for daily management also become the foundation of an alternative, explainable pathway into formal financial recogni</w:t>
      </w:r>
      <w:r>
        <w:rPr>
          <w:rFonts w:eastAsia="Times New Roman"/>
        </w:rPr>
        <w:t>tion.</w:t>
      </w:r>
    </w:p>
    <w:p w:rsidR="000216F0" w:rsidRDefault="0030472D">
      <w:pPr>
        <w:pStyle w:val="Heading2"/>
        <w:spacing w:before="320" w:after="160"/>
      </w:pPr>
      <w:bookmarkStart w:id="10" w:name="_Toc240737058"/>
      <w:r>
        <w:rPr>
          <w:rFonts w:ascii="Times New Roman" w:eastAsia="Times New Roman" w:hAnsi="Times New Roman"/>
          <w:color w:val="1E3A5F"/>
          <w:sz w:val="28"/>
        </w:rPr>
        <w:t>1.3 Research Objectives</w:t>
      </w:r>
      <w:bookmarkEnd w:id="10"/>
    </w:p>
    <w:p w:rsidR="000216F0" w:rsidRDefault="0030472D">
      <w:pPr>
        <w:pStyle w:val="Heading3"/>
        <w:spacing w:before="320" w:after="160"/>
      </w:pPr>
      <w:bookmarkStart w:id="11" w:name="_Toc240737059"/>
      <w:r>
        <w:rPr>
          <w:rFonts w:ascii="Times New Roman" w:eastAsia="Times New Roman" w:hAnsi="Times New Roman"/>
          <w:color w:val="334155"/>
          <w:sz w:val="25"/>
        </w:rPr>
        <w:t>1.3.1 General Objective</w:t>
      </w:r>
      <w:bookmarkEnd w:id="11"/>
    </w:p>
    <w:p w:rsidR="000216F0" w:rsidRDefault="0030472D">
      <w:pPr>
        <w:jc w:val="both"/>
      </w:pPr>
      <w:r>
        <w:rPr>
          <w:rFonts w:eastAsia="Times New Roman"/>
        </w:rPr>
        <w:t xml:space="preserve">To design, develop, and evaluate FarmIQ, a Progressive Web Application that integrates machine learning-based production forecasting, blockchain-anchored data integrity and tokenised incentives, and an </w:t>
      </w:r>
      <w:r>
        <w:rPr>
          <w:rFonts w:eastAsia="Times New Roman"/>
        </w:rPr>
        <w:t>unsupervised, explainable alternative credit-scoring engine, in order to improve farm record-keeping, production decision-making, and pathways to formal financial recognition for smallholder farmers in Kenya.</w:t>
      </w:r>
    </w:p>
    <w:p w:rsidR="000216F0" w:rsidRDefault="0030472D">
      <w:pPr>
        <w:pStyle w:val="Heading3"/>
        <w:spacing w:before="320" w:after="160"/>
      </w:pPr>
      <w:bookmarkStart w:id="12" w:name="_Toc240737060"/>
      <w:r>
        <w:rPr>
          <w:rFonts w:ascii="Times New Roman" w:eastAsia="Times New Roman" w:hAnsi="Times New Roman"/>
          <w:color w:val="334155"/>
          <w:sz w:val="25"/>
        </w:rPr>
        <w:t>1.3.2 Specific Objectives</w:t>
      </w:r>
      <w:bookmarkEnd w:id="12"/>
    </w:p>
    <w:p w:rsidR="000216F0" w:rsidRDefault="0030472D">
      <w:pPr>
        <w:jc w:val="both"/>
      </w:pPr>
      <w:r>
        <w:rPr>
          <w:rFonts w:eastAsia="Times New Roman"/>
        </w:rPr>
        <w:t>i. To analyse the cha</w:t>
      </w:r>
      <w:r>
        <w:rPr>
          <w:rFonts w:eastAsia="Times New Roman"/>
        </w:rPr>
        <w:t>llenges smallholder farmers face in maintaining reliable farm records, forecasting production, and accessing formal credit.</w:t>
      </w:r>
    </w:p>
    <w:p w:rsidR="000216F0" w:rsidRDefault="0030472D">
      <w:pPr>
        <w:jc w:val="both"/>
      </w:pPr>
      <w:r>
        <w:rPr>
          <w:rFonts w:eastAsia="Times New Roman"/>
        </w:rPr>
        <w:t>ii. To examine existing farm management information systems, agricultural fintech platforms, and credit-scoring approaches, with par</w:t>
      </w:r>
      <w:r>
        <w:rPr>
          <w:rFonts w:eastAsia="Times New Roman"/>
        </w:rPr>
        <w:t>ticular emphasis on their applicability to data-scarce smallholder contexts with no historical loan-repayment data.</w:t>
      </w:r>
    </w:p>
    <w:p w:rsidR="000216F0" w:rsidRDefault="0030472D">
      <w:pPr>
        <w:jc w:val="both"/>
      </w:pPr>
      <w:r>
        <w:rPr>
          <w:rFonts w:eastAsia="Times New Roman"/>
        </w:rPr>
        <w:t>iii. To design and implement a machine learning model capable of predicting milk yield from a farm's own recorded production, feeding, and h</w:t>
      </w:r>
      <w:r>
        <w:rPr>
          <w:rFonts w:eastAsia="Times New Roman"/>
        </w:rPr>
        <w:t>erd data, with exact, interpretable feature-level explanations.</w:t>
      </w:r>
    </w:p>
    <w:p w:rsidR="000216F0" w:rsidRDefault="0030472D">
      <w:pPr>
        <w:jc w:val="both"/>
      </w:pPr>
      <w:r>
        <w:rPr>
          <w:rFonts w:eastAsia="Times New Roman"/>
        </w:rPr>
        <w:lastRenderedPageBreak/>
        <w:t>iv. To design and implement an unsupervised, population-relative, and explainable alternative credit-scoring engine that ranks a farm against its current peers on the platform without requirin</w:t>
      </w:r>
      <w:r>
        <w:rPr>
          <w:rFonts w:eastAsia="Times New Roman"/>
        </w:rPr>
        <w:t>g a trained model of historical loan repayment.</w:t>
      </w:r>
    </w:p>
    <w:p w:rsidR="000216F0" w:rsidRDefault="0030472D">
      <w:pPr>
        <w:jc w:val="both"/>
      </w:pPr>
      <w:r>
        <w:rPr>
          <w:rFonts w:eastAsia="Times New Roman"/>
        </w:rPr>
        <w:t>v. To implement a blockchain-based framework, using Hedera Hashgraph, for tamper-evident anchoring of predictions, financial transactions, and credit scores, and a tokenised incentive mechanism that rewards f</w:t>
      </w:r>
      <w:r>
        <w:rPr>
          <w:rFonts w:eastAsia="Times New Roman"/>
        </w:rPr>
        <w:t>arm data logging.</w:t>
      </w:r>
    </w:p>
    <w:p w:rsidR="000216F0" w:rsidRDefault="0030472D">
      <w:pPr>
        <w:jc w:val="both"/>
      </w:pPr>
      <w:r>
        <w:rPr>
          <w:rFonts w:eastAsia="Times New Roman"/>
        </w:rPr>
        <w:t>vi. To design and implement a Progressive Web Application with offline-first data capture and WhatsApp-based, low-connectivity-appropriate notifications for accessible use in rural contexts.</w:t>
      </w:r>
    </w:p>
    <w:p w:rsidR="000216F0" w:rsidRDefault="0030472D">
      <w:pPr>
        <w:jc w:val="both"/>
      </w:pPr>
      <w:r>
        <w:rPr>
          <w:rFonts w:eastAsia="Times New Roman"/>
        </w:rPr>
        <w:t>vii. To evaluate the resulting system across fu</w:t>
      </w:r>
      <w:r>
        <w:rPr>
          <w:rFonts w:eastAsia="Times New Roman"/>
        </w:rPr>
        <w:t>nctional correctness, algorithmic explainability, and resilience to third-party service failure.</w:t>
      </w:r>
    </w:p>
    <w:p w:rsidR="000216F0" w:rsidRDefault="0030472D">
      <w:pPr>
        <w:pStyle w:val="Heading2"/>
        <w:spacing w:before="320" w:after="160"/>
      </w:pPr>
      <w:bookmarkStart w:id="13" w:name="_Toc240737061"/>
      <w:r>
        <w:rPr>
          <w:rFonts w:ascii="Times New Roman" w:eastAsia="Times New Roman" w:hAnsi="Times New Roman"/>
          <w:color w:val="1E3A5F"/>
          <w:sz w:val="28"/>
        </w:rPr>
        <w:t>1.4 Research Questions</w:t>
      </w:r>
      <w:bookmarkEnd w:id="13"/>
    </w:p>
    <w:p w:rsidR="000216F0" w:rsidRDefault="0030472D">
      <w:pPr>
        <w:jc w:val="both"/>
      </w:pPr>
      <w:r>
        <w:rPr>
          <w:rFonts w:eastAsia="Times New Roman"/>
        </w:rPr>
        <w:t>The following research questions are derived from the specific objectives above and guided the design, development, and evaluation of Fa</w:t>
      </w:r>
      <w:r>
        <w:rPr>
          <w:rFonts w:eastAsia="Times New Roman"/>
        </w:rPr>
        <w:t>rmIQ:</w:t>
      </w:r>
    </w:p>
    <w:p w:rsidR="000216F0" w:rsidRDefault="0030472D">
      <w:pPr>
        <w:jc w:val="both"/>
      </w:pPr>
      <w:r>
        <w:rPr>
          <w:rFonts w:eastAsia="Times New Roman"/>
        </w:rPr>
        <w:t>i. What specific challenges hinder reliable farm record-keeping, production forecasting, and access to formal credit among smallholder farmers?</w:t>
      </w:r>
    </w:p>
    <w:p w:rsidR="000216F0" w:rsidRDefault="0030472D">
      <w:pPr>
        <w:jc w:val="both"/>
      </w:pPr>
      <w:r>
        <w:rPr>
          <w:rFonts w:eastAsia="Times New Roman"/>
        </w:rPr>
        <w:t xml:space="preserve">ii. What are the strengths and limitations of existing farm management systems, agricultural </w:t>
      </w:r>
      <w:r>
        <w:rPr>
          <w:rFonts w:eastAsia="Times New Roman"/>
        </w:rPr>
        <w:t>fintech platforms, and credit-scoring approaches when applied to smallholder contexts that lack a historical credit or loan-repayment record?</w:t>
      </w:r>
    </w:p>
    <w:p w:rsidR="000216F0" w:rsidRDefault="0030472D">
      <w:pPr>
        <w:jc w:val="both"/>
      </w:pPr>
      <w:r>
        <w:rPr>
          <w:rFonts w:eastAsia="Times New Roman"/>
        </w:rPr>
        <w:t>iii. Which farm-recorded features most significantly influence milk yield, and how can a machine learning model ge</w:t>
      </w:r>
      <w:r>
        <w:rPr>
          <w:rFonts w:eastAsia="Times New Roman"/>
        </w:rPr>
        <w:t>nerate accurate, individually-explainable predictions from them without depending on a persisted, centrally-trained model?</w:t>
      </w:r>
    </w:p>
    <w:p w:rsidR="000216F0" w:rsidRDefault="0030472D">
      <w:pPr>
        <w:jc w:val="both"/>
      </w:pPr>
      <w:r>
        <w:rPr>
          <w:rFonts w:eastAsia="Times New Roman"/>
        </w:rPr>
        <w:t>iv. How can an unsupervised, population-relative scoring method generate a fair, explainable alternative credit score for a farm in t</w:t>
      </w:r>
      <w:r>
        <w:rPr>
          <w:rFonts w:eastAsia="Times New Roman"/>
        </w:rPr>
        <w:t>he complete absence of historical loan-repayment data, including for a newly-registered farm or a small peer population?</w:t>
      </w:r>
    </w:p>
    <w:p w:rsidR="000216F0" w:rsidRDefault="0030472D">
      <w:pPr>
        <w:jc w:val="both"/>
      </w:pPr>
      <w:r>
        <w:rPr>
          <w:rFonts w:eastAsia="Times New Roman"/>
        </w:rPr>
        <w:lastRenderedPageBreak/>
        <w:t>v. How can blockchain technology be used to provide tamper-evident assurance over farm predictions, financial records, and credit score</w:t>
      </w:r>
      <w:r>
        <w:rPr>
          <w:rFonts w:eastAsia="Times New Roman"/>
        </w:rPr>
        <w:t>s, and how can a tokenised incentive mechanism be designed to encourage sustained farm data logging without becoming a primary object of speculation?</w:t>
      </w:r>
    </w:p>
    <w:p w:rsidR="000216F0" w:rsidRDefault="0030472D">
      <w:pPr>
        <w:jc w:val="both"/>
      </w:pPr>
      <w:r>
        <w:rPr>
          <w:rFonts w:eastAsia="Times New Roman"/>
        </w:rPr>
        <w:t>vi. How can a Progressive Web Application, combined with WhatsApp-based notification delivery, reduce adop</w:t>
      </w:r>
      <w:r>
        <w:rPr>
          <w:rFonts w:eastAsia="Times New Roman"/>
        </w:rPr>
        <w:t>tion barriers and support reliable use in rural, low-connectivity conditions?</w:t>
      </w:r>
    </w:p>
    <w:p w:rsidR="000216F0" w:rsidRDefault="0030472D">
      <w:pPr>
        <w:jc w:val="both"/>
      </w:pPr>
      <w:r>
        <w:rPr>
          <w:rFonts w:eastAsia="Times New Roman"/>
        </w:rPr>
        <w:t>vii. To what extent does the resulting system perform correctly, explain its own predictions and scores in a verifiable way, and continue operating when a third-party service (su</w:t>
      </w:r>
      <w:r>
        <w:rPr>
          <w:rFonts w:eastAsia="Times New Roman"/>
        </w:rPr>
        <w:t>ch as Hedera or WhatsApp) is unavailable?</w:t>
      </w:r>
    </w:p>
    <w:p w:rsidR="000216F0" w:rsidRDefault="0030472D">
      <w:pPr>
        <w:pStyle w:val="Heading2"/>
        <w:spacing w:before="320" w:after="160"/>
      </w:pPr>
      <w:bookmarkStart w:id="14" w:name="_Toc240737062"/>
      <w:r>
        <w:rPr>
          <w:rFonts w:ascii="Times New Roman" w:eastAsia="Times New Roman" w:hAnsi="Times New Roman"/>
          <w:color w:val="1E3A5F"/>
          <w:sz w:val="28"/>
        </w:rPr>
        <w:t>1.5 Justification</w:t>
      </w:r>
      <w:bookmarkEnd w:id="14"/>
    </w:p>
    <w:p w:rsidR="000216F0" w:rsidRDefault="0030472D">
      <w:pPr>
        <w:jc w:val="both"/>
      </w:pPr>
      <w:r>
        <w:rPr>
          <w:rFonts w:eastAsia="Times New Roman"/>
        </w:rPr>
        <w:t xml:space="preserve">Substantial evidence supports the individual technical components FarmIQ integrates, even where their combination remains unstudied. Alternative, non-traditional-data credit scoring has </w:t>
      </w:r>
      <w:r>
        <w:rPr>
          <w:rFonts w:eastAsia="Times New Roman"/>
        </w:rPr>
        <w:t>repeatedly been shown to extend credit access to applicants who would be rejected or invisible to a conventional bureau-based process, whether through psychometric assessment (Arraiz et al., 2017), behavioural mobile-usage data (Bjorkegren &amp; Grissen, 2018)</w:t>
      </w:r>
      <w:r>
        <w:rPr>
          <w:rFonts w:eastAsia="Times New Roman"/>
        </w:rPr>
        <w:t>, or context-specific agronomic and non-financial signals proposed explicitly for agricultural microfinance (Simumba et al., 2018). Dimensionality-reduction techniques such as Principal Component Analysis are a well-established method for condensing many c</w:t>
      </w:r>
      <w:r>
        <w:rPr>
          <w:rFonts w:eastAsia="Times New Roman"/>
        </w:rPr>
        <w:t xml:space="preserve">orrelated indicators into an interpretable composite score while retaining the ability to attribute that score back to its constituent features (Jolliffe &amp; Cadima, 2016), and unsupervised clustering methods such as K-means remain the dominant approach for </w:t>
      </w:r>
      <w:r>
        <w:rPr>
          <w:rFonts w:eastAsia="Times New Roman"/>
        </w:rPr>
        <w:t>grouping unlabelled populations by similarity when no ground-truth outcome labels exist to train against (Jain, 2010) — precisely FarmIQ's situation, since the platform has never issued a real loan and therefore has no repayment outcomes to learn from. Exp</w:t>
      </w:r>
      <w:r>
        <w:rPr>
          <w:rFonts w:eastAsia="Times New Roman"/>
        </w:rPr>
        <w:t xml:space="preserve">lainability research demonstrates that trust in an automated prediction depends on a human-interpretable account of why that prediction was produced (Ribeiro et al., 2016; Lundberg &amp; Lee, 2017), and peer-reviewed work applying explainable AI </w:t>
      </w:r>
      <w:r>
        <w:rPr>
          <w:rFonts w:eastAsia="Times New Roman"/>
        </w:rPr>
        <w:lastRenderedPageBreak/>
        <w:t>specifically t</w:t>
      </w:r>
      <w:r>
        <w:rPr>
          <w:rFonts w:eastAsia="Times New Roman"/>
        </w:rPr>
        <w:t>o credit evaluation confirms this concern is directly relevant to automated scoring, not only to prediction in general (Nallakaruppan et al., 2024).</w:t>
      </w:r>
    </w:p>
    <w:p w:rsidR="000216F0" w:rsidRDefault="0030472D">
      <w:pPr>
        <w:jc w:val="both"/>
      </w:pPr>
      <w:r>
        <w:rPr>
          <w:rFonts w:eastAsia="Times New Roman"/>
        </w:rPr>
        <w:t>On the production side, ridge-regularised linear regression is an established and currently-researched meth</w:t>
      </w:r>
      <w:r>
        <w:rPr>
          <w:rFonts w:eastAsia="Times New Roman"/>
        </w:rPr>
        <w:t>od for short-term dairy milk-yield prediction from behavioural, feeding, and environmental data, shown to perform competitively against more complex ensemble methods while remaining far more interpretable (Hooker et al., 2025), and the wider push toward SH</w:t>
      </w:r>
      <w:r>
        <w:rPr>
          <w:rFonts w:eastAsia="Times New Roman"/>
        </w:rPr>
        <w:t>AP-based explainability in agricultural yield prediction reinforces that farmers and advisors are more likely to act on a prediction accompanied by a clear account of its drivers (Springer, 2025). Blockchain-based traceability has documented value for agri</w:t>
      </w:r>
      <w:r>
        <w:rPr>
          <w:rFonts w:eastAsia="Times New Roman"/>
        </w:rPr>
        <w:t>cultural data integrity, with distributed-ledger systems already deployed for livestock and product traceability in comparable contexts (UNDP, 2021; Marchese &amp; Tomarchio, 2022), and Hedera's hashgraph consensus algorithm specifically offers asynchronous By</w:t>
      </w:r>
      <w:r>
        <w:rPr>
          <w:rFonts w:eastAsia="Times New Roman"/>
        </w:rPr>
        <w:t>zantine fault tolerance with 3–5 second finality and materially lower transaction costs than proof-of-work blockchains (Baird et al., n.d.), making it a practical choice for anchoring high-frequency farm records rather than only high-value transactions. To</w:t>
      </w:r>
      <w:r>
        <w:rPr>
          <w:rFonts w:eastAsia="Times New Roman"/>
        </w:rPr>
        <w:t>kenised incentive research demonstrates that a blockchain-issued reward, allocated in proportion to genuine data or resource contribution, measurably increases participation in the underlying system (Pandey et al., 2022), which speaks directly to the persi</w:t>
      </w:r>
      <w:r>
        <w:rPr>
          <w:rFonts w:eastAsia="Times New Roman"/>
        </w:rPr>
        <w:t>stent farm-data-logging problem FMIS research identifies (Friedman et al., 2024).</w:t>
      </w:r>
    </w:p>
    <w:p w:rsidR="000216F0" w:rsidRDefault="0030472D">
      <w:pPr>
        <w:jc w:val="both"/>
      </w:pPr>
      <w:r>
        <w:rPr>
          <w:rFonts w:eastAsia="Times New Roman"/>
        </w:rPr>
        <w:t>Finally, accessibility evidence from Kenya and Uganda consistently finds that mobile-first, low-bandwidth channels are what actually reach smallholder farmers, that farmers a</w:t>
      </w:r>
      <w:r>
        <w:rPr>
          <w:rFonts w:eastAsia="Times New Roman"/>
        </w:rPr>
        <w:t>lready improvise using messaging apps such as WhatsApp for agricultural information exchange, and that cost of data and digital literacy — not device ownership alone — are the binding constraints on digital agriculture adoption (Kansiime et al., 2022; Cogg</w:t>
      </w:r>
      <w:r>
        <w:rPr>
          <w:rFonts w:eastAsia="Times New Roman"/>
        </w:rPr>
        <w:t>ins et al., 2022; GSMA &amp; IDH Farmfit, 2020). Despite this evidence base for each individual component, no documented platform integrates unsupervised alternative credit scoring, explainable production forecasting, blockchain-anchored trust with tokenised i</w:t>
      </w:r>
      <w:r>
        <w:rPr>
          <w:rFonts w:eastAsia="Times New Roman"/>
        </w:rPr>
        <w:t>ncentives, and low-connectivity-appropriate delivery into a single system built around a smallholder farm's own routine records. This integration gap is what justifies FarmIQ: not the invention of any one underlying technique, but the demonstration that th</w:t>
      </w:r>
      <w:r>
        <w:rPr>
          <w:rFonts w:eastAsia="Times New Roman"/>
        </w:rPr>
        <w:t>ese already-</w:t>
      </w:r>
      <w:r>
        <w:rPr>
          <w:rFonts w:eastAsia="Times New Roman"/>
        </w:rPr>
        <w:lastRenderedPageBreak/>
        <w:t>validated techniques can be combined around a single, low-friction data-entry surface so that the record-keeping a farmer already needs to do becomes, at the same time, the evidentiary basis for formal financial recognition.</w:t>
      </w:r>
    </w:p>
    <w:p w:rsidR="000216F0" w:rsidRDefault="0030472D">
      <w:pPr>
        <w:pStyle w:val="Heading2"/>
        <w:spacing w:before="320" w:after="160"/>
      </w:pPr>
      <w:bookmarkStart w:id="15" w:name="_Toc240737063"/>
      <w:r>
        <w:rPr>
          <w:rFonts w:ascii="Times New Roman" w:eastAsia="Times New Roman" w:hAnsi="Times New Roman"/>
          <w:color w:val="1E3A5F"/>
          <w:sz w:val="28"/>
        </w:rPr>
        <w:t>1.6 Scope</w:t>
      </w:r>
      <w:bookmarkEnd w:id="15"/>
    </w:p>
    <w:p w:rsidR="000216F0" w:rsidRDefault="0030472D">
      <w:pPr>
        <w:jc w:val="both"/>
      </w:pPr>
      <w:r>
        <w:rPr>
          <w:rFonts w:eastAsia="Times New Roman"/>
        </w:rPr>
        <w:t>This stud</w:t>
      </w:r>
      <w:r>
        <w:rPr>
          <w:rFonts w:eastAsia="Times New Roman"/>
        </w:rPr>
        <w:t xml:space="preserve">y covers the design, development, and evaluation of FarmIQ, a Django-based Progressive Web Application deployed on serverless infrastructure (Vercel), backed by a relational database (SQLite in development, managed PostgreSQL in production). The technical </w:t>
      </w:r>
      <w:r>
        <w:rPr>
          <w:rFonts w:eastAsia="Times New Roman"/>
        </w:rPr>
        <w:t>implementation encompasses: a multi-tenant, role-based farm management core covering herd records (registration, milk and feeding records, health records, weight tracking, and a reproduction/breeding calendar), crop lifecycle tracking integrated with GPS-s</w:t>
      </w:r>
      <w:r>
        <w:rPr>
          <w:rFonts w:eastAsia="Times New Roman"/>
        </w:rPr>
        <w:t>urveyed field boundaries, an income/expense finance ledger, stock/inventory management with automatic movement-driven balances, task assignment with recurrence, and a rule-based farm insights engine; a machine learning subsystem that trains a ridge regress</w:t>
      </w:r>
      <w:r>
        <w:rPr>
          <w:rFonts w:eastAsia="Times New Roman"/>
        </w:rPr>
        <w:t xml:space="preserve">ion model on a farm's own recorded data at request time to forecast milk yield at cow, block, and farm scope, with exact closed-form per-feature explanations; an unsupervised alternative credit-scoring engine that standardises ten cross-domain farm health </w:t>
      </w:r>
      <w:r>
        <w:rPr>
          <w:rFonts w:eastAsia="Times New Roman"/>
        </w:rPr>
        <w:t>features, reduces them via Principal Component Analysis to a single composite score, ranks each farm by percentile against its eligible peer population, and derives discrete score tiers via K-means clustering, with a deterministic composite fallback for po</w:t>
      </w:r>
      <w:r>
        <w:rPr>
          <w:rFonts w:eastAsia="Times New Roman"/>
        </w:rPr>
        <w:t xml:space="preserve">pulations too small to rank meaningfully; a Hedera Hashgraph blockchain layer that mints non-fungible tokens for cow and harvest registrations, mints a fungible "FIQ" reward token for logging farm activity and completing tasks, and anchors SHA-256 content </w:t>
      </w:r>
      <w:r>
        <w:rPr>
          <w:rFonts w:eastAsia="Times New Roman"/>
        </w:rPr>
        <w:t>hashes of predictions, financial transactions, and credit-score snapshots to the Hedera Consensus Service for tamper-evidence; a notification subsystem spanning in-app activity feeds, Web Push, and WhatsApp Cloud API messaging; offline-first data capture v</w:t>
      </w:r>
      <w:r>
        <w:rPr>
          <w:rFonts w:eastAsia="Times New Roman"/>
        </w:rPr>
        <w:t>ia a service worker and an IndexedDB-backed submission queue; and Kiswahili localisation alongside English. The study does not encompass the actual disbursement of loans or any lending decision — the credit-scoring engine produces an assistive, explainable</w:t>
      </w:r>
      <w:r>
        <w:rPr>
          <w:rFonts w:eastAsia="Times New Roman"/>
        </w:rPr>
        <w:t xml:space="preserve"> score for use by an external data partner (such as a SACCO, microfinance institution, or insurer), not a lending decision itself; nor does it encompass dedicated IoT </w:t>
      </w:r>
      <w:r>
        <w:rPr>
          <w:rFonts w:eastAsia="Times New Roman"/>
        </w:rPr>
        <w:lastRenderedPageBreak/>
        <w:t>sensor hardware, a native mobile application, or a multi-institution field deployment bey</w:t>
      </w:r>
      <w:r>
        <w:rPr>
          <w:rFonts w:eastAsia="Times New Roman"/>
        </w:rPr>
        <w:t>ond the platform's pilot use with Miginon Farm.</w:t>
      </w:r>
    </w:p>
    <w:p w:rsidR="000216F0" w:rsidRDefault="0030472D">
      <w:pPr>
        <w:jc w:val="both"/>
      </w:pPr>
      <w:r>
        <w:rPr>
          <w:rFonts w:eastAsia="Times New Roman"/>
        </w:rPr>
        <w:t>The study draws on primary data comprising the farm-recorded operational data generated through ordinary use of the platform (milk, feeding, health, weight, crop, finance, inventory, and task records), and se</w:t>
      </w:r>
      <w:r>
        <w:rPr>
          <w:rFonts w:eastAsia="Times New Roman"/>
        </w:rPr>
        <w:t>condary data comprising the published literature on alternative credit scoring, agricultural machine learning, blockchain traceability, and digital agriculture accessibility referenced throughout this documentation. The geographic and institutional focus i</w:t>
      </w:r>
      <w:r>
        <w:rPr>
          <w:rFonts w:eastAsia="Times New Roman"/>
        </w:rPr>
        <w:t>s Kenyan smallholder and mixed dairy/crop farming, piloted through Miginon Farm. Core delivered functionality includes: farm and herd record management; on-demand milk-yield forecasting with plain-language explanations; a farm-relative alternative credit s</w:t>
      </w:r>
      <w:r>
        <w:rPr>
          <w:rFonts w:eastAsia="Times New Roman"/>
        </w:rPr>
        <w:t>core with a category-level and feature-level breakdown, exposed to consenting external data partners through a dedicated API; blockchain-verified herd and harvest registration with a farm-level FIQ reward wallet; GPS field mapping; a rule-based insights da</w:t>
      </w:r>
      <w:r>
        <w:rPr>
          <w:rFonts w:eastAsia="Times New Roman"/>
        </w:rPr>
        <w:t>shboard; WhatsApp and push notification delivery; multi-format (CSV, XLSX, PDF) reporting and export; and optional public farm micro-sites for produce listing. The system focuses on decision support, record integrity, and creditworthiness signalling rather</w:t>
      </w:r>
      <w:r>
        <w:rPr>
          <w:rFonts w:eastAsia="Times New Roman"/>
        </w:rPr>
        <w:t xml:space="preserve"> than automated financial transactions, physical logistics, or integration with a live payment or lending system.</w:t>
      </w:r>
    </w:p>
    <w:p w:rsidR="000216F0" w:rsidRDefault="0030472D">
      <w:pPr>
        <w:pStyle w:val="Heading2"/>
        <w:spacing w:before="320" w:after="160"/>
      </w:pPr>
      <w:bookmarkStart w:id="16" w:name="_Toc240737064"/>
      <w:r>
        <w:rPr>
          <w:rFonts w:ascii="Times New Roman" w:eastAsia="Times New Roman" w:hAnsi="Times New Roman"/>
          <w:color w:val="1E3A5F"/>
          <w:sz w:val="28"/>
        </w:rPr>
        <w:t>1.7 Limitations and Delimitations</w:t>
      </w:r>
      <w:bookmarkEnd w:id="16"/>
    </w:p>
    <w:p w:rsidR="000216F0" w:rsidRDefault="0030472D">
      <w:pPr>
        <w:pStyle w:val="Heading3"/>
        <w:spacing w:before="320" w:after="160"/>
      </w:pPr>
      <w:bookmarkStart w:id="17" w:name="_Toc240737065"/>
      <w:r>
        <w:rPr>
          <w:rFonts w:ascii="Times New Roman" w:eastAsia="Times New Roman" w:hAnsi="Times New Roman"/>
          <w:color w:val="334155"/>
          <w:sz w:val="25"/>
        </w:rPr>
        <w:t>1.7.1 Delimitations</w:t>
      </w:r>
      <w:bookmarkEnd w:id="17"/>
    </w:p>
    <w:p w:rsidR="000216F0" w:rsidRDefault="0030472D">
      <w:pPr>
        <w:jc w:val="both"/>
      </w:pPr>
      <w:r>
        <w:rPr>
          <w:rFonts w:eastAsia="Times New Roman"/>
        </w:rPr>
        <w:t>This study is deliberately delimited to keep its scope feasible and coherent. Geographic</w:t>
      </w:r>
      <w:r>
        <w:rPr>
          <w:rFonts w:eastAsia="Times New Roman"/>
        </w:rPr>
        <w:t>ally and institutionally, it is delimited to Kenyan smallholder and mixed dairy/crop farming, developed and piloted around a single farm (Miginon Farm), with generalisation to other regions, crops, or livestock types left for future work. Functionally, the</w:t>
      </w:r>
      <w:r>
        <w:rPr>
          <w:rFonts w:eastAsia="Times New Roman"/>
        </w:rPr>
        <w:t xml:space="preserve"> credit-scoring engine is delimited to producing an assistive, explainable score and feature breakdown for use by an external data partner; it is explicitly not a lending, underwriting, or loan-disbursement system, and no real loan was issued or evaluated </w:t>
      </w:r>
      <w:r>
        <w:rPr>
          <w:rFonts w:eastAsia="Times New Roman"/>
        </w:rPr>
        <w:t xml:space="preserve">as part of this study. The machine learning scope is delimited to interpretable, closed-form linear models (ridge regression for yield prediction, Principal Component </w:t>
      </w:r>
      <w:r>
        <w:rPr>
          <w:rFonts w:eastAsia="Times New Roman"/>
        </w:rPr>
        <w:lastRenderedPageBreak/>
        <w:t>Analysis for score composition) chosen specifically so that exact feature-level explanati</w:t>
      </w:r>
      <w:r>
        <w:rPr>
          <w:rFonts w:eastAsia="Times New Roman"/>
        </w:rPr>
        <w:t>ons could be computed without external explainability libraries; more expressive but less transparent model families (e.g., gradient boosting, deep learning) were deliberately excluded. The blockchain scope is delimited to Hedera Hashgraph, used exclusivel</w:t>
      </w:r>
      <w:r>
        <w:rPr>
          <w:rFonts w:eastAsia="Times New Roman"/>
        </w:rPr>
        <w:t>y for non-fungible registration tokens, a fungible reward token, and consensus-service hash-anchoring; other distributed-ledger platforms and on-chain financial settlement were out of scope. The technology stack — Django, a Progressive Web Application fron</w:t>
      </w:r>
      <w:r>
        <w:rPr>
          <w:rFonts w:eastAsia="Times New Roman"/>
        </w:rPr>
        <w:t>tend, WhatsApp Cloud API notifications, and serverless deployment with no background task queue — was a deliberate, fixed set of choices rather than a comparative technology evaluation.</w:t>
      </w:r>
    </w:p>
    <w:p w:rsidR="000216F0" w:rsidRDefault="0030472D">
      <w:pPr>
        <w:pStyle w:val="Heading3"/>
        <w:spacing w:before="320" w:after="160"/>
      </w:pPr>
      <w:bookmarkStart w:id="18" w:name="_Toc240737066"/>
      <w:r>
        <w:rPr>
          <w:rFonts w:ascii="Times New Roman" w:eastAsia="Times New Roman" w:hAnsi="Times New Roman"/>
          <w:color w:val="334155"/>
          <w:sz w:val="25"/>
        </w:rPr>
        <w:t>1.7.2 Limitations</w:t>
      </w:r>
      <w:bookmarkEnd w:id="18"/>
    </w:p>
    <w:p w:rsidR="000216F0" w:rsidRDefault="0030472D">
      <w:pPr>
        <w:jc w:val="both"/>
      </w:pPr>
      <w:r>
        <w:rPr>
          <w:rFonts w:eastAsia="Times New Roman"/>
        </w:rPr>
        <w:t>Despite careful design, several limitations affect t</w:t>
      </w:r>
      <w:r>
        <w:rPr>
          <w:rFonts w:eastAsia="Times New Roman"/>
        </w:rPr>
        <w:t>he interpretation of this study's outcomes. Most fundamentally, because FarmIQ has never issued a real loan, there is no historical loan-repayment data anywhere in the system against which the credit-scoring engine's predictive validity could be tested; th</w:t>
      </w:r>
      <w:r>
        <w:rPr>
          <w:rFonts w:eastAsia="Times New Roman"/>
        </w:rPr>
        <w:t>e score is, by design, a population-relative percentile rank of current operational health rather than a probability of default, and this study cannot claim to have validated it against real lending outcomes — only against internal consistency checks (dete</w:t>
      </w:r>
      <w:r>
        <w:rPr>
          <w:rFonts w:eastAsia="Times New Roman"/>
        </w:rPr>
        <w:t xml:space="preserve">rminism, tier-monotonicity against simulated farm quality, and an independent re-implementation confirming that its explanations sum exactly to the underlying composite). Both the yield-prediction and credit-scoring models require a minimum volume of data </w:t>
      </w:r>
      <w:r>
        <w:rPr>
          <w:rFonts w:eastAsia="Times New Roman"/>
        </w:rPr>
        <w:t>before they produce a full result — thirty recorded rows before a per-cow yield model is trained, and eight eligible farms before a population-relative credit score is computed rather than a provisional composite — so their behaviour on a small or newly-on</w:t>
      </w:r>
      <w:r>
        <w:rPr>
          <w:rFonts w:eastAsia="Times New Roman"/>
        </w:rPr>
        <w:t>boarded farm population is necessarily less rich than their behaviour at scale. The evaluation in this study is limited to automated unit and integration testing and internal consistency verification; no formal field-based user acceptance testing, System U</w:t>
      </w:r>
      <w:r>
        <w:rPr>
          <w:rFonts w:eastAsia="Times New Roman"/>
        </w:rPr>
        <w:t>sability Scale survey, or multi-farm pilot beyond Miginon Farm was conducted, so claims about usability and real-world adoption remain provisional. The system's serverless, no-background-worker architecture recomputes machine learning predictions and insig</w:t>
      </w:r>
      <w:r>
        <w:rPr>
          <w:rFonts w:eastAsia="Times New Roman"/>
        </w:rPr>
        <w:t xml:space="preserve">hts synchronously on every relevant page view </w:t>
      </w:r>
      <w:r>
        <w:rPr>
          <w:rFonts w:eastAsia="Times New Roman"/>
        </w:rPr>
        <w:lastRenderedPageBreak/>
        <w:t>rather than maintaining a persisted, periodically-retrained model, which is a deliberate infrastructure trade-off but means model freshness and computational cost are coupled to user traffic in a way a schedule</w:t>
      </w:r>
      <w:r>
        <w:rPr>
          <w:rFonts w:eastAsia="Times New Roman"/>
        </w:rPr>
        <w:t xml:space="preserve">d-training architecture would not be. Finally, test coverage across the codebase is uneven — concentrated most heavily in the credit-scoring and public-site modules, and comparatively thin in the blockchain integration and core modules — a limitation this </w:t>
      </w:r>
      <w:r>
        <w:rPr>
          <w:rFonts w:eastAsia="Times New Roman"/>
        </w:rPr>
        <w:t>study reports honestly in Chapter 6 rather than overstating overall system reliability.</w:t>
      </w:r>
    </w:p>
    <w:p w:rsidR="000216F0" w:rsidRDefault="0030472D">
      <w:pPr>
        <w:pStyle w:val="Heading1"/>
        <w:pageBreakBefore/>
        <w:spacing w:before="80" w:after="200"/>
      </w:pPr>
      <w:bookmarkStart w:id="19" w:name="_Toc240737067"/>
      <w:r>
        <w:rPr>
          <w:rFonts w:ascii="Times New Roman" w:eastAsia="Times New Roman" w:hAnsi="Times New Roman"/>
          <w:color w:val="047857"/>
          <w:sz w:val="36"/>
        </w:rPr>
        <w:lastRenderedPageBreak/>
        <w:t>Chapter 2: Literature Review</w:t>
      </w:r>
      <w:bookmarkEnd w:id="19"/>
    </w:p>
    <w:p w:rsidR="000216F0" w:rsidRDefault="0030472D">
      <w:pPr>
        <w:pStyle w:val="Heading2"/>
        <w:spacing w:before="320" w:after="160"/>
      </w:pPr>
      <w:bookmarkStart w:id="20" w:name="_Toc240737068"/>
      <w:r>
        <w:rPr>
          <w:rFonts w:ascii="Times New Roman" w:eastAsia="Times New Roman" w:hAnsi="Times New Roman"/>
          <w:color w:val="1E3A5F"/>
          <w:sz w:val="28"/>
        </w:rPr>
        <w:t>2.1 Introduction</w:t>
      </w:r>
      <w:bookmarkEnd w:id="20"/>
    </w:p>
    <w:p w:rsidR="000216F0" w:rsidRDefault="0030472D">
      <w:pPr>
        <w:jc w:val="both"/>
      </w:pPr>
      <w:r>
        <w:rPr>
          <w:rFonts w:eastAsia="Times New Roman"/>
        </w:rPr>
        <w:t>This chapter reviews literature relevant to the five technical domains FarmIQ integrates: financial exclusion and alternat</w:t>
      </w:r>
      <w:r>
        <w:rPr>
          <w:rFonts w:eastAsia="Times New Roman"/>
        </w:rPr>
        <w:t>ive credit scoring, the machine learning techniques (Principal Component Analysis, K-means clustering, ridge regression) underlying its predictive components, explainable artificial intelligence, blockchain technology for agricultural traceability and toke</w:t>
      </w:r>
      <w:r>
        <w:rPr>
          <w:rFonts w:eastAsia="Times New Roman"/>
        </w:rPr>
        <w:t>nised incentives, and low-connectivity digital accessibility through Progressive Web Applications and mobile messaging. Each domain is individually well-established, yet, as this chapter demonstrates, existing research and deployed systems treat them large</w:t>
      </w:r>
      <w:r>
        <w:rPr>
          <w:rFonts w:eastAsia="Times New Roman"/>
        </w:rPr>
        <w:t>ly as separate concerns. The chapter closes by synthesising the resulting gaps, comparing FarmIQ against representative existing agri-fintech and farm-management systems, and presenting the conceptual framework that structured FarmIQ's design. Sources revi</w:t>
      </w:r>
      <w:r>
        <w:rPr>
          <w:rFonts w:eastAsia="Times New Roman"/>
        </w:rPr>
        <w:t>ewed are drawn primarily from peer-reviewed journal articles, conference proceedings, and reputable institutional reports (World Bank, GSMA, IFC, FAO, UNDP) published between 2015 and 2026, prioritising work addressing smallholder and developing-country co</w:t>
      </w:r>
      <w:r>
        <w:rPr>
          <w:rFonts w:eastAsia="Times New Roman"/>
        </w:rPr>
        <w:t>ntexts specifically over general-population findings from formal, high-resource financial and agricultural systems.</w:t>
      </w:r>
    </w:p>
    <w:p w:rsidR="000216F0" w:rsidRDefault="0030472D">
      <w:pPr>
        <w:pStyle w:val="Heading2"/>
        <w:spacing w:before="320" w:after="160"/>
      </w:pPr>
      <w:bookmarkStart w:id="21" w:name="_Toc240737069"/>
      <w:r>
        <w:rPr>
          <w:rFonts w:ascii="Times New Roman" w:eastAsia="Times New Roman" w:hAnsi="Times New Roman"/>
          <w:color w:val="1E3A5F"/>
          <w:sz w:val="28"/>
        </w:rPr>
        <w:t>2.2 Financial Exclusion and Credit Access Challenges for Smallholder Farmers</w:t>
      </w:r>
      <w:bookmarkEnd w:id="21"/>
    </w:p>
    <w:p w:rsidR="000216F0" w:rsidRDefault="0030472D">
      <w:pPr>
        <w:jc w:val="both"/>
      </w:pPr>
      <w:r>
        <w:rPr>
          <w:rFonts w:eastAsia="Times New Roman"/>
        </w:rPr>
        <w:t>Financial exclusion among smallholder farmers is well documente</w:t>
      </w:r>
      <w:r>
        <w:rPr>
          <w:rFonts w:eastAsia="Times New Roman"/>
        </w:rPr>
        <w:t>d both in scale and in cause. The World Bank's Global Findex Database, the most comprehensive demand-side financial inclusion dataset available, shows that although account ownership has risen sharply across Sub-Saharan Africa — driven overwhelmingly by mo</w:t>
      </w:r>
      <w:r>
        <w:rPr>
          <w:rFonts w:eastAsia="Times New Roman"/>
        </w:rPr>
        <w:t>bile money — this progress has not translated into equivalent gains in access to formal credit specifically, leaving large rural and agricultural populations financially included in name (holding a basic account) but still excluded from lending (Demirguc-K</w:t>
      </w:r>
      <w:r>
        <w:rPr>
          <w:rFonts w:eastAsia="Times New Roman"/>
        </w:rPr>
        <w:t xml:space="preserve">unt et al., 2022). Kenya-specific evidence from Kiplimo et al. (2015), using logistic regression over smallholder survey data, found that the strongest determinants of whether a farmer obtains formal </w:t>
      </w:r>
      <w:r>
        <w:rPr>
          <w:rFonts w:eastAsia="Times New Roman"/>
        </w:rPr>
        <w:lastRenderedPageBreak/>
        <w:t>credit are education level, occupation, and access to ex</w:t>
      </w:r>
      <w:r>
        <w:rPr>
          <w:rFonts w:eastAsia="Times New Roman"/>
        </w:rPr>
        <w:t>tension services, while lack of collateral and low literacy actively suppress access — notably, none of these determinants directly measures the farm's own productivity or financial health, meaning a well-run but undereducated or extension-service-disconne</w:t>
      </w:r>
      <w:r>
        <w:rPr>
          <w:rFonts w:eastAsia="Times New Roman"/>
        </w:rPr>
        <w:t>cted farm may be excluded from credit for reasons unrelated to its actual creditworthiness. Institutional analysis from the Center for Strategic and International Studies frames the supply-side mirror of this problem: formal lenders perceive agriculture as</w:t>
      </w:r>
      <w:r>
        <w:rPr>
          <w:rFonts w:eastAsia="Times New Roman"/>
        </w:rPr>
        <w:t xml:space="preserve"> inherently high-risk and view the transaction cost of underwriting large numbers of small, geographically dispersed rural clients as prohibitive relative to the loan sizes involved (Savoy, 2025). GSMA estimates the resulting global smallholder financing g</w:t>
      </w:r>
      <w:r>
        <w:rPr>
          <w:rFonts w:eastAsia="Times New Roman"/>
        </w:rPr>
        <w:t>ap at approximately USD 170 billion annually, and identifies farm and farmer data capture as one of the central mechanisms by which emerging digital financial services business models are attempting to close it (GSMA, 2025a).</w:t>
      </w:r>
    </w:p>
    <w:p w:rsidR="000216F0" w:rsidRDefault="0030472D">
      <w:pPr>
        <w:jc w:val="both"/>
      </w:pPr>
      <w:r>
        <w:rPr>
          <w:rFonts w:eastAsia="Times New Roman"/>
        </w:rPr>
        <w:t>More recent research has begun</w:t>
      </w:r>
      <w:r>
        <w:rPr>
          <w:rFonts w:eastAsia="Times New Roman"/>
        </w:rPr>
        <w:t xml:space="preserve"> linking this exclusion directly to digital infrastructure. A panel study across thirty Sub-Saharan African countries found that mobile money and mobile phone penetration have a significant positive long-run effect on agricultural credit access, operating </w:t>
      </w:r>
      <w:r>
        <w:rPr>
          <w:rFonts w:eastAsia="Times New Roman"/>
        </w:rPr>
        <w:t>by improving both financial-sector reach and the flow of information available to lenders about rural borrowers (Assi et al., 2025) — a finding that is directly relevant to FarmIQ's premise that a digitally-recorded farm history can itself become the evide</w:t>
      </w:r>
      <w:r>
        <w:rPr>
          <w:rFonts w:eastAsia="Times New Roman"/>
        </w:rPr>
        <w:t>ntiary basis lenders currently lack. Taken together, this literature establishes both that the smallholder credit gap is large and well-quantified, and that its root cause is not farm-level unviability but the absence of the specific kind of verifiable dat</w:t>
      </w:r>
      <w:r>
        <w:rPr>
          <w:rFonts w:eastAsia="Times New Roman"/>
        </w:rPr>
        <w:t>a formal credit assessment has historically required.</w:t>
      </w:r>
    </w:p>
    <w:p w:rsidR="000216F0" w:rsidRDefault="0030472D">
      <w:pPr>
        <w:pStyle w:val="Heading2"/>
        <w:spacing w:before="320" w:after="160"/>
      </w:pPr>
      <w:bookmarkStart w:id="22" w:name="_Toc240737070"/>
      <w:r>
        <w:rPr>
          <w:rFonts w:ascii="Times New Roman" w:eastAsia="Times New Roman" w:hAnsi="Times New Roman"/>
          <w:color w:val="1E3A5F"/>
          <w:sz w:val="28"/>
        </w:rPr>
        <w:t>2.3 Alternative and Algorithmic Credit Scoring Using Non-Traditional Data</w:t>
      </w:r>
      <w:bookmarkEnd w:id="22"/>
    </w:p>
    <w:p w:rsidR="000216F0" w:rsidRDefault="0030472D">
      <w:pPr>
        <w:jc w:val="both"/>
      </w:pPr>
      <w:r>
        <w:rPr>
          <w:rFonts w:eastAsia="Times New Roman"/>
        </w:rPr>
        <w:t>Where formal credit-history data is missing, a substantial body of research has examined whether non-traditional data sources ca</w:t>
      </w:r>
      <w:r>
        <w:rPr>
          <w:rFonts w:eastAsia="Times New Roman"/>
        </w:rPr>
        <w:t xml:space="preserve">n substitute for it. Simumba et al. (2018) argue explicitly, in the context of agricultural microfinance, that credit-decision systems need context-specific, non-financial scoring factors precisely because most agricultural </w:t>
      </w:r>
      <w:r>
        <w:rPr>
          <w:rFonts w:eastAsia="Times New Roman"/>
        </w:rPr>
        <w:lastRenderedPageBreak/>
        <w:t>borrowers have no financial hist</w:t>
      </w:r>
      <w:r>
        <w:rPr>
          <w:rFonts w:eastAsia="Times New Roman"/>
        </w:rPr>
        <w:t>ory to score in the first place — a direct methodological precedent for FarmIQ's decision to build creditworthiness signals from farm operational data rather than from any financial transaction history. Empirical evaluations of specific alternative-data ap</w:t>
      </w:r>
      <w:r>
        <w:rPr>
          <w:rFonts w:eastAsia="Times New Roman"/>
        </w:rPr>
        <w:t>proaches support this direction: psychometric assessment tools have been shown to extend credit to "thin-file" applicants who would otherwise be rejected by conventional screening, without increasing portfolio default risk (Arraiz et al., 2017), and behavi</w:t>
      </w:r>
      <w:r>
        <w:rPr>
          <w:rFonts w:eastAsia="Times New Roman"/>
        </w:rPr>
        <w:t>oural signatures extracted from mobile phone call-detail records have been shown to predict loan repayment about as accurately as a traditional credit bureau score (Bjorkegren &amp; Grissen, 2018). The FAO's Science, Technology and Innovation portal corroborat</w:t>
      </w:r>
      <w:r>
        <w:rPr>
          <w:rFonts w:eastAsia="Times New Roman"/>
        </w:rPr>
        <w:t>es that this is now an active, recognised field of deployed practice rather than only academic proposal, documenting platforms that combine farm performance metrics, satellite imagery, and mobile money transaction records with machine learning to assess sm</w:t>
      </w:r>
      <w:r>
        <w:rPr>
          <w:rFonts w:eastAsia="Times New Roman"/>
        </w:rPr>
        <w:t>allholder creditworthiness directly (FAO STI Portal, n.d.).</w:t>
      </w:r>
    </w:p>
    <w:p w:rsidR="000216F0" w:rsidRDefault="0030472D">
      <w:pPr>
        <w:jc w:val="both"/>
      </w:pPr>
      <w:r>
        <w:rPr>
          <w:rFonts w:eastAsia="Times New Roman"/>
        </w:rPr>
        <w:t>These alternative-data approaches remain, almost without exception, supervised: they are trained to predict a historical, labelled outcome — typically loan default or repayment — using non-traditi</w:t>
      </w:r>
      <w:r>
        <w:rPr>
          <w:rFonts w:eastAsia="Times New Roman"/>
        </w:rPr>
        <w:t>onal features as predictors. Bao et al. (2019) illustrate this pattern even in work that explicitly incorporates unsupervised methods, proposing a hybrid approach that combines unsupervised clustering (k-means, self-organising maps) with a supervised class</w:t>
      </w:r>
      <w:r>
        <w:rPr>
          <w:rFonts w:eastAsia="Times New Roman"/>
        </w:rPr>
        <w:t>ifier for credit risk assessment; the clustering step is used to enrich the feature space or segment the population, but the model as a whole is still ultimately trained against known default labels. This dependence on labelled outcomes is precisely what a</w:t>
      </w:r>
      <w:r>
        <w:rPr>
          <w:rFonts w:eastAsia="Times New Roman"/>
        </w:rPr>
        <w:t xml:space="preserve"> platform such as FarmIQ cannot satisfy: having never issued a real loan, it has no repayment data anywhere in its system to serve as a training label. A genuinely label-free, purely unsupervised approach — one that assesses a farm's creditworthiness relat</w:t>
      </w:r>
      <w:r>
        <w:rPr>
          <w:rFonts w:eastAsia="Times New Roman"/>
        </w:rPr>
        <w:t xml:space="preserve">ive to its peers using only the farm's own operational data, without any historical outcome to learn from — is comparatively rare in the credit-scoring literature specifically, which represents a methodological gap FarmIQ's design is positioned to address </w:t>
      </w:r>
      <w:r>
        <w:rPr>
          <w:rFonts w:eastAsia="Times New Roman"/>
        </w:rPr>
        <w:t>(see Section 2.13).</w:t>
      </w:r>
    </w:p>
    <w:p w:rsidR="000216F0" w:rsidRDefault="0030472D">
      <w:pPr>
        <w:pStyle w:val="Heading2"/>
        <w:spacing w:before="320" w:after="160"/>
      </w:pPr>
      <w:bookmarkStart w:id="23" w:name="_Toc240737071"/>
      <w:r>
        <w:rPr>
          <w:rFonts w:ascii="Times New Roman" w:eastAsia="Times New Roman" w:hAnsi="Times New Roman"/>
          <w:color w:val="1E3A5F"/>
          <w:sz w:val="28"/>
        </w:rPr>
        <w:lastRenderedPageBreak/>
        <w:t>2.4 Unsupervised Machine Learning for Scoring and Segmentation</w:t>
      </w:r>
      <w:bookmarkEnd w:id="23"/>
    </w:p>
    <w:p w:rsidR="000216F0" w:rsidRDefault="0030472D">
      <w:pPr>
        <w:jc w:val="both"/>
      </w:pPr>
      <w:r>
        <w:rPr>
          <w:rFonts w:eastAsia="Times New Roman"/>
        </w:rPr>
        <w:t>Two established unsupervised techniques underpin FarmIQ's approach to this gap: dimensionality reduction and clustering. Principal Component Analysis (PCA) is a long-standin</w:t>
      </w:r>
      <w:r>
        <w:rPr>
          <w:rFonts w:eastAsia="Times New Roman"/>
        </w:rPr>
        <w:t>g and still actively developed method for reducing a set of correlated variables to a smaller number of uncorrelated components that retain most of the original variance, improving both interpretability and computational tractability (Jolliffe &amp; Cadima, 20</w:t>
      </w:r>
      <w:r>
        <w:rPr>
          <w:rFonts w:eastAsia="Times New Roman"/>
        </w:rPr>
        <w:t>16); because each component is a linear combination of the original features, the exact contribution of any input feature to the resulting component can be recovered directly from the model's own coefficients, without requiring a separate post-hoc explanat</w:t>
      </w:r>
      <w:r>
        <w:rPr>
          <w:rFonts w:eastAsia="Times New Roman"/>
        </w:rPr>
        <w:t>ion technique. K-means clustering remains, more than fifty years after its introduction, the dominant unsupervised method for grouping unlabelled data by similarity, precisely because it requires no outcome labels and scales well to the kind of numeric, st</w:t>
      </w:r>
      <w:r>
        <w:rPr>
          <w:rFonts w:eastAsia="Times New Roman"/>
        </w:rPr>
        <w:t>andardised feature matrices PCA produces (Jain, 2010). Recent work has begun connecting dimensionality reduction directly to credit scoring: Miljkovic and Wang (2024) propose a dimension-reduction-based credit scoring method for high-dimensional categorica</w:t>
      </w:r>
      <w:r>
        <w:rPr>
          <w:rFonts w:eastAsia="Times New Roman"/>
        </w:rPr>
        <w:t xml:space="preserve">l banking data and benchmark it explicitly against classical PCA, finding it improves scoring accuracy while retaining feature-level interpretability — evidence that PCA-based approaches to credit scoring are both methodologically sound and an active area </w:t>
      </w:r>
      <w:r>
        <w:rPr>
          <w:rFonts w:eastAsia="Times New Roman"/>
        </w:rPr>
        <w:t>of ongoing refinement, not an outdated technique. FarmIQ's credit-scoring engine draws directly on this combination, using PCA to derive a single, sign-corrected composite health score for percentile-ranking a farm against its peers, and K-means clustering</w:t>
      </w:r>
      <w:r>
        <w:rPr>
          <w:rFonts w:eastAsia="Times New Roman"/>
        </w:rPr>
        <w:t xml:space="preserve"> on the same standardised feature space to derive discrete score tiers — an application of established unsupervised methods to a use case (label-free, population-relative smallholder credit assessment) that remains under-explored in the literature reviewed</w:t>
      </w:r>
      <w:r>
        <w:rPr>
          <w:rFonts w:eastAsia="Times New Roman"/>
        </w:rPr>
        <w:t xml:space="preserve"> in Section 2.3.</w:t>
      </w:r>
    </w:p>
    <w:p w:rsidR="000216F0" w:rsidRDefault="0030472D">
      <w:pPr>
        <w:pStyle w:val="Heading2"/>
        <w:spacing w:before="320" w:after="160"/>
      </w:pPr>
      <w:bookmarkStart w:id="24" w:name="_Toc240737072"/>
      <w:r>
        <w:rPr>
          <w:rFonts w:ascii="Times New Roman" w:eastAsia="Times New Roman" w:hAnsi="Times New Roman"/>
          <w:color w:val="1E3A5F"/>
          <w:sz w:val="28"/>
        </w:rPr>
        <w:t>2.5 Explainable AI in Financial and Agricultural Decision Support</w:t>
      </w:r>
      <w:bookmarkEnd w:id="24"/>
    </w:p>
    <w:p w:rsidR="000216F0" w:rsidRDefault="0030472D">
      <w:pPr>
        <w:jc w:val="both"/>
      </w:pPr>
      <w:r>
        <w:rPr>
          <w:rFonts w:eastAsia="Times New Roman"/>
        </w:rPr>
        <w:t>A recurring concern across both the credit-scoring and agricultural-prediction literature is that a numeric output alone — a score, a probability, a forecast — is insufficie</w:t>
      </w:r>
      <w:r>
        <w:rPr>
          <w:rFonts w:eastAsia="Times New Roman"/>
        </w:rPr>
        <w:t xml:space="preserve">nt to build user trust or support informed action unless it is accompanied by an interpretable account </w:t>
      </w:r>
      <w:r>
        <w:rPr>
          <w:rFonts w:eastAsia="Times New Roman"/>
        </w:rPr>
        <w:lastRenderedPageBreak/>
        <w:t>of what drove it. Ribeiro et al. (2016) introduced LIME specifically to address this, arguing that trust in a model's prediction, which is a prerequisite</w:t>
      </w:r>
      <w:r>
        <w:rPr>
          <w:rFonts w:eastAsia="Times New Roman"/>
        </w:rPr>
        <w:t xml:space="preserve"> for a human acting on it, requires a locally faithful, human-interpretable explanation of any classifier's output regardless of the underlying model's complexity. Lundberg and Lee (2017) generalised this concern with SHAP, providing a theoretically ground</w:t>
      </w:r>
      <w:r>
        <w:rPr>
          <w:rFonts w:eastAsia="Times New Roman"/>
        </w:rPr>
        <w:t>ed, consistent framework for attributing a model's output to its input features. Both techniques are approximations designed for models whose internal structure does not itself expose feature contributions; where a model is linear by construction — as both</w:t>
      </w:r>
      <w:r>
        <w:rPr>
          <w:rFonts w:eastAsia="Times New Roman"/>
        </w:rPr>
        <w:t xml:space="preserve"> FarmIQ's ridge regression yield predictor and its PCA-based credit score are — the equivalent feature-level explanation can instead be computed exactly, in closed form, as the product of each feature's coefficient (or component loading) and its standardis</w:t>
      </w:r>
      <w:r>
        <w:rPr>
          <w:rFonts w:eastAsia="Times New Roman"/>
        </w:rPr>
        <w:t>ed value, without needing to approximate anything. This is directly relevant to credit scoring specifically: Nallakaruppan et al. (2024) propose an explainable AI framework built around credit evaluation models, motivated explicitly by the transparency and</w:t>
      </w:r>
      <w:r>
        <w:rPr>
          <w:rFonts w:eastAsia="Times New Roman"/>
        </w:rPr>
        <w:t xml:space="preserve"> trustworthiness concerns automated credit decisioning raises, reinforcing that explainability is not a generic machine learning nicety but a specific, recognised requirement wherever an automated system produces a number that could gate a person's access </w:t>
      </w:r>
      <w:r>
        <w:rPr>
          <w:rFonts w:eastAsia="Times New Roman"/>
        </w:rPr>
        <w:t>to money. Comparable work in agricultural yield prediction applies SHAP-based explanation to build farmer and advisor trust in yield forecasts, again treating explainability as necessary for adoption rather than optional polish (Springer, 2025; Neural Comp</w:t>
      </w:r>
      <w:r>
        <w:rPr>
          <w:rFonts w:eastAsia="Times New Roman"/>
        </w:rPr>
        <w:t>uting and Applications, 2024). FarmIQ's design follows this evidence by using only closed-form-explainable models for both its scoring and prediction subsystems, prioritising exact, verifiable explanations over the marginal accuracy gains a more opaque mod</w:t>
      </w:r>
      <w:r>
        <w:rPr>
          <w:rFonts w:eastAsia="Times New Roman"/>
        </w:rPr>
        <w:t>el family might otherwise offer.</w:t>
      </w:r>
    </w:p>
    <w:p w:rsidR="000216F0" w:rsidRDefault="0030472D">
      <w:pPr>
        <w:pStyle w:val="Heading2"/>
        <w:spacing w:before="320" w:after="160"/>
      </w:pPr>
      <w:bookmarkStart w:id="25" w:name="_Toc240737073"/>
      <w:r>
        <w:rPr>
          <w:rFonts w:ascii="Times New Roman" w:eastAsia="Times New Roman" w:hAnsi="Times New Roman"/>
          <w:color w:val="1E3A5F"/>
          <w:sz w:val="28"/>
        </w:rPr>
        <w:t>2.6 Machine Learning for Livestock Production Forecasting</w:t>
      </w:r>
      <w:bookmarkEnd w:id="25"/>
    </w:p>
    <w:p w:rsidR="000216F0" w:rsidRDefault="0030472D">
      <w:pPr>
        <w:jc w:val="both"/>
      </w:pPr>
      <w:r>
        <w:rPr>
          <w:rFonts w:eastAsia="Times New Roman"/>
        </w:rPr>
        <w:t xml:space="preserve">Machine learning-based prediction of dairy milk yield is an established and currently active area of agricultural research. Hooker et al. (2025) trained and </w:t>
      </w:r>
      <w:r>
        <w:rPr>
          <w:rFonts w:eastAsia="Times New Roman"/>
        </w:rPr>
        <w:t>compared ridge regression, gradient boosting, and random forest models on data from 1,312 commercial dairy cows to predict short-term milk yield from behavioural, milking-system, and environmental data, finding that ridge regression performed competitively</w:t>
      </w:r>
      <w:r>
        <w:rPr>
          <w:rFonts w:eastAsia="Times New Roman"/>
        </w:rPr>
        <w:t xml:space="preserve"> against the more complex ensemble methods while remaining substantially more interpretable — </w:t>
      </w:r>
      <w:r>
        <w:rPr>
          <w:rFonts w:eastAsia="Times New Roman"/>
        </w:rPr>
        <w:lastRenderedPageBreak/>
        <w:t>direct evidence supporting FarmIQ's choice of ridge regression as its yield-prediction method rather than a more opaque ensemble model. Related work using within-</w:t>
      </w:r>
      <w:r>
        <w:rPr>
          <w:rFonts w:eastAsia="Times New Roman"/>
        </w:rPr>
        <w:t>herd relative data to model genotype-by-environment interaction in daily milk yield prediction further confirms that regression-based approaches remain an actively researched, credible method in dairy science rather than an outdated baseline (Journal of Da</w:t>
      </w:r>
      <w:r>
        <w:rPr>
          <w:rFonts w:eastAsia="Times New Roman"/>
        </w:rPr>
        <w:t>iry Science, 2022). Both studies also reinforce a practical point directly relevant to FarmIQ's design: behavioural and environmental features materially improve prediction accuracy in exactly the situation where historical yield data is sparse, which is t</w:t>
      </w:r>
      <w:r>
        <w:rPr>
          <w:rFonts w:eastAsia="Times New Roman"/>
        </w:rPr>
        <w:t>he typical situation for a newly-registered cow or a smallholder farm early in its use of a digital platform.</w:t>
      </w:r>
    </w:p>
    <w:p w:rsidR="000216F0" w:rsidRDefault="0030472D">
      <w:pPr>
        <w:pStyle w:val="Heading2"/>
        <w:spacing w:before="320" w:after="160"/>
      </w:pPr>
      <w:bookmarkStart w:id="26" w:name="_Toc240737074"/>
      <w:r>
        <w:rPr>
          <w:rFonts w:ascii="Times New Roman" w:eastAsia="Times New Roman" w:hAnsi="Times New Roman"/>
          <w:color w:val="1E3A5F"/>
          <w:sz w:val="28"/>
        </w:rPr>
        <w:t>2.7 Blockchain Technology for Agricultural Traceability and Trust</w:t>
      </w:r>
      <w:bookmarkEnd w:id="26"/>
    </w:p>
    <w:p w:rsidR="000216F0" w:rsidRDefault="0030472D">
      <w:pPr>
        <w:jc w:val="both"/>
      </w:pPr>
      <w:r>
        <w:rPr>
          <w:rFonts w:eastAsia="Times New Roman"/>
        </w:rPr>
        <w:t>Blockchain and distributed ledger technology have been repeatedly proposed and d</w:t>
      </w:r>
      <w:r>
        <w:rPr>
          <w:rFonts w:eastAsia="Times New Roman"/>
        </w:rPr>
        <w:t>eployed to address trust and traceability gaps in agricultural data. Marchese and Tomarchio (2022) present a fully distributed blockchain-based system for agri-food supply chain traceability, arguing it guarantees data quality and integrity in a way conven</w:t>
      </w:r>
      <w:r>
        <w:rPr>
          <w:rFonts w:eastAsia="Times New Roman"/>
        </w:rPr>
        <w:t>tional centralised record systems cannot, because no single party can quietly alter a historical record without detection. A related architecture combining the Internet of Things with blockchain for agricultural product traceability demonstrates the same u</w:t>
      </w:r>
      <w:r>
        <w:rPr>
          <w:rFonts w:eastAsia="Times New Roman"/>
        </w:rPr>
        <w:t>nderlying principle — an immutable ledger structure prevents tampering with process data and can detect malicious or faulty data-reporting nodes (Mathematical Problems in Engineering, 2022). The United Nations Development Programme's review of blockchain f</w:t>
      </w:r>
      <w:r>
        <w:rPr>
          <w:rFonts w:eastAsia="Times New Roman"/>
        </w:rPr>
        <w:t xml:space="preserve">or agri-food traceability documents concrete deployed examples, including livestock traceability systems operating in Vietnam, and frames blockchain's core value proposition in development contexts as creating tamper-resistant, auditable records for value </w:t>
      </w:r>
      <w:r>
        <w:rPr>
          <w:rFonts w:eastAsia="Times New Roman"/>
        </w:rPr>
        <w:t>chains that otherwise depend on informal trust (UNDP, 2021). Hedera Hashgraph, the specific platform FarmIQ uses, achieves this guarantee through an asynchronous Byzantine Fault Tolerant consensus algorithm — the strongest formal security classification av</w:t>
      </w:r>
      <w:r>
        <w:rPr>
          <w:rFonts w:eastAsia="Times New Roman"/>
        </w:rPr>
        <w:t>ailable to a distributed system — while offering transaction finality in three to five seconds and, through its Consensus Service, the ability to timestamp and sequence an arbitrary hash message on a public ledger without requiring a full token transaction</w:t>
      </w:r>
      <w:r>
        <w:rPr>
          <w:rFonts w:eastAsia="Times New Roman"/>
        </w:rPr>
        <w:t xml:space="preserve"> for every record (Hedera, n.d.-a; Hedera, n.d.-b). This distinction matters for FarmIQ's design: rather than </w:t>
      </w:r>
      <w:r>
        <w:rPr>
          <w:rFonts w:eastAsia="Times New Roman"/>
        </w:rPr>
        <w:lastRenderedPageBreak/>
        <w:t>recording every farm event as an on-chain financial transaction, the platform submits only a SHA-256 hash of a record's content to a Hedera Consen</w:t>
      </w:r>
      <w:r>
        <w:rPr>
          <w:rFonts w:eastAsia="Times New Roman"/>
        </w:rPr>
        <w:t>sus Service topic, allowing any party to independently recompute the hash from the underlying database record and confirm it has not been altered, without exposing the record's actual contents on a public ledger.</w:t>
      </w:r>
    </w:p>
    <w:p w:rsidR="000216F0" w:rsidRDefault="0030472D">
      <w:pPr>
        <w:pStyle w:val="Heading2"/>
        <w:spacing w:before="320" w:after="160"/>
      </w:pPr>
      <w:bookmarkStart w:id="27" w:name="_Toc240737075"/>
      <w:r>
        <w:rPr>
          <w:rFonts w:ascii="Times New Roman" w:eastAsia="Times New Roman" w:hAnsi="Times New Roman"/>
          <w:color w:val="1E3A5F"/>
          <w:sz w:val="28"/>
        </w:rPr>
        <w:t>2.8 Tokenised Incentives for Data Contribut</w:t>
      </w:r>
      <w:r>
        <w:rPr>
          <w:rFonts w:ascii="Times New Roman" w:eastAsia="Times New Roman" w:hAnsi="Times New Roman"/>
          <w:color w:val="1E3A5F"/>
          <w:sz w:val="28"/>
        </w:rPr>
        <w:t>ion</w:t>
      </w:r>
      <w:bookmarkEnd w:id="27"/>
    </w:p>
    <w:p w:rsidR="000216F0" w:rsidRDefault="0030472D">
      <w:pPr>
        <w:jc w:val="both"/>
      </w:pPr>
      <w:r>
        <w:rPr>
          <w:rFonts w:eastAsia="Times New Roman"/>
        </w:rPr>
        <w:t>A separate strand of blockchain-adjacent literature addresses whether a token, issued on a blockchain, can be used deliberately to increase participants' willingness to contribute data or effort to a system. Pandey et al. (2022) propose FedToken, a blo</w:t>
      </w:r>
      <w:r>
        <w:rPr>
          <w:rFonts w:eastAsia="Times New Roman"/>
        </w:rPr>
        <w:t>ckchain-backed incentive scheme that allocates tokens to participants in a federated system in proportion to the estimated value of their data contribution, demonstrating that a fairly-designed token incentive can be used specifically to encourage sustaine</w:t>
      </w:r>
      <w:r>
        <w:rPr>
          <w:rFonts w:eastAsia="Times New Roman"/>
        </w:rPr>
        <w:t>d data contribution rather than only to reward passive holding. Empirical work in information systems research has found that token-based incentive mechanisms causally affect contributor behaviour and output quality on blockchain-based platforms, providing</w:t>
      </w:r>
      <w:r>
        <w:rPr>
          <w:rFonts w:eastAsia="Times New Roman"/>
        </w:rPr>
        <w:t xml:space="preserve"> evidence that the "token-for-behaviour" logic is not merely theoretical (Information Systems Research, 2023). Consumer-behaviour research on gamified cryptocurrency rewards — including play-to-earn models — further shows that reward-for-activity token sys</w:t>
      </w:r>
      <w:r>
        <w:rPr>
          <w:rFonts w:eastAsia="Times New Roman"/>
        </w:rPr>
        <w:t>tems can meaningfully drive engagement, while also cautioning that reward-value volatility introduces a sustainability risk that a token-incentive design must account for (Ahsan &amp; Gupta, 2024). This literature directly informs FarmIQ's FIQ reward token, wh</w:t>
      </w:r>
      <w:r>
        <w:rPr>
          <w:rFonts w:eastAsia="Times New Roman"/>
        </w:rPr>
        <w:t>ich mints a platform-wide, farm-pooled token for actions such as cow registration, harvest logging, milk certification, and task completion, deliberately batching some reward triggers (rather than minting on every single data entry) to avoid both transacti</w:t>
      </w:r>
      <w:r>
        <w:rPr>
          <w:rFonts w:eastAsia="Times New Roman"/>
        </w:rPr>
        <w:t>on cost and the incentive-volatility concerns this literature raises.</w:t>
      </w:r>
    </w:p>
    <w:p w:rsidR="000216F0" w:rsidRDefault="0030472D">
      <w:pPr>
        <w:pStyle w:val="Heading2"/>
        <w:spacing w:before="320" w:after="160"/>
      </w:pPr>
      <w:bookmarkStart w:id="28" w:name="_Toc240737076"/>
      <w:r>
        <w:rPr>
          <w:rFonts w:ascii="Times New Roman" w:eastAsia="Times New Roman" w:hAnsi="Times New Roman"/>
          <w:color w:val="1E3A5F"/>
          <w:sz w:val="28"/>
        </w:rPr>
        <w:lastRenderedPageBreak/>
        <w:t>2.9 Progressive Web Applications and Mobile Messaging for Low-Connectivity Rural Contexts</w:t>
      </w:r>
      <w:bookmarkEnd w:id="28"/>
    </w:p>
    <w:p w:rsidR="000216F0" w:rsidRDefault="0030472D">
      <w:pPr>
        <w:jc w:val="both"/>
      </w:pPr>
      <w:r>
        <w:rPr>
          <w:rFonts w:eastAsia="Times New Roman"/>
        </w:rPr>
        <w:t xml:space="preserve">Progressive Web Applications (PWAs) have been proposed as a practical alternative to </w:t>
      </w:r>
      <w:r>
        <w:rPr>
          <w:rFonts w:eastAsia="Times New Roman"/>
        </w:rPr>
        <w:t xml:space="preserve">native mobile applications specifically because they avoid app-store distribution friction, run across heterogeneous low-end devices, and can cache an application shell for offline availability through a service worker (IEEE, 2018a). Technical work on PWA </w:t>
      </w:r>
      <w:r>
        <w:rPr>
          <w:rFonts w:eastAsia="Times New Roman"/>
        </w:rPr>
        <w:t>background synchronisation describes the architectural pattern — a service worker queuing actions performed while offline and automatically retrying them once connectivity returns — that underlies exactly the kind of offline-first data capture a rural, int</w:t>
      </w:r>
      <w:r>
        <w:rPr>
          <w:rFonts w:eastAsia="Times New Roman"/>
        </w:rPr>
        <w:t xml:space="preserve">ermittently-connected user needs (IEEE, 2018b). No single peer-reviewed source in the literature reviewed combines this PWA architecture claim directly with African or developing-region connectivity data; however, connectivity-constraint evidence from the </w:t>
      </w:r>
      <w:r>
        <w:rPr>
          <w:rFonts w:eastAsia="Times New Roman"/>
        </w:rPr>
        <w:t xml:space="preserve">region is well established independently. GSMA and IDH Farmfit's mapping of the digital agriculture sector found that only around 30 percent of Sub-Saharan African farmers use any digital agricultural solution, rural internet penetration across the region </w:t>
      </w:r>
      <w:r>
        <w:rPr>
          <w:rFonts w:eastAsia="Times New Roman"/>
        </w:rPr>
        <w:t>was approximately 26 percent, and a persistent gender gap leaves women farmers roughly 13 percent less likely to own a phone at all (GSMA &amp; IDH Farmfit, 2020) — the specific connectivity and access constraints a PWA's offline-first, low-bandwidth design is</w:t>
      </w:r>
      <w:r>
        <w:rPr>
          <w:rFonts w:eastAsia="Times New Roman"/>
        </w:rPr>
        <w:t xml:space="preserve"> intended to mitigate.</w:t>
      </w:r>
    </w:p>
    <w:p w:rsidR="000216F0" w:rsidRDefault="0030472D">
      <w:pPr>
        <w:jc w:val="both"/>
      </w:pPr>
      <w:r>
        <w:rPr>
          <w:rFonts w:eastAsia="Times New Roman"/>
        </w:rPr>
        <w:t>Kenya- and Uganda-specific survey evidence reinforces both the constraint and the channel choice. Kansiime et al. (2022), surveying 436 farmers across the two countries, found that 78 percent already use some electronic advisory sour</w:t>
      </w:r>
      <w:r>
        <w:rPr>
          <w:rFonts w:eastAsia="Times New Roman"/>
        </w:rPr>
        <w:t>ce, overwhelmingly radio, and identified digital literacy and the cost of internet and devices — not the absence of any digital behaviour at all — as the dominant barriers, with women and elderly farmers particularly disadvantaged; the study explicitly rec</w:t>
      </w:r>
      <w:r>
        <w:rPr>
          <w:rFonts w:eastAsia="Times New Roman"/>
        </w:rPr>
        <w:t>ommends blending digital channels with more familiar, already-adopted ones rather than replacing them outright. A cross-regional study of how smallholder farmers actually use digital extension tools found that farmers frequently repurpose general-purpose c</w:t>
      </w:r>
      <w:r>
        <w:rPr>
          <w:rFonts w:eastAsia="Times New Roman"/>
        </w:rPr>
        <w:t xml:space="preserve">hat applications — WhatsApp specifically named among them — and ordinary phone calls for agricultural information exchange, rather than adopting purpose-built platforms passively provided to </w:t>
      </w:r>
      <w:r>
        <w:rPr>
          <w:rFonts w:eastAsia="Times New Roman"/>
        </w:rPr>
        <w:lastRenderedPageBreak/>
        <w:t>them (Coggins et al., 2022). Kenya-specific research on digital a</w:t>
      </w:r>
      <w:r>
        <w:rPr>
          <w:rFonts w:eastAsia="Times New Roman"/>
        </w:rPr>
        <w:t>gricultural extension similarly finds mobile apps and radio to be the most-used digital channels, with poor rural connectivity, high internet cost, and low digital literacy constraining further adoption even as interest in emerging tools such as AI and blo</w:t>
      </w:r>
      <w:r>
        <w:rPr>
          <w:rFonts w:eastAsia="Times New Roman"/>
        </w:rPr>
        <w:t>ckchain grows (Okello et al., 2026). This body of evidence directly supports FarmIQ's decision to deliver notifications through WhatsApp — a channel farmers already use on their own initiative — rather than requiring adoption of a dedicated messaging surfa</w:t>
      </w:r>
      <w:r>
        <w:rPr>
          <w:rFonts w:eastAsia="Times New Roman"/>
        </w:rPr>
        <w:t>ce, while its PWA frontend's offline-first design addresses the connectivity constraint the same literature identifies as the primary remaining barrier.</w:t>
      </w:r>
    </w:p>
    <w:p w:rsidR="000216F0" w:rsidRDefault="0030472D">
      <w:pPr>
        <w:pStyle w:val="Heading2"/>
        <w:spacing w:before="320" w:after="160"/>
      </w:pPr>
      <w:bookmarkStart w:id="29" w:name="_Toc240737077"/>
      <w:r>
        <w:rPr>
          <w:rFonts w:ascii="Times New Roman" w:eastAsia="Times New Roman" w:hAnsi="Times New Roman"/>
          <w:color w:val="1E3A5F"/>
          <w:sz w:val="28"/>
        </w:rPr>
        <w:t>2.10 Farm Management Information Systems: Current State and Gaps for Smallholders</w:t>
      </w:r>
      <w:bookmarkEnd w:id="29"/>
    </w:p>
    <w:p w:rsidR="000216F0" w:rsidRDefault="0030472D">
      <w:pPr>
        <w:jc w:val="both"/>
      </w:pPr>
      <w:r>
        <w:rPr>
          <w:rFonts w:eastAsia="Times New Roman"/>
        </w:rPr>
        <w:t>Farm Management Infor</w:t>
      </w:r>
      <w:r>
        <w:rPr>
          <w:rFonts w:eastAsia="Times New Roman"/>
        </w:rPr>
        <w:t>mation Systems (FMIS) research provides the baseline against which FarmIQ's smallholder-oriented design can be assessed. Fountas et al. (2015), in a review evaluating 184 commercial FMIS products from 130 vendors, found that most farm activity across the s</w:t>
      </w:r>
      <w:r>
        <w:rPr>
          <w:rFonts w:eastAsia="Times New Roman"/>
        </w:rPr>
        <w:t>ector goes systematically unlogged and that the data that is captured remains fragmented across incompatible systems — establishing, even a decade ago, that the FMIS market was not solving farm record-keeping comprehensively even for the commercial operati</w:t>
      </w:r>
      <w:r>
        <w:rPr>
          <w:rFonts w:eastAsia="Times New Roman"/>
        </w:rPr>
        <w:t xml:space="preserve">ons it targeted. More recent human-computer interaction fieldwork sharpens this finding for the smallholder segment specifically: Friedman et al. (2024), through farm visits and semi-structured interviews with small-to-medium farmers, found that most rely </w:t>
      </w:r>
      <w:r>
        <w:rPr>
          <w:rFonts w:eastAsia="Times New Roman"/>
        </w:rPr>
        <w:t>on ad hoc, informal data-collection habits rather than any formal FMIS, citing technology scepticism and low technical confidence as central barriers — evidence that the FMIS gap for smallholders is not simply that no product exists, but that existing prod</w:t>
      </w:r>
      <w:r>
        <w:rPr>
          <w:rFonts w:eastAsia="Times New Roman"/>
        </w:rPr>
        <w:t>ucts are not designed around how smallholders actually behave. A systematic review of artificial intelligence adoption across East African agriculture confirms the pattern holds specifically for AI-enabled tools: precision-agriculture, advisory, and monito</w:t>
      </w:r>
      <w:r>
        <w:rPr>
          <w:rFonts w:eastAsia="Times New Roman"/>
        </w:rPr>
        <w:t>ring applications show real technical promise in the region, but adoption among smallholders remains low and uneven due to infrastructure gaps, limited digital skills, cost, and weak integration with the institutions — lenders, cooperatives, extension serv</w:t>
      </w:r>
      <w:r>
        <w:rPr>
          <w:rFonts w:eastAsia="Times New Roman"/>
        </w:rPr>
        <w:t xml:space="preserve">ices — that would need to act on the resulting data (Shitaye </w:t>
      </w:r>
      <w:r>
        <w:rPr>
          <w:rFonts w:eastAsia="Times New Roman"/>
        </w:rPr>
        <w:lastRenderedPageBreak/>
        <w:t>et al., 2026). Together, this literature establishes that the FMIS gap for smallholders is threefold: existing systems are designed for a different (larger, more formal) class of user, the effort</w:t>
      </w:r>
      <w:r>
        <w:rPr>
          <w:rFonts w:eastAsia="Times New Roman"/>
        </w:rPr>
        <w:t xml:space="preserve"> of data entry is not compensated by any immediate benefit to the farmer performing it, and even where farm data is captured, it is rarely connected onward to the financial institutions that could use it.</w:t>
      </w:r>
    </w:p>
    <w:p w:rsidR="000216F0" w:rsidRDefault="0030472D">
      <w:pPr>
        <w:pStyle w:val="Heading2"/>
        <w:spacing w:before="320" w:after="160"/>
      </w:pPr>
      <w:bookmarkStart w:id="30" w:name="_Toc240737078"/>
      <w:r>
        <w:rPr>
          <w:rFonts w:ascii="Times New Roman" w:eastAsia="Times New Roman" w:hAnsi="Times New Roman"/>
          <w:color w:val="1E3A5F"/>
          <w:sz w:val="28"/>
        </w:rPr>
        <w:t>2.11 Synthesis of Key Challenges in Current Literat</w:t>
      </w:r>
      <w:r>
        <w:rPr>
          <w:rFonts w:ascii="Times New Roman" w:eastAsia="Times New Roman" w:hAnsi="Times New Roman"/>
          <w:color w:val="1E3A5F"/>
          <w:sz w:val="28"/>
        </w:rPr>
        <w:t>ure</w:t>
      </w:r>
      <w:bookmarkEnd w:id="30"/>
    </w:p>
    <w:p w:rsidR="000216F0" w:rsidRDefault="0030472D">
      <w:pPr>
        <w:jc w:val="both"/>
      </w:pPr>
      <w:r>
        <w:rPr>
          <w:rFonts w:eastAsia="Times New Roman"/>
        </w:rPr>
        <w:t>Read together, the literature reviewed in this chapter identifies five distinct but interlocking gaps. First, alternative credit scoring for populations lacking a formal credit history is an active and validated research area, but almost every document</w:t>
      </w:r>
      <w:r>
        <w:rPr>
          <w:rFonts w:eastAsia="Times New Roman"/>
        </w:rPr>
        <w:t>ed approach — including hybrid approaches that incorporate unsupervised methods — is still ultimately trained against historical, labelled loan-repayment outcomes (Bao et al., 2019; Arraiz et al., 2017; Bjorkegren &amp; Grissen, 2018), leaving a genuinely labe</w:t>
      </w:r>
      <w:r>
        <w:rPr>
          <w:rFonts w:eastAsia="Times New Roman"/>
        </w:rPr>
        <w:t>l-free, purely unsupervised, population-relative scoring method comparatively unexplored for platforms with no lending history of their own to learn from. Second, while PCA and K-means are individually well-established and PCA-based dimensionality reductio</w:t>
      </w:r>
      <w:r>
        <w:rPr>
          <w:rFonts w:eastAsia="Times New Roman"/>
        </w:rPr>
        <w:t>n has begun to be applied to credit scoring directly (Jolliffe &amp; Cadima, 2016; Jain, 2010; Miljkovic &amp; Wang, 2024), their combined use for smallholder-specific, cold-start-resilient credit assessment — with explicit fallback behaviour for small peer popula</w:t>
      </w:r>
      <w:r>
        <w:rPr>
          <w:rFonts w:eastAsia="Times New Roman"/>
        </w:rPr>
        <w:t>tions — is not documented in the reviewed literature. Third, explainability research strongly establishes that automated predictions and scores require interpretable justification to be trusted and acted on, particularly in financial decisioning (Ribeiro e</w:t>
      </w:r>
      <w:r>
        <w:rPr>
          <w:rFonts w:eastAsia="Times New Roman"/>
        </w:rPr>
        <w:t>t al., 2016; Lundberg &amp; Lee, 2017; Nallakaruppan et al., 2024), yet FMIS and agri-fintech systems reviewed rarely expose this explanation as an exact, independently-verifiable computation rather than an approximated one. Fourth, blockchain-based agricultur</w:t>
      </w:r>
      <w:r>
        <w:rPr>
          <w:rFonts w:eastAsia="Times New Roman"/>
        </w:rPr>
        <w:t>al traceability and tokenised data-contribution incentives are each independently validated (Marchese &amp; Tomarchio, 2022; UNDP, 2021; Pandey et al., 2022), but are not documented as being combined with either production forecasting or credit scoring in a si</w:t>
      </w:r>
      <w:r>
        <w:rPr>
          <w:rFonts w:eastAsia="Times New Roman"/>
        </w:rPr>
        <w:t xml:space="preserve">ngle integrated platform. Fifth, accessibility research consistently identifies connectivity cost, digital literacy, and reliance on already-adopted channels such as WhatsApp as the binding constraints on smallholder digital agriculture adoption (Kansiime </w:t>
      </w:r>
      <w:r>
        <w:rPr>
          <w:rFonts w:eastAsia="Times New Roman"/>
        </w:rPr>
        <w:t xml:space="preserve">et al., 2022; Coggins et </w:t>
      </w:r>
      <w:r>
        <w:rPr>
          <w:rFonts w:eastAsia="Times New Roman"/>
        </w:rPr>
        <w:lastRenderedPageBreak/>
        <w:t>al., 2022; GSMA &amp; IDH Farmfit, 2020), yet FMIS literature shows mainstream farm-management tools are still designed around assumptions — dedicated applications, sustained connectivity, formal operational scale — that do not fit thi</w:t>
      </w:r>
      <w:r>
        <w:rPr>
          <w:rFonts w:eastAsia="Times New Roman"/>
        </w:rPr>
        <w:t>s reality (Fountas et al., 2015; Friedman et al., 2024). No system documented in the literature reviewed integrates all five: unsupervised, cold-start-resilient credit scoring; exact closed-form explainability; blockchain-anchored trust with tokenised part</w:t>
      </w:r>
      <w:r>
        <w:rPr>
          <w:rFonts w:eastAsia="Times New Roman"/>
        </w:rPr>
        <w:t>icipation incentives; interpretable production forecasting; and low-connectivity-appropriate delivery, built around a single smallholder farm's own routine records. This is the integration gap FarmIQ is positioned to address.</w:t>
      </w:r>
    </w:p>
    <w:p w:rsidR="000216F0" w:rsidRDefault="0030472D">
      <w:pPr>
        <w:pStyle w:val="Heading2"/>
        <w:spacing w:before="320" w:after="160"/>
      </w:pPr>
      <w:bookmarkStart w:id="31" w:name="_Toc240737079"/>
      <w:r>
        <w:rPr>
          <w:rFonts w:ascii="Times New Roman" w:eastAsia="Times New Roman" w:hAnsi="Times New Roman"/>
          <w:color w:val="1E3A5F"/>
          <w:sz w:val="28"/>
        </w:rPr>
        <w:t>2.12 Related Works</w:t>
      </w:r>
      <w:bookmarkEnd w:id="31"/>
    </w:p>
    <w:p w:rsidR="000216F0" w:rsidRDefault="0030472D">
      <w:pPr>
        <w:jc w:val="both"/>
      </w:pPr>
      <w:r>
        <w:rPr>
          <w:rFonts w:eastAsia="Times New Roman"/>
        </w:rPr>
        <w:t>This sectio</w:t>
      </w:r>
      <w:r>
        <w:rPr>
          <w:rFonts w:eastAsia="Times New Roman"/>
        </w:rPr>
        <w:t>n compares FarmIQ against three representative categories of existing system: data-driven agri-fintech lending platforms, generic commercial Farm Management Information Systems, and blockchain-based agricultural traceability platforms, to position FarmIQ's</w:t>
      </w:r>
      <w:r>
        <w:rPr>
          <w:rFonts w:eastAsia="Times New Roman"/>
        </w:rPr>
        <w:t xml:space="preserve"> contribution within the current landscape.</w:t>
      </w:r>
    </w:p>
    <w:p w:rsidR="000216F0" w:rsidRDefault="0030472D">
      <w:pPr>
        <w:jc w:val="both"/>
      </w:pPr>
      <w:r>
        <w:rPr>
          <w:rFonts w:eastAsia="Times New Roman"/>
          <w:b/>
        </w:rPr>
        <w:t>Apollo Agriculture and comparable agri-fintech lenders (Apollo Agriculture, Pula, Tulaa).</w:t>
      </w:r>
      <w:r>
        <w:rPr>
          <w:rFonts w:eastAsia="Times New Roman"/>
        </w:rPr>
        <w:t xml:space="preserve"> Apollo Agriculture, operating in Kenya and Zambia, uses machine learning-driven credit assessment — identity verification,</w:t>
      </w:r>
      <w:r>
        <w:rPr>
          <w:rFonts w:eastAsia="Times New Roman"/>
        </w:rPr>
        <w:t xml:space="preserve"> satellite field coordinates, and farm data — bundled with input supply, advisory, and insurance to underwrite loans for smallholders with no formal credit history (GSMA, 2025b). The International Finance Corporation's market mapping of agri-fintech financ</w:t>
      </w:r>
      <w:r>
        <w:rPr>
          <w:rFonts w:eastAsia="Times New Roman"/>
        </w:rPr>
        <w:t>ing in Sub-Saharan Africa documents a similar bundled input-finance-insurance model across Apollo Agriculture, Pula, and Tulaa, each using alternative farm and behavioural data in place of collateral or credit history (IFC, 2023). These platforms demonstra</w:t>
      </w:r>
      <w:r>
        <w:rPr>
          <w:rFonts w:eastAsia="Times New Roman"/>
        </w:rPr>
        <w:t>te the commercial viability of alternative-data lending at scale, but their credit assessment is proprietary, closed, and — consistent with the pattern identified in Section 2.3 — built to directly underwrite a loan the platform itself issues, which requir</w:t>
      </w:r>
      <w:r>
        <w:rPr>
          <w:rFonts w:eastAsia="Times New Roman"/>
        </w:rPr>
        <w:t>es the platform to eventually accumulate its own repayment-outcome data to refine the model. FarmIQ's credit-scoring engine differs in kind rather than only in scale: it produces an explainable, population-relative score for use by an external lending or d</w:t>
      </w:r>
      <w:r>
        <w:rPr>
          <w:rFonts w:eastAsia="Times New Roman"/>
        </w:rPr>
        <w:t>ata partner, computed entirely without any repayment-</w:t>
      </w:r>
      <w:r>
        <w:rPr>
          <w:rFonts w:eastAsia="Times New Roman"/>
        </w:rPr>
        <w:lastRenderedPageBreak/>
        <w:t>outcome data, and its methodology and per-feature explanation are inspectable (both internally, and via a partner-facing API that returns the score alongside a verification hash) rather than opaque.</w:t>
      </w:r>
    </w:p>
    <w:p w:rsidR="000216F0" w:rsidRDefault="0030472D">
      <w:pPr>
        <w:jc w:val="both"/>
      </w:pPr>
      <w:r>
        <w:rPr>
          <w:rFonts w:eastAsia="Times New Roman"/>
          <w:b/>
        </w:rPr>
        <w:t>Gene</w:t>
      </w:r>
      <w:r>
        <w:rPr>
          <w:rFonts w:eastAsia="Times New Roman"/>
          <w:b/>
        </w:rPr>
        <w:t>ric commercial FMIS.</w:t>
      </w:r>
      <w:r>
        <w:rPr>
          <w:rFonts w:eastAsia="Times New Roman"/>
        </w:rPr>
        <w:t xml:space="preserve"> As established in Section 2.10, mainstream commercial FMIS products are designed predominantly for large, structured operations with dedicated administrative capacity (Fountas et al., 2015), and even lighter tools are not well-matched </w:t>
      </w:r>
      <w:r>
        <w:rPr>
          <w:rFonts w:eastAsia="Times New Roman"/>
        </w:rPr>
        <w:t>to how small and medium farmers actually collect data (Friedman et al., 2024). These systems typically offer no production-forecasting explainability, no blockchain-based tamper-evidence, no built-in incentive for the farmer or farm worker actually perform</w:t>
      </w:r>
      <w:r>
        <w:rPr>
          <w:rFonts w:eastAsia="Times New Roman"/>
        </w:rPr>
        <w:t>ing data entry, and no pathway from farm records to formal credit assessment. FarmIQ's record-keeping core (herd, crop, finance, inventory, and task management) is deliberately comparable in day-to-day function to these systems, but layers a tokenised rewa</w:t>
      </w:r>
      <w:r>
        <w:rPr>
          <w:rFonts w:eastAsia="Times New Roman"/>
        </w:rPr>
        <w:t>rd for the same data entry, an on-demand explainable yield forecast, and a credit-scoring pathway on top of records a generic FMIS would otherwise leave as a closed loop with no further use.</w:t>
      </w:r>
    </w:p>
    <w:p w:rsidR="000216F0" w:rsidRDefault="0030472D">
      <w:pPr>
        <w:jc w:val="both"/>
      </w:pPr>
      <w:r>
        <w:rPr>
          <w:rFonts w:eastAsia="Times New Roman"/>
          <w:b/>
        </w:rPr>
        <w:t>Blockchain agri-traceability platforms.</w:t>
      </w:r>
      <w:r>
        <w:rPr>
          <w:rFonts w:eastAsia="Times New Roman"/>
        </w:rPr>
        <w:t xml:space="preserve"> Systems such as those rev</w:t>
      </w:r>
      <w:r>
        <w:rPr>
          <w:rFonts w:eastAsia="Times New Roman"/>
        </w:rPr>
        <w:t>iewed in Section 2.7 (Marchese &amp; Tomarchio, 2022; UNDP-documented livestock traceability deployments) demonstrate blockchain's value for tamper-evident agricultural records, typically at the scale of a formal supply chain tracking a product from farm to co</w:t>
      </w:r>
      <w:r>
        <w:rPr>
          <w:rFonts w:eastAsia="Times New Roman"/>
        </w:rPr>
        <w:t>nsumer. These systems are not designed around an individual smallholder's day-to-day operational records, do not incorporate machine learning-based forecasting or credit scoring, and generally require either a formal supply-chain participant or dedicated t</w:t>
      </w:r>
      <w:r>
        <w:rPr>
          <w:rFonts w:eastAsia="Times New Roman"/>
        </w:rPr>
        <w:t>echnical infrastructure to operate. FarmIQ applies the same underlying tamper-evidence principle — a content hash anchored to a public, timestamped ledger — but at the scale of an individual farm's predictions, transactions, and credit-score snapshots, usi</w:t>
      </w:r>
      <w:r>
        <w:rPr>
          <w:rFonts w:eastAsia="Times New Roman"/>
        </w:rPr>
        <w:t>ng a best-effort, silently-degrading integration so that a Hedera outage never blocks the underlying farm-management action.</w:t>
      </w:r>
    </w:p>
    <w:tbl>
      <w:tblPr>
        <w:tblStyle w:val="TableGrid"/>
        <w:tblW w:w="0" w:type="auto"/>
        <w:jc w:val="center"/>
        <w:tblLook w:val="04A0" w:firstRow="1" w:lastRow="0" w:firstColumn="1" w:lastColumn="0" w:noHBand="0" w:noVBand="1"/>
      </w:tblPr>
      <w:tblGrid>
        <w:gridCol w:w="1681"/>
        <w:gridCol w:w="2137"/>
        <w:gridCol w:w="1676"/>
        <w:gridCol w:w="1674"/>
        <w:gridCol w:w="1688"/>
      </w:tblGrid>
      <w:tr w:rsidR="000216F0">
        <w:trPr>
          <w:jc w:val="center"/>
        </w:trPr>
        <w:tc>
          <w:tcPr>
            <w:tcW w:w="1728" w:type="dxa"/>
            <w:shd w:val="clear" w:color="auto" w:fill="D1FAE5"/>
          </w:tcPr>
          <w:p w:rsidR="000216F0" w:rsidRDefault="0030472D">
            <w:r>
              <w:rPr>
                <w:rFonts w:eastAsia="Times New Roman"/>
                <w:b/>
                <w:sz w:val="20"/>
              </w:rPr>
              <w:t>Capability</w:t>
            </w:r>
          </w:p>
        </w:tc>
        <w:tc>
          <w:tcPr>
            <w:tcW w:w="1728" w:type="dxa"/>
            <w:shd w:val="clear" w:color="auto" w:fill="D1FAE5"/>
          </w:tcPr>
          <w:p w:rsidR="000216F0" w:rsidRDefault="0030472D">
            <w:r>
              <w:rPr>
                <w:rFonts w:eastAsia="Times New Roman"/>
                <w:b/>
                <w:sz w:val="20"/>
              </w:rPr>
              <w:t>Apollo Agriculture / Pula / Tulaa (agri-</w:t>
            </w:r>
            <w:r>
              <w:rPr>
                <w:rFonts w:eastAsia="Times New Roman"/>
                <w:b/>
                <w:sz w:val="20"/>
              </w:rPr>
              <w:lastRenderedPageBreak/>
              <w:t>fintech lenders)</w:t>
            </w:r>
          </w:p>
        </w:tc>
        <w:tc>
          <w:tcPr>
            <w:tcW w:w="1728" w:type="dxa"/>
            <w:shd w:val="clear" w:color="auto" w:fill="D1FAE5"/>
          </w:tcPr>
          <w:p w:rsidR="000216F0" w:rsidRDefault="0030472D">
            <w:r>
              <w:rPr>
                <w:rFonts w:eastAsia="Times New Roman"/>
                <w:b/>
                <w:sz w:val="20"/>
              </w:rPr>
              <w:lastRenderedPageBreak/>
              <w:t xml:space="preserve">Generic commercial </w:t>
            </w:r>
            <w:r>
              <w:rPr>
                <w:rFonts w:eastAsia="Times New Roman"/>
                <w:b/>
                <w:sz w:val="20"/>
              </w:rPr>
              <w:lastRenderedPageBreak/>
              <w:t>FMIS</w:t>
            </w:r>
          </w:p>
        </w:tc>
        <w:tc>
          <w:tcPr>
            <w:tcW w:w="1728" w:type="dxa"/>
            <w:shd w:val="clear" w:color="auto" w:fill="D1FAE5"/>
          </w:tcPr>
          <w:p w:rsidR="000216F0" w:rsidRDefault="0030472D">
            <w:r>
              <w:rPr>
                <w:rFonts w:eastAsia="Times New Roman"/>
                <w:b/>
                <w:sz w:val="20"/>
              </w:rPr>
              <w:lastRenderedPageBreak/>
              <w:t xml:space="preserve">Blockchain agri-traceability </w:t>
            </w:r>
            <w:r>
              <w:rPr>
                <w:rFonts w:eastAsia="Times New Roman"/>
                <w:b/>
                <w:sz w:val="20"/>
              </w:rPr>
              <w:lastRenderedPageBreak/>
              <w:t>platforms</w:t>
            </w:r>
          </w:p>
        </w:tc>
        <w:tc>
          <w:tcPr>
            <w:tcW w:w="1728" w:type="dxa"/>
            <w:shd w:val="clear" w:color="auto" w:fill="D1FAE5"/>
          </w:tcPr>
          <w:p w:rsidR="000216F0" w:rsidRDefault="0030472D">
            <w:r>
              <w:rPr>
                <w:rFonts w:eastAsia="Times New Roman"/>
                <w:b/>
                <w:sz w:val="20"/>
              </w:rPr>
              <w:lastRenderedPageBreak/>
              <w:t>FarmIQ</w:t>
            </w:r>
          </w:p>
        </w:tc>
      </w:tr>
      <w:tr w:rsidR="000216F0">
        <w:trPr>
          <w:jc w:val="center"/>
        </w:trPr>
        <w:tc>
          <w:tcPr>
            <w:tcW w:w="1728" w:type="dxa"/>
          </w:tcPr>
          <w:p w:rsidR="000216F0" w:rsidRDefault="0030472D">
            <w:r>
              <w:rPr>
                <w:rFonts w:eastAsia="Times New Roman"/>
                <w:sz w:val="19"/>
              </w:rPr>
              <w:t>Integrated farm record management (herd, crop, finance, inventory, tasks)</w:t>
            </w:r>
          </w:p>
        </w:tc>
        <w:tc>
          <w:tcPr>
            <w:tcW w:w="1728" w:type="dxa"/>
          </w:tcPr>
          <w:p w:rsidR="000216F0" w:rsidRDefault="0030472D">
            <w:r>
              <w:rPr>
                <w:rFonts w:eastAsia="Times New Roman"/>
                <w:sz w:val="19"/>
              </w:rPr>
              <w:t>Partial (data capture in service of lending)</w:t>
            </w:r>
          </w:p>
        </w:tc>
        <w:tc>
          <w:tcPr>
            <w:tcW w:w="1728" w:type="dxa"/>
          </w:tcPr>
          <w:p w:rsidR="000216F0" w:rsidRDefault="0030472D">
            <w:r>
              <w:rPr>
                <w:rFonts w:eastAsia="Times New Roman"/>
                <w:sz w:val="19"/>
              </w:rPr>
              <w:t>Yes</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Yes</w:t>
            </w:r>
          </w:p>
        </w:tc>
      </w:tr>
      <w:tr w:rsidR="000216F0">
        <w:trPr>
          <w:jc w:val="center"/>
        </w:trPr>
        <w:tc>
          <w:tcPr>
            <w:tcW w:w="1728" w:type="dxa"/>
          </w:tcPr>
          <w:p w:rsidR="000216F0" w:rsidRDefault="0030472D">
            <w:r>
              <w:rPr>
                <w:rFonts w:eastAsia="Times New Roman"/>
                <w:sz w:val="19"/>
              </w:rPr>
              <w:t>Credit scoring without historical loan-repayment data</w:t>
            </w:r>
          </w:p>
        </w:tc>
        <w:tc>
          <w:tcPr>
            <w:tcW w:w="1728" w:type="dxa"/>
          </w:tcPr>
          <w:p w:rsidR="000216F0" w:rsidRDefault="0030472D">
            <w:r>
              <w:rPr>
                <w:rFonts w:eastAsia="Times New Roman"/>
                <w:sz w:val="19"/>
              </w:rPr>
              <w:t xml:space="preserve">No (proprietary, </w:t>
            </w:r>
            <w:r>
              <w:rPr>
                <w:rFonts w:eastAsia="Times New Roman"/>
                <w:sz w:val="19"/>
              </w:rPr>
              <w:t>lending-outcome-trained)</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Yes (unsupervised, population-relative)</w:t>
            </w:r>
          </w:p>
        </w:tc>
      </w:tr>
      <w:tr w:rsidR="000216F0">
        <w:trPr>
          <w:jc w:val="center"/>
        </w:trPr>
        <w:tc>
          <w:tcPr>
            <w:tcW w:w="1728" w:type="dxa"/>
          </w:tcPr>
          <w:p w:rsidR="000216F0" w:rsidRDefault="0030472D">
            <w:r>
              <w:rPr>
                <w:rFonts w:eastAsia="Times New Roman"/>
                <w:sz w:val="19"/>
              </w:rPr>
              <w:t>Exact, verifiable feature-level explainability</w:t>
            </w:r>
          </w:p>
        </w:tc>
        <w:tc>
          <w:tcPr>
            <w:tcW w:w="1728" w:type="dxa"/>
          </w:tcPr>
          <w:p w:rsidR="000216F0" w:rsidRDefault="0030472D">
            <w:r>
              <w:rPr>
                <w:rFonts w:eastAsia="Times New Roman"/>
                <w:sz w:val="19"/>
              </w:rPr>
              <w:t>No (proprietary/undisclosed)</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Yes (closed-form PCA/ridge contributions)</w:t>
            </w:r>
          </w:p>
        </w:tc>
      </w:tr>
      <w:tr w:rsidR="000216F0">
        <w:trPr>
          <w:jc w:val="center"/>
        </w:trPr>
        <w:tc>
          <w:tcPr>
            <w:tcW w:w="1728" w:type="dxa"/>
          </w:tcPr>
          <w:p w:rsidR="000216F0" w:rsidRDefault="0030472D">
            <w:r>
              <w:rPr>
                <w:rFonts w:eastAsia="Times New Roman"/>
                <w:sz w:val="19"/>
              </w:rPr>
              <w:t>Blockchain-anchored tamper-evidence</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 xml:space="preserve">Yes </w:t>
            </w:r>
            <w:r>
              <w:rPr>
                <w:rFonts w:eastAsia="Times New Roman"/>
                <w:sz w:val="19"/>
              </w:rPr>
              <w:t>(supply-chain scale)</w:t>
            </w:r>
          </w:p>
        </w:tc>
        <w:tc>
          <w:tcPr>
            <w:tcW w:w="1728" w:type="dxa"/>
          </w:tcPr>
          <w:p w:rsidR="000216F0" w:rsidRDefault="0030472D">
            <w:r>
              <w:rPr>
                <w:rFonts w:eastAsia="Times New Roman"/>
                <w:sz w:val="19"/>
              </w:rPr>
              <w:t>Yes (farm-record scale)</w:t>
            </w:r>
          </w:p>
        </w:tc>
      </w:tr>
      <w:tr w:rsidR="000216F0">
        <w:trPr>
          <w:jc w:val="center"/>
        </w:trPr>
        <w:tc>
          <w:tcPr>
            <w:tcW w:w="1728" w:type="dxa"/>
          </w:tcPr>
          <w:p w:rsidR="000216F0" w:rsidRDefault="0030472D">
            <w:r>
              <w:rPr>
                <w:rFonts w:eastAsia="Times New Roman"/>
                <w:sz w:val="19"/>
              </w:rPr>
              <w:t>Tokenised incentive for data logging</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Yes (FIQ reward token)</w:t>
            </w:r>
          </w:p>
        </w:tc>
      </w:tr>
      <w:tr w:rsidR="000216F0">
        <w:trPr>
          <w:jc w:val="center"/>
        </w:trPr>
        <w:tc>
          <w:tcPr>
            <w:tcW w:w="1728" w:type="dxa"/>
          </w:tcPr>
          <w:p w:rsidR="000216F0" w:rsidRDefault="0030472D">
            <w:r>
              <w:rPr>
                <w:rFonts w:eastAsia="Times New Roman"/>
                <w:sz w:val="19"/>
              </w:rPr>
              <w:t>Offline-first PWA + WhatsApp delivery</w:t>
            </w:r>
          </w:p>
        </w:tc>
        <w:tc>
          <w:tcPr>
            <w:tcW w:w="1728" w:type="dxa"/>
          </w:tcPr>
          <w:p w:rsidR="000216F0" w:rsidRDefault="0030472D">
            <w:r>
              <w:rPr>
                <w:rFonts w:eastAsia="Times New Roman"/>
                <w:sz w:val="19"/>
              </w:rPr>
              <w:t>Partial</w:t>
            </w:r>
          </w:p>
        </w:tc>
        <w:tc>
          <w:tcPr>
            <w:tcW w:w="1728" w:type="dxa"/>
          </w:tcPr>
          <w:p w:rsidR="000216F0" w:rsidRDefault="0030472D">
            <w:r>
              <w:rPr>
                <w:rFonts w:eastAsia="Times New Roman"/>
                <w:sz w:val="19"/>
              </w:rPr>
              <w:t>Rare</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Yes</w:t>
            </w:r>
          </w:p>
        </w:tc>
      </w:tr>
      <w:tr w:rsidR="000216F0">
        <w:trPr>
          <w:jc w:val="center"/>
        </w:trPr>
        <w:tc>
          <w:tcPr>
            <w:tcW w:w="1728" w:type="dxa"/>
          </w:tcPr>
          <w:p w:rsidR="000216F0" w:rsidRDefault="0030472D">
            <w:r>
              <w:rPr>
                <w:rFonts w:eastAsia="Times New Roman"/>
                <w:sz w:val="19"/>
              </w:rPr>
              <w:t>Designed for smallholder scale and cold-start data</w:t>
            </w:r>
          </w:p>
        </w:tc>
        <w:tc>
          <w:tcPr>
            <w:tcW w:w="1728" w:type="dxa"/>
          </w:tcPr>
          <w:p w:rsidR="000216F0" w:rsidRDefault="0030472D">
            <w:r>
              <w:rPr>
                <w:rFonts w:eastAsia="Times New Roman"/>
                <w:sz w:val="19"/>
              </w:rPr>
              <w:t>Yes</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No</w:t>
            </w:r>
          </w:p>
        </w:tc>
        <w:tc>
          <w:tcPr>
            <w:tcW w:w="1728" w:type="dxa"/>
          </w:tcPr>
          <w:p w:rsidR="000216F0" w:rsidRDefault="0030472D">
            <w:r>
              <w:rPr>
                <w:rFonts w:eastAsia="Times New Roman"/>
                <w:sz w:val="19"/>
              </w:rPr>
              <w:t>Yes</w:t>
            </w:r>
          </w:p>
        </w:tc>
      </w:tr>
    </w:tbl>
    <w:p w:rsidR="000216F0" w:rsidRDefault="000216F0">
      <w:pPr>
        <w:spacing w:after="40"/>
      </w:pPr>
    </w:p>
    <w:p w:rsidR="000216F0" w:rsidRDefault="0030472D">
      <w:pPr>
        <w:spacing w:before="80" w:after="280"/>
        <w:jc w:val="center"/>
      </w:pPr>
      <w:r>
        <w:rPr>
          <w:rFonts w:eastAsia="Times New Roman"/>
          <w:b/>
          <w:i/>
          <w:sz w:val="21"/>
        </w:rPr>
        <w:t xml:space="preserve">Table 2.1: </w:t>
      </w:r>
      <w:r>
        <w:rPr>
          <w:rFonts w:eastAsia="Times New Roman"/>
          <w:b/>
          <w:i/>
          <w:sz w:val="21"/>
        </w:rPr>
        <w:t>Comparative analysis of FarmIQ against representative existing systems</w:t>
      </w:r>
    </w:p>
    <w:p w:rsidR="000216F0" w:rsidRDefault="0030472D">
      <w:pPr>
        <w:pStyle w:val="Heading2"/>
        <w:spacing w:before="320" w:after="160"/>
      </w:pPr>
      <w:bookmarkStart w:id="32" w:name="_Toc240737080"/>
      <w:r>
        <w:rPr>
          <w:rFonts w:ascii="Times New Roman" w:eastAsia="Times New Roman" w:hAnsi="Times New Roman"/>
          <w:color w:val="1E3A5F"/>
          <w:sz w:val="28"/>
        </w:rPr>
        <w:t>2.13 Research Gaps Identified</w:t>
      </w:r>
      <w:bookmarkEnd w:id="32"/>
    </w:p>
    <w:p w:rsidR="000216F0" w:rsidRDefault="0030472D">
      <w:pPr>
        <w:jc w:val="both"/>
      </w:pPr>
      <w:r>
        <w:rPr>
          <w:rFonts w:eastAsia="Times New Roman"/>
        </w:rPr>
        <w:t>The review presented in Sections 2.2 through 2.12 identifies four specific, interconnected research gaps that FarmIQ's design addresses. First, a methodolo</w:t>
      </w:r>
      <w:r>
        <w:rPr>
          <w:rFonts w:eastAsia="Times New Roman"/>
        </w:rPr>
        <w:t>gical gap in credit-</w:t>
      </w:r>
      <w:r>
        <w:rPr>
          <w:rFonts w:eastAsia="Times New Roman"/>
        </w:rPr>
        <w:lastRenderedPageBreak/>
        <w:t>scoring literature: documented alternative-data credit-scoring approaches, even where they incorporate unsupervised techniques, remain dependent on historical, labelled loan-repayment outcomes to train against (Bao et al., 2019), leavin</w:t>
      </w:r>
      <w:r>
        <w:rPr>
          <w:rFonts w:eastAsia="Times New Roman"/>
        </w:rPr>
        <w:t>g a genuinely unsupervised, population-relative scoring method — appropriate for a platform with no repayment history of its own — comparatively unexplored, despite PCA and K-means individually being well-established, mature unsupervised techniques (Jollif</w:t>
      </w:r>
      <w:r>
        <w:rPr>
          <w:rFonts w:eastAsia="Times New Roman"/>
        </w:rPr>
        <w:t>fe &amp; Cadima, 2016; Jain, 2010). Second, an explainability gap: while explainable AI is recognised as necessary for trust in both financial decisioning (Nallakaruppan et al., 2024) and agricultural prediction (Ribeiro et al., 2016; Lundberg &amp; Lee, 2017), mo</w:t>
      </w:r>
      <w:r>
        <w:rPr>
          <w:rFonts w:eastAsia="Times New Roman"/>
        </w:rPr>
        <w:t>st deployed agri-fintech and FMIS systems either provide no explanation or rely on approximated, library-dependent explanation techniques rather than an exact, independently-verifiable computation. Third, an integration gap: blockchain-based agricultural t</w:t>
      </w:r>
      <w:r>
        <w:rPr>
          <w:rFonts w:eastAsia="Times New Roman"/>
        </w:rPr>
        <w:t>rust mechanisms (Marchese &amp; Tomarchio, 2022; UNDP, 2021) and tokenised data-contribution incentives (Pandey et al., 2022) are each independently validated but not documented as combined with either production forecasting or credit scoring in a single small</w:t>
      </w:r>
      <w:r>
        <w:rPr>
          <w:rFonts w:eastAsia="Times New Roman"/>
        </w:rPr>
        <w:t xml:space="preserve">holder-facing platform. Fourth, an accessibility-and-design gap for the smallholder segment specifically: mainstream FMIS are not designed around how smallholders actually collect data or around the connectivity and literacy constraints Kenyan and Ugandan </w:t>
      </w:r>
      <w:r>
        <w:rPr>
          <w:rFonts w:eastAsia="Times New Roman"/>
        </w:rPr>
        <w:t xml:space="preserve">survey evidence documents (Friedman et al., 2024; Kansiime et al., 2022; Coggins et al., 2022), and existing agri-fintech lenders that do reach this segment operate as closed, proprietary systems rather than open, inspectable ones. FarmIQ is positioned at </w:t>
      </w:r>
      <w:r>
        <w:rPr>
          <w:rFonts w:eastAsia="Times New Roman"/>
        </w:rPr>
        <w:t>the intersection of these four gaps: it is a single platform in which routine, low-friction, WhatsApp- and offline-capable farm record-keeping simultaneously produces an exactly-explainable production forecast, a blockchain-anchored trust record, a tokenis</w:t>
      </w:r>
      <w:r>
        <w:rPr>
          <w:rFonts w:eastAsia="Times New Roman"/>
        </w:rPr>
        <w:t>ed reward, and a genuinely unsupervised, population-relative, and inspectable alternative credit signal — without requiring the loan-repayment history no such platform can have at its outset.</w:t>
      </w:r>
    </w:p>
    <w:p w:rsidR="000216F0" w:rsidRDefault="0030472D">
      <w:pPr>
        <w:pStyle w:val="Heading2"/>
        <w:spacing w:before="320" w:after="160"/>
      </w:pPr>
      <w:bookmarkStart w:id="33" w:name="_Toc240737081"/>
      <w:r>
        <w:rPr>
          <w:rFonts w:ascii="Times New Roman" w:eastAsia="Times New Roman" w:hAnsi="Times New Roman"/>
          <w:color w:val="1E3A5F"/>
          <w:sz w:val="28"/>
        </w:rPr>
        <w:t>2.14 Conceptual Framework</w:t>
      </w:r>
      <w:bookmarkEnd w:id="33"/>
    </w:p>
    <w:p w:rsidR="000216F0" w:rsidRDefault="0030472D">
      <w:pPr>
        <w:jc w:val="both"/>
      </w:pPr>
      <w:r>
        <w:rPr>
          <w:rFonts w:eastAsia="Times New Roman"/>
        </w:rPr>
        <w:t>The conceptual framework underlying Fa</w:t>
      </w:r>
      <w:r>
        <w:rPr>
          <w:rFonts w:eastAsia="Times New Roman"/>
        </w:rPr>
        <w:t>rmIQ's design organises the system into five integrated layers, each addressing one dimension of the research gaps identified in Section 2.13 while feeding the layers around it.</w:t>
      </w:r>
    </w:p>
    <w:p w:rsidR="000216F0" w:rsidRDefault="0030472D">
      <w:pPr>
        <w:jc w:val="both"/>
      </w:pPr>
      <w:r>
        <w:rPr>
          <w:rFonts w:eastAsia="Times New Roman"/>
          <w:b/>
        </w:rPr>
        <w:lastRenderedPageBreak/>
        <w:t>Layer 1 — Farm Data Capture.</w:t>
      </w:r>
      <w:r>
        <w:rPr>
          <w:rFonts w:eastAsia="Times New Roman"/>
        </w:rPr>
        <w:t xml:space="preserve"> Farmers, managers, supervisors, and workers recor</w:t>
      </w:r>
      <w:r>
        <w:rPr>
          <w:rFonts w:eastAsia="Times New Roman"/>
        </w:rPr>
        <w:t xml:space="preserve">d herd, crop, finance, inventory, and task data through the PWA's offline-first interface, using role-appropriate forms gated by a farm-membership permission system (Section 4.4 details the resulting role hierarchy). This layer is the foundation for every </w:t>
      </w:r>
      <w:r>
        <w:rPr>
          <w:rFonts w:eastAsia="Times New Roman"/>
        </w:rPr>
        <w:t>layer above it: because FarmIQ has no external data source (no IoT sensors, no satellite feed, no bureau data), the honesty and consistency of this layer's data determines the quality of everything the system subsequently predicts, scores, or anchors.</w:t>
      </w:r>
    </w:p>
    <w:p w:rsidR="000216F0" w:rsidRDefault="0030472D">
      <w:pPr>
        <w:jc w:val="both"/>
      </w:pPr>
      <w:r>
        <w:rPr>
          <w:rFonts w:eastAsia="Times New Roman"/>
          <w:b/>
        </w:rPr>
        <w:t>Laye</w:t>
      </w:r>
      <w:r>
        <w:rPr>
          <w:rFonts w:eastAsia="Times New Roman"/>
          <w:b/>
        </w:rPr>
        <w:t>r 2 — Predictive and Scoring Analytics.</w:t>
      </w:r>
      <w:r>
        <w:rPr>
          <w:rFonts w:eastAsia="Times New Roman"/>
        </w:rPr>
        <w:t xml:space="preserve"> Two on-demand analytical engines consume Layer 1 data: a ridge regression model forecasts milk yield at cow, block, and farm scope from a farm's own recorded production, feeding, and herd data (addressing Objective i</w:t>
      </w:r>
      <w:r>
        <w:rPr>
          <w:rFonts w:eastAsia="Times New Roman"/>
        </w:rPr>
        <w:t>ii); and an unsupervised, population-relative credit-scoring engine standardises ten cross-domain features, reduces them via PCA to a single composite, and derives discrete tiers via K-means clustering against the farm's current eligible peers, with a dete</w:t>
      </w:r>
      <w:r>
        <w:rPr>
          <w:rFonts w:eastAsia="Times New Roman"/>
        </w:rPr>
        <w:t>rministic composite fallback below a minimum population threshold (addressing Objective iv and directly responding to the label-free scoring gap identified in Section 2.13). Both engines are deliberately restricted to closed-form, linear methods so that La</w:t>
      </w:r>
      <w:r>
        <w:rPr>
          <w:rFonts w:eastAsia="Times New Roman"/>
        </w:rPr>
        <w:t>yer 3's explanations can be computed exactly rather than approximated.</w:t>
      </w:r>
    </w:p>
    <w:p w:rsidR="000216F0" w:rsidRDefault="0030472D">
      <w:pPr>
        <w:jc w:val="both"/>
      </w:pPr>
      <w:r>
        <w:rPr>
          <w:rFonts w:eastAsia="Times New Roman"/>
          <w:b/>
        </w:rPr>
        <w:t>Layer 3 — Explainability.</w:t>
      </w:r>
      <w:r>
        <w:rPr>
          <w:rFonts w:eastAsia="Times New Roman"/>
        </w:rPr>
        <w:t xml:space="preserve"> Every output of Layer 2 is accompanied by an exact, closed-form breakdown of the features that produced it — for the yield model, the product of each feature's</w:t>
      </w:r>
      <w:r>
        <w:rPr>
          <w:rFonts w:eastAsia="Times New Roman"/>
        </w:rPr>
        <w:t xml:space="preserve"> regression coefficient and its standardised value; for the credit score, the product of each feature's PCA loading and its standardised, sign-corrected value — rendered into a plain-language summary naming the top positive and negative drivers. This layer</w:t>
      </w:r>
      <w:r>
        <w:rPr>
          <w:rFonts w:eastAsia="Times New Roman"/>
        </w:rPr>
        <w:t xml:space="preserve"> directly responds to the explainability gap identified in Section 2.13, and its correctness is independently verified in Chapter 6 through a test that re-implements the contribution calculation separately from the production code and confirms the two agre</w:t>
      </w:r>
      <w:r>
        <w:rPr>
          <w:rFonts w:eastAsia="Times New Roman"/>
        </w:rPr>
        <w:t>e exactly.</w:t>
      </w:r>
    </w:p>
    <w:p w:rsidR="000216F0" w:rsidRDefault="0030472D">
      <w:pPr>
        <w:jc w:val="both"/>
      </w:pPr>
      <w:r>
        <w:rPr>
          <w:rFonts w:eastAsia="Times New Roman"/>
          <w:b/>
        </w:rPr>
        <w:t>Layer 4 — Trust and Incentive.</w:t>
      </w:r>
      <w:r>
        <w:rPr>
          <w:rFonts w:eastAsia="Times New Roman"/>
        </w:rPr>
        <w:t xml:space="preserve"> A blockchain layer, built on Hedera Hashgraph, anchors a content hash of every changed prediction, financial transaction, and credit-score snapshot to the Hedera Consensus Service, giving any party — including an e</w:t>
      </w:r>
      <w:r>
        <w:rPr>
          <w:rFonts w:eastAsia="Times New Roman"/>
        </w:rPr>
        <w:t xml:space="preserve">xternal data partner consuming the credit-scoring API — an independent way to verify a </w:t>
      </w:r>
      <w:r>
        <w:rPr>
          <w:rFonts w:eastAsia="Times New Roman"/>
        </w:rPr>
        <w:lastRenderedPageBreak/>
        <w:t>record has not been altered after the fact. The same layer mints non-fungible tokens for cow and harvest registrations and a fungible FIQ reward token for logging activi</w:t>
      </w:r>
      <w:r>
        <w:rPr>
          <w:rFonts w:eastAsia="Times New Roman"/>
        </w:rPr>
        <w:t>ty and completing tasks, directly incentivising the sustained Layer 1 data capture the FMIS literature in Section 2.10 identifies as the persistent, unresolved problem. Every blockchain interaction is best-effort: a Hedera outage degrades gracefully and ne</w:t>
      </w:r>
      <w:r>
        <w:rPr>
          <w:rFonts w:eastAsia="Times New Roman"/>
        </w:rPr>
        <w:t>ver blocks the underlying farm-management action, since Layer 4 is designed as a trust-and-incentive addition to the system, not a dependency of it.</w:t>
      </w:r>
    </w:p>
    <w:p w:rsidR="000216F0" w:rsidRDefault="0030472D">
      <w:pPr>
        <w:jc w:val="both"/>
      </w:pPr>
      <w:r>
        <w:rPr>
          <w:rFonts w:eastAsia="Times New Roman"/>
          <w:b/>
        </w:rPr>
        <w:t>Layer 5 — Accessible Delivery.</w:t>
      </w:r>
      <w:r>
        <w:rPr>
          <w:rFonts w:eastAsia="Times New Roman"/>
        </w:rPr>
        <w:t xml:space="preserve"> Predictions, insights, scores, and notifications reach the user through two </w:t>
      </w:r>
      <w:r>
        <w:rPr>
          <w:rFonts w:eastAsia="Times New Roman"/>
        </w:rPr>
        <w:t>complementary channels: the PWA's offline-first interface, which queues form submissions locally and synchronises them once connectivity returns, and WhatsApp Cloud API notifications, chosen specifically because Kenyan and Ugandan survey evidence shows far</w:t>
      </w:r>
      <w:r>
        <w:rPr>
          <w:rFonts w:eastAsia="Times New Roman"/>
        </w:rPr>
        <w:t>mers already use and repurpose messaging channels like WhatsApp for agricultural information exchange, in preference to adopting a dedicated new application (Section 2.9). English and Kiswahili localisation is provided throughout, responding directly to th</w:t>
      </w:r>
      <w:r>
        <w:rPr>
          <w:rFonts w:eastAsia="Times New Roman"/>
        </w:rPr>
        <w:t>e digital-literacy and language-accessibility constraints identified in the reviewed accessibility literature.</w:t>
      </w:r>
    </w:p>
    <w:p w:rsidR="000216F0" w:rsidRDefault="0030472D">
      <w:pPr>
        <w:spacing w:before="200"/>
        <w:jc w:val="center"/>
      </w:pPr>
      <w:r>
        <w:rPr>
          <w:noProof/>
        </w:rPr>
        <w:lastRenderedPageBreak/>
        <w:drawing>
          <wp:inline distT="0" distB="0" distL="0" distR="0">
            <wp:extent cx="5486400" cy="4710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ual_framework.png"/>
                    <pic:cNvPicPr/>
                  </pic:nvPicPr>
                  <pic:blipFill>
                    <a:blip r:embed="rId6"/>
                    <a:stretch>
                      <a:fillRect/>
                    </a:stretch>
                  </pic:blipFill>
                  <pic:spPr>
                    <a:xfrm>
                      <a:off x="0" y="0"/>
                      <a:ext cx="5486400" cy="4710545"/>
                    </a:xfrm>
                    <a:prstGeom prst="rect">
                      <a:avLst/>
                    </a:prstGeom>
                  </pic:spPr>
                </pic:pic>
              </a:graphicData>
            </a:graphic>
          </wp:inline>
        </w:drawing>
      </w:r>
    </w:p>
    <w:p w:rsidR="000216F0" w:rsidRDefault="0030472D">
      <w:pPr>
        <w:spacing w:after="280"/>
        <w:jc w:val="center"/>
      </w:pPr>
      <w:r>
        <w:rPr>
          <w:rFonts w:eastAsia="Times New Roman"/>
          <w:b/>
          <w:i/>
          <w:sz w:val="21"/>
        </w:rPr>
        <w:t>Figure 2.1: FarmIQ Conceptual Framework</w:t>
      </w:r>
    </w:p>
    <w:p w:rsidR="000216F0" w:rsidRDefault="0030472D">
      <w:pPr>
        <w:jc w:val="both"/>
      </w:pPr>
      <w:r>
        <w:rPr>
          <w:rFonts w:eastAsia="Times New Roman"/>
        </w:rPr>
        <w:t>Each layer maps directly onto a specific objective from Chapter 1 and a specific gap from Section 2.13:</w:t>
      </w:r>
      <w:r>
        <w:rPr>
          <w:rFonts w:eastAsia="Times New Roman"/>
        </w:rPr>
        <w:t xml:space="preserve"> Layer 1 underlies Objectives i–ii, Layer 2 addresses Objectives iii–iv, Layer 3 responds to the explainability gap motivating Objective iii and iv's emphasis on interpretability, Layer 4 addresses Objective v, and Layer 5 addresses Objective vi. Chapters </w:t>
      </w:r>
      <w:r>
        <w:rPr>
          <w:rFonts w:eastAsia="Times New Roman"/>
        </w:rPr>
        <w:t>3 through 5 describe how this framework was translated into FarmIQ's actual system design and implementation, and Chapter 6 evaluates the resulting system against it.</w:t>
      </w:r>
    </w:p>
    <w:p w:rsidR="000216F0" w:rsidRDefault="0030472D">
      <w:pPr>
        <w:pStyle w:val="Heading1"/>
        <w:pageBreakBefore/>
        <w:spacing w:before="80" w:after="200"/>
      </w:pPr>
      <w:bookmarkStart w:id="34" w:name="_Toc240737082"/>
      <w:r>
        <w:rPr>
          <w:rFonts w:ascii="Times New Roman" w:eastAsia="Times New Roman" w:hAnsi="Times New Roman"/>
          <w:color w:val="047857"/>
          <w:sz w:val="36"/>
        </w:rPr>
        <w:lastRenderedPageBreak/>
        <w:t>Chapter 3: Methodology</w:t>
      </w:r>
      <w:bookmarkEnd w:id="34"/>
    </w:p>
    <w:p w:rsidR="000216F0" w:rsidRDefault="0030472D">
      <w:pPr>
        <w:pStyle w:val="Heading2"/>
        <w:spacing w:before="320" w:after="160"/>
      </w:pPr>
      <w:bookmarkStart w:id="35" w:name="_Toc240737083"/>
      <w:r>
        <w:rPr>
          <w:rFonts w:ascii="Times New Roman" w:eastAsia="Times New Roman" w:hAnsi="Times New Roman"/>
          <w:color w:val="1E3A5F"/>
          <w:sz w:val="28"/>
        </w:rPr>
        <w:t>3.1 Introduction</w:t>
      </w:r>
      <w:bookmarkEnd w:id="35"/>
    </w:p>
    <w:p w:rsidR="000216F0" w:rsidRDefault="0030472D">
      <w:pPr>
        <w:jc w:val="both"/>
      </w:pPr>
      <w:r>
        <w:rPr>
          <w:rFonts w:eastAsia="Times New Roman"/>
        </w:rPr>
        <w:t xml:space="preserve">This chapter describes the methodology </w:t>
      </w:r>
      <w:r>
        <w:rPr>
          <w:rFonts w:eastAsia="Times New Roman"/>
        </w:rPr>
        <w:t>followed in designing, developing, and evaluating FarmIQ. The project combined Object-Oriented Analysis and Design (OOAD) for structuring the system into cohesive, independently-testable Django applications with an iterative, feature-driven development app</w:t>
      </w:r>
      <w:r>
        <w:rPr>
          <w:rFonts w:eastAsia="Times New Roman"/>
        </w:rPr>
        <w:t xml:space="preserve">roach for building out functionality in successive, connected increments. The chapter presents the research paradigm used for the machine learning components (data acquisition, processing, model training, and validation for both the ridge regression yield </w:t>
      </w:r>
      <w:r>
        <w:rPr>
          <w:rFonts w:eastAsia="Times New Roman"/>
        </w:rPr>
        <w:t>predictor and the PCA/K-means credit-scoring engine), justifies the overall development methodology against the project's actual constraints and evidence, summarises the system analysis and design artefacts produced, lists the project's deliverables, and d</w:t>
      </w:r>
      <w:r>
        <w:rPr>
          <w:rFonts w:eastAsia="Times New Roman"/>
        </w:rPr>
        <w:t>etails the tools and technologies used throughout implementation.</w:t>
      </w:r>
    </w:p>
    <w:p w:rsidR="000216F0" w:rsidRDefault="0030472D">
      <w:pPr>
        <w:pStyle w:val="Heading2"/>
        <w:spacing w:before="320" w:after="160"/>
      </w:pPr>
      <w:bookmarkStart w:id="36" w:name="_Toc240737084"/>
      <w:r>
        <w:rPr>
          <w:rFonts w:ascii="Times New Roman" w:eastAsia="Times New Roman" w:hAnsi="Times New Roman"/>
          <w:color w:val="1E3A5F"/>
          <w:sz w:val="28"/>
        </w:rPr>
        <w:t>3.2 Research Paradigm</w:t>
      </w:r>
      <w:bookmarkEnd w:id="36"/>
    </w:p>
    <w:p w:rsidR="000216F0" w:rsidRDefault="0030472D">
      <w:pPr>
        <w:jc w:val="both"/>
      </w:pPr>
      <w:r>
        <w:rPr>
          <w:rFonts w:eastAsia="Times New Roman"/>
        </w:rPr>
        <w:t xml:space="preserve">FarmIQ's two machine learning subsystems — the milk-yield predictor and the credit-scoring engine — were developed under an experimental, data-driven paradigm </w:t>
      </w:r>
      <w:r>
        <w:rPr>
          <w:rFonts w:eastAsia="Times New Roman"/>
        </w:rPr>
        <w:t xml:space="preserve">structured across four phases: data acquisition, data processing, model training, and model validation and testing. Because both subsystems are designed to train or compute entirely from a farm's own operational data rather than from an externally-sourced </w:t>
      </w:r>
      <w:r>
        <w:rPr>
          <w:rFonts w:eastAsia="Times New Roman"/>
        </w:rPr>
        <w:t>training set, this paradigm had to explicitly account for the cold-start problem of a system with no historical data at the point a new farm or a new farm population is onboarded.</w:t>
      </w:r>
    </w:p>
    <w:p w:rsidR="000216F0" w:rsidRDefault="0030472D">
      <w:pPr>
        <w:pStyle w:val="Heading3"/>
        <w:spacing w:before="320" w:after="160"/>
      </w:pPr>
      <w:bookmarkStart w:id="37" w:name="_Toc240737085"/>
      <w:r>
        <w:rPr>
          <w:rFonts w:ascii="Times New Roman" w:eastAsia="Times New Roman" w:hAnsi="Times New Roman"/>
          <w:color w:val="334155"/>
          <w:sz w:val="25"/>
        </w:rPr>
        <w:t>3.2.1 Data Acquisition</w:t>
      </w:r>
      <w:bookmarkEnd w:id="37"/>
    </w:p>
    <w:p w:rsidR="000216F0" w:rsidRDefault="0030472D">
      <w:pPr>
        <w:jc w:val="both"/>
      </w:pPr>
      <w:r>
        <w:rPr>
          <w:rFonts w:eastAsia="Times New Roman"/>
        </w:rPr>
        <w:t>Both subsystems draw their input data exclusively fro</w:t>
      </w:r>
      <w:r>
        <w:rPr>
          <w:rFonts w:eastAsia="Times New Roman"/>
        </w:rPr>
        <w:t>m records generated through ordinary use of the platform, rather than from an external dataset. For milk-yield prediction, this comprises daily `MilkRecord` entries per cow, `FeedingRecordCow` per-cow feed allocations, and each cow's `last_calving_date`, `</w:t>
      </w:r>
      <w:r>
        <w:rPr>
          <w:rFonts w:eastAsia="Times New Roman"/>
        </w:rPr>
        <w:t xml:space="preserve">category` (heifer/cow), and block assignment. For credit scoring, this comprises ten cross-domain features aggregated </w:t>
      </w:r>
      <w:r>
        <w:rPr>
          <w:rFonts w:eastAsia="Times New Roman"/>
        </w:rPr>
        <w:lastRenderedPageBreak/>
        <w:t>per farm: farm tenure, income/expense ratio and stability (from `finance.Transaction`), milk-yield consistency and herd size (from `cows`)</w:t>
      </w:r>
      <w:r>
        <w:rPr>
          <w:rFonts w:eastAsia="Times New Roman"/>
        </w:rPr>
        <w:t xml:space="preserve">, income-category and crop-activity diversity (from `finance` and `crops`), task on-time completion rate (from `tasks`), and FIQ reward balance and source diversity (from `blockchain.FiqLedgerEntry`). No synthetic, simulated, or externally-sourced dataset </w:t>
      </w:r>
      <w:r>
        <w:rPr>
          <w:rFonts w:eastAsia="Times New Roman"/>
        </w:rPr>
        <w:t>was used for either subsystem; both are trained or computed at request time, directly from live farm data, which is a deliberate design choice discussed further in Section 3.2.3.</w:t>
      </w:r>
    </w:p>
    <w:p w:rsidR="000216F0" w:rsidRDefault="0030472D">
      <w:pPr>
        <w:pStyle w:val="Heading3"/>
        <w:spacing w:before="320" w:after="160"/>
      </w:pPr>
      <w:bookmarkStart w:id="38" w:name="_Toc240737086"/>
      <w:r>
        <w:rPr>
          <w:rFonts w:ascii="Times New Roman" w:eastAsia="Times New Roman" w:hAnsi="Times New Roman"/>
          <w:color w:val="334155"/>
          <w:sz w:val="25"/>
        </w:rPr>
        <w:t>3.2.2 Data Processing</w:t>
      </w:r>
      <w:bookmarkEnd w:id="38"/>
    </w:p>
    <w:p w:rsidR="000216F0" w:rsidRDefault="0030472D">
      <w:pPr>
        <w:jc w:val="both"/>
      </w:pPr>
      <w:r>
        <w:rPr>
          <w:rFonts w:eastAsia="Times New Roman"/>
        </w:rPr>
        <w:t>Feature engineering for the yield predictor derives `da</w:t>
      </w:r>
      <w:r>
        <w:rPr>
          <w:rFonts w:eastAsia="Times New Roman"/>
        </w:rPr>
        <w:t>ys_in_milk` (date minus the cow's last calving date, median-imputed across known rows where a calving date is missing), summed daily feed quantities per cow, a seven-day rolling average of the cow's own milk yield, and a binary heifer indicator. Feature en</w:t>
      </w:r>
      <w:r>
        <w:rPr>
          <w:rFonts w:eastAsia="Times New Roman"/>
        </w:rPr>
        <w:t>gineering for the credit-scoring engine normalises each of its ten features to a common, healthier-is-higher 0–1 scale (for example, farm age divided by a three-year cap, or one minus the coefficient of variation of monthly income), so that no feature domi</w:t>
      </w:r>
      <w:r>
        <w:rPr>
          <w:rFonts w:eastAsia="Times New Roman"/>
        </w:rPr>
        <w:t xml:space="preserve">nates the subsequent standardisation purely by virtue of its raw units. Where a feature cannot be computed for a farm — for example, milk-yield consistency for a crop-only farm with no active cows — the value is left missing rather than defaulted to zero, </w:t>
      </w:r>
      <w:r>
        <w:rPr>
          <w:rFonts w:eastAsia="Times New Roman"/>
        </w:rPr>
        <w:t>and is subsequently imputed using that feature's own median across the population in which it was actually observed, avoiding the systematic penalty a zero-fill would otherwise impose on farms that simply operate in a different enterprise mix.</w:t>
      </w:r>
    </w:p>
    <w:p w:rsidR="000216F0" w:rsidRDefault="0030472D">
      <w:pPr>
        <w:pStyle w:val="Heading3"/>
        <w:spacing w:before="320" w:after="160"/>
      </w:pPr>
      <w:bookmarkStart w:id="39" w:name="_Toc240737087"/>
      <w:r>
        <w:rPr>
          <w:rFonts w:ascii="Times New Roman" w:eastAsia="Times New Roman" w:hAnsi="Times New Roman"/>
          <w:color w:val="334155"/>
          <w:sz w:val="25"/>
        </w:rPr>
        <w:t xml:space="preserve">3.2.3 Model </w:t>
      </w:r>
      <w:r>
        <w:rPr>
          <w:rFonts w:ascii="Times New Roman" w:eastAsia="Times New Roman" w:hAnsi="Times New Roman"/>
          <w:color w:val="334155"/>
          <w:sz w:val="25"/>
        </w:rPr>
        <w:t>Training</w:t>
      </w:r>
      <w:bookmarkEnd w:id="39"/>
    </w:p>
    <w:p w:rsidR="000216F0" w:rsidRDefault="0030472D">
      <w:pPr>
        <w:jc w:val="both"/>
      </w:pPr>
      <w:r>
        <w:rPr>
          <w:rFonts w:eastAsia="Times New Roman"/>
        </w:rPr>
        <w:t>The yield predictor fits a scikit-learn `Ridge` regression model (L2 regularisation, alpha = 1.0) on `StandardScaler`-normalised features, entirely at request time, with no model persisted between requests and no background training job. A per-cow</w:t>
      </w:r>
      <w:r>
        <w:rPr>
          <w:rFonts w:eastAsia="Times New Roman"/>
        </w:rPr>
        <w:t xml:space="preserve"> model is trained first; if that cow has fewer than thirty recorded rows (`MIN_ROWS`), the system falls back to a pooled, whole-farm model, since thirty individual records is rarely available for a newly-registered animal. This retrain-per-request approach</w:t>
      </w:r>
      <w:r>
        <w:rPr>
          <w:rFonts w:eastAsia="Times New Roman"/>
        </w:rPr>
        <w:t xml:space="preserve"> was a deliberate consequence of the project's serverless (Vercel) deployment target, which has no </w:t>
      </w:r>
      <w:r>
        <w:rPr>
          <w:rFonts w:eastAsia="Times New Roman"/>
        </w:rPr>
        <w:lastRenderedPageBreak/>
        <w:t>persistent background worker to periodically retrain and cache a model; fitting a ridge regression on a single farm's data is computationally cheap enough th</w:t>
      </w:r>
      <w:r>
        <w:rPr>
          <w:rFonts w:eastAsia="Times New Roman"/>
        </w:rPr>
        <w:t>at retraining on every relevant page view is an acceptable trade-off against the operational complexity a scheduled-training pipeline would otherwise introduce.</w:t>
      </w:r>
    </w:p>
    <w:p w:rsidR="000216F0" w:rsidRDefault="0030472D">
      <w:pPr>
        <w:jc w:val="both"/>
      </w:pPr>
      <w:r>
        <w:rPr>
          <w:rFonts w:eastAsia="Times New Roman"/>
        </w:rPr>
        <w:t xml:space="preserve">The credit-scoring engine follows an equivalent request-time approach at the population level. </w:t>
      </w:r>
      <w:r>
        <w:rPr>
          <w:rFonts w:eastAsia="Times New Roman"/>
        </w:rPr>
        <w:t>Below a minimum population threshold of eight eligible farms (`MIN_POPULATION_FARMS`), no percentile ranking is computed at all; instead, every eligible farm receives a deterministic, provisional score equal to the mean of its ten imputed features scaled t</w:t>
      </w:r>
      <w:r>
        <w:rPr>
          <w:rFonts w:eastAsia="Times New Roman"/>
        </w:rPr>
        <w:t>o 0–100, avoiding the meaningless discrimination a percentile rank over a handful of farms would otherwise produce. At or above eight farms, the ten-feature population matrix is standardised and reduced via `PCA(n_components=1)` to a single composite healt</w:t>
      </w:r>
      <w:r>
        <w:rPr>
          <w:rFonts w:eastAsia="Times New Roman"/>
        </w:rPr>
        <w:t>h score; because PCA's sign is mathematically arbitrary, the resulting component is sign-corrected by correlating it against a plain row-mean composite, ensuring a higher score always corresponds to a healthier farm. `KMeans` clustering (four clusters at o</w:t>
      </w:r>
      <w:r>
        <w:rPr>
          <w:rFonts w:eastAsia="Times New Roman"/>
        </w:rPr>
        <w:t>r above twelve farms, two clusters below that) is fitted on the same standardised matrix to derive discrete score tiers, with clusters ranked and labelled by their mean composite score. Both `PCA` and `KMeans` are seeded with a fixed `random_state` so that</w:t>
      </w:r>
      <w:r>
        <w:rPr>
          <w:rFonts w:eastAsia="Times New Roman"/>
        </w:rPr>
        <w:t xml:space="preserve"> recomputing an unchanged population never reorders tiers or produces different scores from run to run — a property later verified directly in the test suite (Section 6.4).</w:t>
      </w:r>
    </w:p>
    <w:p w:rsidR="000216F0" w:rsidRDefault="0030472D">
      <w:pPr>
        <w:pStyle w:val="Heading3"/>
        <w:spacing w:before="320" w:after="160"/>
      </w:pPr>
      <w:bookmarkStart w:id="40" w:name="_Toc240737088"/>
      <w:r>
        <w:rPr>
          <w:rFonts w:ascii="Times New Roman" w:eastAsia="Times New Roman" w:hAnsi="Times New Roman"/>
          <w:color w:val="334155"/>
          <w:sz w:val="25"/>
        </w:rPr>
        <w:t>3.2.4 Model Validation and Testing</w:t>
      </w:r>
      <w:bookmarkEnd w:id="40"/>
    </w:p>
    <w:p w:rsidR="000216F0" w:rsidRDefault="0030472D">
      <w:pPr>
        <w:jc w:val="both"/>
      </w:pPr>
      <w:r>
        <w:rPr>
          <w:rFonts w:eastAsia="Times New Roman"/>
        </w:rPr>
        <w:t xml:space="preserve">Because neither subsystem is trained against an </w:t>
      </w:r>
      <w:r>
        <w:rPr>
          <w:rFonts w:eastAsia="Times New Roman"/>
        </w:rPr>
        <w:t xml:space="preserve">external, labelled ground truth — the yield predictor has no held-out "true" future yield to validate against beyond a farm's own subsequent records, and the credit-scoring engine has, by design, no historical loan-repayment outcome to validate against at </w:t>
      </w:r>
      <w:r>
        <w:rPr>
          <w:rFonts w:eastAsia="Times New Roman"/>
        </w:rPr>
        <w:t>all — validation for both subsystems necessarily took the form of internal consistency and correctness testing rather than conventional held-out accuracy metrics. For the credit-scoring engine specifically, this comprised: exact feature-value assertions ag</w:t>
      </w:r>
      <w:r>
        <w:rPr>
          <w:rFonts w:eastAsia="Times New Roman"/>
        </w:rPr>
        <w:t xml:space="preserve">ainst hand-computed expected values; confirmation that a crop-only farm with missing production features is imputed rather </w:t>
      </w:r>
      <w:r>
        <w:rPr>
          <w:rFonts w:eastAsia="Times New Roman"/>
        </w:rPr>
        <w:lastRenderedPageBreak/>
        <w:t>than penalised or crashed on; confirmation that the below-eight-farms provisional fallback activates correctly; a determinism check t</w:t>
      </w:r>
      <w:r>
        <w:rPr>
          <w:rFonts w:eastAsia="Times New Roman"/>
        </w:rPr>
        <w:t>hat recomputing an unchanged population produces identical scores and tiers; a tier-monotonicity check that farms with better simulated operational quality land in better tiers on average; and, most rigorously, an independent re-implementation of the PCA c</w:t>
      </w:r>
      <w:r>
        <w:rPr>
          <w:rFonts w:eastAsia="Times New Roman"/>
        </w:rPr>
        <w:t>ontribution calculation, written separately from the production code, used to confirm that the sum of each farm's reported per-feature contributions exactly equals its sign-corrected composite score. Chapter 6 reports these results in full alongside the eq</w:t>
      </w:r>
      <w:r>
        <w:rPr>
          <w:rFonts w:eastAsia="Times New Roman"/>
        </w:rPr>
        <w:t>uivalent tests for the yield predictor and every other module in the codebase.</w:t>
      </w:r>
    </w:p>
    <w:p w:rsidR="000216F0" w:rsidRDefault="0030472D">
      <w:pPr>
        <w:pStyle w:val="Heading2"/>
        <w:spacing w:before="320" w:after="160"/>
      </w:pPr>
      <w:bookmarkStart w:id="41" w:name="_Toc240737089"/>
      <w:r>
        <w:rPr>
          <w:rFonts w:ascii="Times New Roman" w:eastAsia="Times New Roman" w:hAnsi="Times New Roman"/>
          <w:color w:val="1E3A5F"/>
          <w:sz w:val="28"/>
        </w:rPr>
        <w:t>3.3 System Development Methodology and Justification</w:t>
      </w:r>
      <w:bookmarkEnd w:id="41"/>
    </w:p>
    <w:p w:rsidR="000216F0" w:rsidRDefault="0030472D">
      <w:pPr>
        <w:pStyle w:val="Heading3"/>
        <w:spacing w:before="320" w:after="160"/>
      </w:pPr>
      <w:bookmarkStart w:id="42" w:name="_Toc240737090"/>
      <w:r>
        <w:rPr>
          <w:rFonts w:ascii="Times New Roman" w:eastAsia="Times New Roman" w:hAnsi="Times New Roman"/>
          <w:color w:val="334155"/>
          <w:sz w:val="25"/>
        </w:rPr>
        <w:t>3.3.1 Justification of Methodology</w:t>
      </w:r>
      <w:bookmarkEnd w:id="42"/>
    </w:p>
    <w:p w:rsidR="000216F0" w:rsidRDefault="0030472D">
      <w:pPr>
        <w:jc w:val="both"/>
      </w:pPr>
      <w:r>
        <w:rPr>
          <w:rFonts w:eastAsia="Times New Roman"/>
        </w:rPr>
        <w:t>FarmIQ was developed using Object-Oriented Analysis and Design as its structuring paradig</w:t>
      </w:r>
      <w:r>
        <w:rPr>
          <w:rFonts w:eastAsia="Times New Roman"/>
        </w:rPr>
        <w:t>m, implemented as a set of seventeen independently-defined Django applications (accounts, farms, cows, crops, finance, inventory, notifications, tasks, weather, advisory, analysis, creditscore, blockchain, geomap, insights, website, core), each encapsulati</w:t>
      </w:r>
      <w:r>
        <w:rPr>
          <w:rFonts w:eastAsia="Times New Roman"/>
        </w:rPr>
        <w:t xml:space="preserve">ng a distinct domain responsibility with its own models, business-logic service layer, views, and test suite. This modular decomposition was well suited to FarmIQ's actual complexity: the system naturally separates into domains (herd management, financial </w:t>
      </w:r>
      <w:r>
        <w:rPr>
          <w:rFonts w:eastAsia="Times New Roman"/>
        </w:rPr>
        <w:t>records, machine learning prediction, blockchain anchoring, notification delivery) that could be developed, tested, and extended largely independently, while a small set of shared, reusable services — a centralised role-permission framework (`farms.permiss</w:t>
      </w:r>
      <w:r>
        <w:rPr>
          <w:rFonts w:eastAsia="Times New Roman"/>
        </w:rPr>
        <w:t>ions`), a single canonical content-hashing and Hedera-anchoring service (`blockchain.services`), and a unified multi-channel notification dispatcher (`notifications.services.notify`) — were deliberately factored out and consumed uniformly across otherwise-</w:t>
      </w:r>
      <w:r>
        <w:rPr>
          <w:rFonts w:eastAsia="Times New Roman"/>
        </w:rPr>
        <w:t>unrelated apps, avoiding duplicated logic for concerns that recur throughout the system.</w:t>
      </w:r>
    </w:p>
    <w:p w:rsidR="000216F0" w:rsidRDefault="0030472D">
      <w:pPr>
        <w:jc w:val="both"/>
      </w:pPr>
      <w:r>
        <w:rPr>
          <w:rFonts w:eastAsia="Times New Roman"/>
        </w:rPr>
        <w:t>Development proceeded iteratively rather than through a single up-front design-then-build phase, evidenced directly by the project's own migration history: the system'</w:t>
      </w:r>
      <w:r>
        <w:rPr>
          <w:rFonts w:eastAsia="Times New Roman"/>
        </w:rPr>
        <w:t xml:space="preserve">s core record-keeping apps (accounts, farms, cows, crops, finance, inventory, tasks, </w:t>
      </w:r>
      <w:r>
        <w:rPr>
          <w:rFonts w:eastAsia="Times New Roman"/>
        </w:rPr>
        <w:lastRenderedPageBreak/>
        <w:t>notifications) were extended repeatedly over time with new fields and models as requirements became clearer — for example, cows/migrations 0011 and 0012 added a health-rec</w:t>
      </w:r>
      <w:r>
        <w:rPr>
          <w:rFonts w:eastAsia="Times New Roman"/>
        </w:rPr>
        <w:t>ord model, pedigree fields, weight tracking, and a reproduction/breeding calendar in successive, separate increments rather than as part of the original herd model — while five entire applications (blockchain, creditscore, geomap, insights, website) were a</w:t>
      </w:r>
      <w:r>
        <w:rPr>
          <w:rFonts w:eastAsia="Times New Roman"/>
        </w:rPr>
        <w:t>dded in a single, closely connected later phase of work, cross-referencing one another extensively (the credit-scoring engine reads directly from the blockchain app's FIQ ledger; crop records link to GPS field boundaries from the geomap app; blockchain anc</w:t>
      </w:r>
      <w:r>
        <w:rPr>
          <w:rFonts w:eastAsia="Times New Roman"/>
        </w:rPr>
        <w:t>horing fields were retrofitted onto the pre-existing milk-prediction, transaction, cow, and crop-activity models rather than designed in from the start). This pattern — stable core functionality extended through a sequence of scoped, testable increments, w</w:t>
      </w:r>
      <w:r>
        <w:rPr>
          <w:rFonts w:eastAsia="Times New Roman"/>
        </w:rPr>
        <w:t>ith major new capabilities added as connected but separately-migrated features — reflects an iterative, evolutionary development approach consistent with agile practice, in which working, tested increments of functionality are delivered and integrated prog</w:t>
      </w:r>
      <w:r>
        <w:rPr>
          <w:rFonts w:eastAsia="Times New Roman"/>
        </w:rPr>
        <w:t>ressively rather than attempting to specify the complete system's behaviour before any of it is built.</w:t>
      </w:r>
    </w:p>
    <w:p w:rsidR="000216F0" w:rsidRDefault="0030472D">
      <w:pPr>
        <w:jc w:val="both"/>
      </w:pPr>
      <w:r>
        <w:rPr>
          <w:rFonts w:eastAsia="Times New Roman"/>
        </w:rPr>
        <w:t>This approach was appropriate to FarmIQ's context for the same reasons agile methodologies are generally favoured for systems with genuine requirements u</w:t>
      </w:r>
      <w:r>
        <w:rPr>
          <w:rFonts w:eastAsia="Times New Roman"/>
        </w:rPr>
        <w:t xml:space="preserve">ncertainty: the optimal feature set for a smallholder-facing farm management platform, the right threshold at which a credit score becomes population-relative rather than provisional, and the specific combination of blockchain-anchored trust and tokenised </w:t>
      </w:r>
      <w:r>
        <w:rPr>
          <w:rFonts w:eastAsia="Times New Roman"/>
        </w:rPr>
        <w:t>incentive that would meaningfully encourage sustained data logging were not knowable with confidence in advance, and were instead refined through successive, working increments — each shipped with its own dedicated test suite (Chapter 6) rather than deferr</w:t>
      </w:r>
      <w:r>
        <w:rPr>
          <w:rFonts w:eastAsia="Times New Roman"/>
        </w:rPr>
        <w:t>ed to a single final testing phase.</w:t>
      </w:r>
    </w:p>
    <w:p w:rsidR="000216F0" w:rsidRDefault="0030472D">
      <w:pPr>
        <w:pStyle w:val="Heading3"/>
        <w:spacing w:before="320" w:after="160"/>
      </w:pPr>
      <w:bookmarkStart w:id="43" w:name="_Toc240737091"/>
      <w:r>
        <w:rPr>
          <w:rFonts w:ascii="Times New Roman" w:eastAsia="Times New Roman" w:hAnsi="Times New Roman"/>
          <w:color w:val="334155"/>
          <w:sz w:val="25"/>
        </w:rPr>
        <w:t>3.3.2 Development and Feature Timeline</w:t>
      </w:r>
      <w:bookmarkEnd w:id="43"/>
    </w:p>
    <w:p w:rsidR="000216F0" w:rsidRDefault="0030472D">
      <w:pPr>
        <w:jc w:val="both"/>
      </w:pPr>
      <w:r>
        <w:rPr>
          <w:rFonts w:eastAsia="Times New Roman"/>
        </w:rPr>
        <w:t xml:space="preserve">Table 3.1 summarises the evolutionary sequence evidenced by the project's migration history, illustrating how FarmIQ's scope grew from a core record-keeping platform into the fully </w:t>
      </w:r>
      <w:r>
        <w:rPr>
          <w:rFonts w:eastAsia="Times New Roman"/>
        </w:rPr>
        <w:t>integrated system described in this documentation.</w:t>
      </w:r>
    </w:p>
    <w:tbl>
      <w:tblPr>
        <w:tblStyle w:val="TableGrid"/>
        <w:tblW w:w="0" w:type="auto"/>
        <w:jc w:val="center"/>
        <w:tblLook w:val="04A0" w:firstRow="1" w:lastRow="0" w:firstColumn="1" w:lastColumn="0" w:noHBand="0" w:noVBand="1"/>
      </w:tblPr>
      <w:tblGrid>
        <w:gridCol w:w="2880"/>
        <w:gridCol w:w="2880"/>
        <w:gridCol w:w="2880"/>
      </w:tblGrid>
      <w:tr w:rsidR="000216F0">
        <w:trPr>
          <w:jc w:val="center"/>
        </w:trPr>
        <w:tc>
          <w:tcPr>
            <w:tcW w:w="2880" w:type="dxa"/>
            <w:shd w:val="clear" w:color="auto" w:fill="D1FAE5"/>
          </w:tcPr>
          <w:p w:rsidR="000216F0" w:rsidRDefault="0030472D">
            <w:r>
              <w:rPr>
                <w:rFonts w:eastAsia="Times New Roman"/>
                <w:b/>
                <w:sz w:val="20"/>
              </w:rPr>
              <w:lastRenderedPageBreak/>
              <w:t>Phase</w:t>
            </w:r>
          </w:p>
        </w:tc>
        <w:tc>
          <w:tcPr>
            <w:tcW w:w="2880" w:type="dxa"/>
            <w:shd w:val="clear" w:color="auto" w:fill="D1FAE5"/>
          </w:tcPr>
          <w:p w:rsidR="000216F0" w:rsidRDefault="0030472D">
            <w:r>
              <w:rPr>
                <w:rFonts w:eastAsia="Times New Roman"/>
                <w:b/>
                <w:sz w:val="20"/>
              </w:rPr>
              <w:t>Capability added</w:t>
            </w:r>
          </w:p>
        </w:tc>
        <w:tc>
          <w:tcPr>
            <w:tcW w:w="2880" w:type="dxa"/>
            <w:shd w:val="clear" w:color="auto" w:fill="D1FAE5"/>
          </w:tcPr>
          <w:p w:rsidR="000216F0" w:rsidRDefault="0030472D">
            <w:r>
              <w:rPr>
                <w:rFonts w:eastAsia="Times New Roman"/>
                <w:b/>
                <w:sz w:val="20"/>
              </w:rPr>
              <w:t>Evidence</w:t>
            </w:r>
          </w:p>
        </w:tc>
      </w:tr>
      <w:tr w:rsidR="000216F0">
        <w:trPr>
          <w:jc w:val="center"/>
        </w:trPr>
        <w:tc>
          <w:tcPr>
            <w:tcW w:w="2880" w:type="dxa"/>
          </w:tcPr>
          <w:p w:rsidR="000216F0" w:rsidRDefault="0030472D">
            <w:r>
              <w:rPr>
                <w:rFonts w:eastAsia="Times New Roman"/>
                <w:sz w:val="19"/>
              </w:rPr>
              <w:t>Core platform</w:t>
            </w:r>
          </w:p>
        </w:tc>
        <w:tc>
          <w:tcPr>
            <w:tcW w:w="2880" w:type="dxa"/>
          </w:tcPr>
          <w:p w:rsidR="000216F0" w:rsidRDefault="0030472D">
            <w:r>
              <w:rPr>
                <w:rFonts w:eastAsia="Times New Roman"/>
                <w:sz w:val="19"/>
              </w:rPr>
              <w:t>Multi-tenant farm/role model, herd, crop, finance, inventory, task, and notification record-keeping</w:t>
            </w:r>
          </w:p>
        </w:tc>
        <w:tc>
          <w:tcPr>
            <w:tcW w:w="2880" w:type="dxa"/>
          </w:tcPr>
          <w:p w:rsidR="000216F0" w:rsidRDefault="0030472D">
            <w:r>
              <w:rPr>
                <w:rFonts w:eastAsia="Times New Roman"/>
                <w:sz w:val="19"/>
              </w:rPr>
              <w:t xml:space="preserve">Base models across accounts, farms, cows, crops, </w:t>
            </w:r>
            <w:r>
              <w:rPr>
                <w:rFonts w:eastAsia="Times New Roman"/>
                <w:sz w:val="19"/>
              </w:rPr>
              <w:t>finance, inventory, tasks, notifications</w:t>
            </w:r>
          </w:p>
        </w:tc>
      </w:tr>
      <w:tr w:rsidR="000216F0">
        <w:trPr>
          <w:jc w:val="center"/>
        </w:trPr>
        <w:tc>
          <w:tcPr>
            <w:tcW w:w="2880" w:type="dxa"/>
          </w:tcPr>
          <w:p w:rsidR="000216F0" w:rsidRDefault="0030472D">
            <w:r>
              <w:rPr>
                <w:rFonts w:eastAsia="Times New Roman"/>
                <w:sz w:val="19"/>
              </w:rPr>
              <w:t>Production analytics</w:t>
            </w:r>
          </w:p>
        </w:tc>
        <w:tc>
          <w:tcPr>
            <w:tcW w:w="2880" w:type="dxa"/>
          </w:tcPr>
          <w:p w:rsidR="000216F0" w:rsidRDefault="0030472D">
            <w:r>
              <w:rPr>
                <w:rFonts w:eastAsia="Times New Roman"/>
                <w:sz w:val="19"/>
              </w:rPr>
              <w:t>On-demand ridge regression milk-yield forecasting with exact explainability</w:t>
            </w:r>
          </w:p>
        </w:tc>
        <w:tc>
          <w:tcPr>
            <w:tcW w:w="2880" w:type="dxa"/>
          </w:tcPr>
          <w:p w:rsidR="000216F0" w:rsidRDefault="0030472D">
            <w:r>
              <w:rPr>
                <w:rFonts w:eastAsia="Times New Roman"/>
                <w:sz w:val="19"/>
              </w:rPr>
              <w:t>analysis app and its `ml/` package</w:t>
            </w:r>
          </w:p>
        </w:tc>
      </w:tr>
      <w:tr w:rsidR="000216F0">
        <w:trPr>
          <w:jc w:val="center"/>
        </w:trPr>
        <w:tc>
          <w:tcPr>
            <w:tcW w:w="2880" w:type="dxa"/>
          </w:tcPr>
          <w:p w:rsidR="000216F0" w:rsidRDefault="0030472D">
            <w:r>
              <w:rPr>
                <w:rFonts w:eastAsia="Times New Roman"/>
                <w:sz w:val="19"/>
              </w:rPr>
              <w:t>Advisory content</w:t>
            </w:r>
          </w:p>
        </w:tc>
        <w:tc>
          <w:tcPr>
            <w:tcW w:w="2880" w:type="dxa"/>
          </w:tcPr>
          <w:p w:rsidR="000216F0" w:rsidRDefault="0030472D">
            <w:r>
              <w:rPr>
                <w:rFonts w:eastAsia="Times New Roman"/>
                <w:sz w:val="19"/>
              </w:rPr>
              <w:t>Static agronomy/dairy knowledge base, disease catalog, agri-exte</w:t>
            </w:r>
            <w:r>
              <w:rPr>
                <w:rFonts w:eastAsia="Times New Roman"/>
                <w:sz w:val="19"/>
              </w:rPr>
              <w:t>nsion centre lookup</w:t>
            </w:r>
          </w:p>
        </w:tc>
        <w:tc>
          <w:tcPr>
            <w:tcW w:w="2880" w:type="dxa"/>
          </w:tcPr>
          <w:p w:rsidR="000216F0" w:rsidRDefault="0030472D">
            <w:r>
              <w:rPr>
                <w:rFonts w:eastAsia="Times New Roman"/>
                <w:sz w:val="19"/>
              </w:rPr>
              <w:t>advisory app (early migrations)</w:t>
            </w:r>
          </w:p>
        </w:tc>
      </w:tr>
      <w:tr w:rsidR="000216F0">
        <w:trPr>
          <w:jc w:val="center"/>
        </w:trPr>
        <w:tc>
          <w:tcPr>
            <w:tcW w:w="2880" w:type="dxa"/>
          </w:tcPr>
          <w:p w:rsidR="000216F0" w:rsidRDefault="0030472D">
            <w:r>
              <w:rPr>
                <w:rFonts w:eastAsia="Times New Roman"/>
                <w:sz w:val="19"/>
              </w:rPr>
              <w:t>Herd depth</w:t>
            </w:r>
          </w:p>
        </w:tc>
        <w:tc>
          <w:tcPr>
            <w:tcW w:w="2880" w:type="dxa"/>
          </w:tcPr>
          <w:p w:rsidR="000216F0" w:rsidRDefault="0030472D">
            <w:r>
              <w:rPr>
                <w:rFonts w:eastAsia="Times New Roman"/>
                <w:sz w:val="19"/>
              </w:rPr>
              <w:t>Health records, pedigree fields, weight tracking, reproduction/breeding calendar</w:t>
            </w:r>
          </w:p>
        </w:tc>
        <w:tc>
          <w:tcPr>
            <w:tcW w:w="2880" w:type="dxa"/>
          </w:tcPr>
          <w:p w:rsidR="000216F0" w:rsidRDefault="0030472D">
            <w:r>
              <w:rPr>
                <w:rFonts w:eastAsia="Times New Roman"/>
                <w:sz w:val="19"/>
              </w:rPr>
              <w:t>cows/migrations 0011–0012</w:t>
            </w:r>
          </w:p>
        </w:tc>
      </w:tr>
      <w:tr w:rsidR="000216F0">
        <w:trPr>
          <w:jc w:val="center"/>
        </w:trPr>
        <w:tc>
          <w:tcPr>
            <w:tcW w:w="2880" w:type="dxa"/>
          </w:tcPr>
          <w:p w:rsidR="000216F0" w:rsidRDefault="0030472D">
            <w:r>
              <w:rPr>
                <w:rFonts w:eastAsia="Times New Roman"/>
                <w:sz w:val="19"/>
              </w:rPr>
              <w:t>Structured learning</w:t>
            </w:r>
          </w:p>
        </w:tc>
        <w:tc>
          <w:tcPr>
            <w:tcW w:w="2880" w:type="dxa"/>
          </w:tcPr>
          <w:p w:rsidR="000216F0" w:rsidRDefault="0030472D">
            <w:r>
              <w:rPr>
                <w:rFonts w:eastAsia="Times New Roman"/>
                <w:sz w:val="19"/>
              </w:rPr>
              <w:t xml:space="preserve">County-level crop suitability data, structured learning </w:t>
            </w:r>
            <w:r>
              <w:rPr>
                <w:rFonts w:eastAsia="Times New Roman"/>
                <w:sz w:val="19"/>
              </w:rPr>
              <w:t>paths and lessons</w:t>
            </w:r>
          </w:p>
        </w:tc>
        <w:tc>
          <w:tcPr>
            <w:tcW w:w="2880" w:type="dxa"/>
          </w:tcPr>
          <w:p w:rsidR="000216F0" w:rsidRDefault="0030472D">
            <w:r>
              <w:rPr>
                <w:rFonts w:eastAsia="Times New Roman"/>
                <w:sz w:val="19"/>
              </w:rPr>
              <w:t>advisory/migrations 0003–0006</w:t>
            </w:r>
          </w:p>
        </w:tc>
      </w:tr>
      <w:tr w:rsidR="000216F0">
        <w:trPr>
          <w:jc w:val="center"/>
        </w:trPr>
        <w:tc>
          <w:tcPr>
            <w:tcW w:w="2880" w:type="dxa"/>
          </w:tcPr>
          <w:p w:rsidR="000216F0" w:rsidRDefault="0030472D">
            <w:r>
              <w:rPr>
                <w:rFonts w:eastAsia="Times New Roman"/>
                <w:sz w:val="19"/>
              </w:rPr>
              <w:t>Recurring tasks</w:t>
            </w:r>
          </w:p>
        </w:tc>
        <w:tc>
          <w:tcPr>
            <w:tcW w:w="2880" w:type="dxa"/>
          </w:tcPr>
          <w:p w:rsidR="000216F0" w:rsidRDefault="0030472D">
            <w:r>
              <w:rPr>
                <w:rFonts w:eastAsia="Times New Roman"/>
                <w:sz w:val="19"/>
              </w:rPr>
              <w:t>Task recurrence (`repeat_every_days`)</w:t>
            </w:r>
          </w:p>
        </w:tc>
        <w:tc>
          <w:tcPr>
            <w:tcW w:w="2880" w:type="dxa"/>
          </w:tcPr>
          <w:p w:rsidR="000216F0" w:rsidRDefault="0030472D">
            <w:r>
              <w:rPr>
                <w:rFonts w:eastAsia="Times New Roman"/>
                <w:sz w:val="19"/>
              </w:rPr>
              <w:t>tasks/migrations 0002</w:t>
            </w:r>
          </w:p>
        </w:tc>
      </w:tr>
      <w:tr w:rsidR="000216F0">
        <w:trPr>
          <w:jc w:val="center"/>
        </w:trPr>
        <w:tc>
          <w:tcPr>
            <w:tcW w:w="2880" w:type="dxa"/>
          </w:tcPr>
          <w:p w:rsidR="000216F0" w:rsidRDefault="0030472D">
            <w:r>
              <w:rPr>
                <w:rFonts w:eastAsia="Times New Roman"/>
                <w:sz w:val="19"/>
              </w:rPr>
              <w:t>WhatsApp opt-in</w:t>
            </w:r>
          </w:p>
        </w:tc>
        <w:tc>
          <w:tcPr>
            <w:tcW w:w="2880" w:type="dxa"/>
          </w:tcPr>
          <w:p w:rsidR="000216F0" w:rsidRDefault="0030472D">
            <w:r>
              <w:rPr>
                <w:rFonts w:eastAsia="Times New Roman"/>
                <w:sz w:val="19"/>
              </w:rPr>
              <w:t>WhatsApp notification preference and number fields</w:t>
            </w:r>
          </w:p>
        </w:tc>
        <w:tc>
          <w:tcPr>
            <w:tcW w:w="2880" w:type="dxa"/>
          </w:tcPr>
          <w:p w:rsidR="000216F0" w:rsidRDefault="0030472D">
            <w:r>
              <w:rPr>
                <w:rFonts w:eastAsia="Times New Roman"/>
                <w:sz w:val="19"/>
              </w:rPr>
              <w:t>accounts/migrations 0006</w:t>
            </w:r>
          </w:p>
        </w:tc>
      </w:tr>
      <w:tr w:rsidR="000216F0">
        <w:trPr>
          <w:jc w:val="center"/>
        </w:trPr>
        <w:tc>
          <w:tcPr>
            <w:tcW w:w="2880" w:type="dxa"/>
          </w:tcPr>
          <w:p w:rsidR="000216F0" w:rsidRDefault="0030472D">
            <w:r>
              <w:rPr>
                <w:rFonts w:eastAsia="Times New Roman"/>
                <w:sz w:val="19"/>
              </w:rPr>
              <w:t>Onboarding UX</w:t>
            </w:r>
          </w:p>
        </w:tc>
        <w:tc>
          <w:tcPr>
            <w:tcW w:w="2880" w:type="dxa"/>
          </w:tcPr>
          <w:p w:rsidR="000216F0" w:rsidRDefault="0030472D">
            <w:r>
              <w:rPr>
                <w:rFonts w:eastAsia="Times New Roman"/>
                <w:sz w:val="19"/>
              </w:rPr>
              <w:t>Dashboard tour flag</w:t>
            </w:r>
          </w:p>
        </w:tc>
        <w:tc>
          <w:tcPr>
            <w:tcW w:w="2880" w:type="dxa"/>
          </w:tcPr>
          <w:p w:rsidR="000216F0" w:rsidRDefault="0030472D">
            <w:r>
              <w:rPr>
                <w:rFonts w:eastAsia="Times New Roman"/>
                <w:sz w:val="19"/>
              </w:rPr>
              <w:t>acc</w:t>
            </w:r>
            <w:r>
              <w:rPr>
                <w:rFonts w:eastAsia="Times New Roman"/>
                <w:sz w:val="19"/>
              </w:rPr>
              <w:t>ounts/migrations 0007</w:t>
            </w:r>
          </w:p>
        </w:tc>
      </w:tr>
      <w:tr w:rsidR="000216F0">
        <w:trPr>
          <w:jc w:val="center"/>
        </w:trPr>
        <w:tc>
          <w:tcPr>
            <w:tcW w:w="2880" w:type="dxa"/>
          </w:tcPr>
          <w:p w:rsidR="000216F0" w:rsidRDefault="0030472D">
            <w:r>
              <w:rPr>
                <w:rFonts w:eastAsia="Times New Roman"/>
                <w:sz w:val="19"/>
              </w:rPr>
              <w:t>Blockchain integration</w:t>
            </w:r>
          </w:p>
        </w:tc>
        <w:tc>
          <w:tcPr>
            <w:tcW w:w="2880" w:type="dxa"/>
          </w:tcPr>
          <w:p w:rsidR="000216F0" w:rsidRDefault="0030472D">
            <w:r>
              <w:rPr>
                <w:rFonts w:eastAsia="Times New Roman"/>
                <w:sz w:val="19"/>
              </w:rPr>
              <w:t>Hedera HTS/HCS service layer, cow/harvest NFTs, FIQ reward token, hash-anchoring retrofitted onto predictions, transactions, and (later) credit scores</w:t>
            </w:r>
          </w:p>
        </w:tc>
        <w:tc>
          <w:tcPr>
            <w:tcW w:w="2880" w:type="dxa"/>
          </w:tcPr>
          <w:p w:rsidR="000216F0" w:rsidRDefault="0030472D">
            <w:r>
              <w:rPr>
                <w:rFonts w:eastAsia="Times New Roman"/>
                <w:sz w:val="19"/>
              </w:rPr>
              <w:t>blockchain app (new); analysis/migrations 0002; finance/mig</w:t>
            </w:r>
            <w:r>
              <w:rPr>
                <w:rFonts w:eastAsia="Times New Roman"/>
                <w:sz w:val="19"/>
              </w:rPr>
              <w:t>rations 0004; cows/migrations 0010; crops/migrations 0004</w:t>
            </w:r>
          </w:p>
        </w:tc>
      </w:tr>
      <w:tr w:rsidR="000216F0">
        <w:trPr>
          <w:jc w:val="center"/>
        </w:trPr>
        <w:tc>
          <w:tcPr>
            <w:tcW w:w="2880" w:type="dxa"/>
          </w:tcPr>
          <w:p w:rsidR="000216F0" w:rsidRDefault="0030472D">
            <w:r>
              <w:rPr>
                <w:rFonts w:eastAsia="Times New Roman"/>
                <w:sz w:val="19"/>
              </w:rPr>
              <w:t>Alternative credit scoring</w:t>
            </w:r>
          </w:p>
        </w:tc>
        <w:tc>
          <w:tcPr>
            <w:tcW w:w="2880" w:type="dxa"/>
          </w:tcPr>
          <w:p w:rsidR="000216F0" w:rsidRDefault="0030472D">
            <w:r>
              <w:rPr>
                <w:rFonts w:eastAsia="Times New Roman"/>
                <w:sz w:val="19"/>
              </w:rPr>
              <w:t>PCA/K-means population-relative scoring engine, partner consent and API</w:t>
            </w:r>
          </w:p>
        </w:tc>
        <w:tc>
          <w:tcPr>
            <w:tcW w:w="2880" w:type="dxa"/>
          </w:tcPr>
          <w:p w:rsidR="000216F0" w:rsidRDefault="0030472D">
            <w:r>
              <w:rPr>
                <w:rFonts w:eastAsia="Times New Roman"/>
                <w:sz w:val="19"/>
              </w:rPr>
              <w:t>creditscore app (new); creditscore/migrations 0001–0003</w:t>
            </w:r>
          </w:p>
        </w:tc>
      </w:tr>
      <w:tr w:rsidR="000216F0">
        <w:trPr>
          <w:jc w:val="center"/>
        </w:trPr>
        <w:tc>
          <w:tcPr>
            <w:tcW w:w="2880" w:type="dxa"/>
          </w:tcPr>
          <w:p w:rsidR="000216F0" w:rsidRDefault="0030472D">
            <w:r>
              <w:rPr>
                <w:rFonts w:eastAsia="Times New Roman"/>
                <w:sz w:val="19"/>
              </w:rPr>
              <w:t>Field mapping</w:t>
            </w:r>
          </w:p>
        </w:tc>
        <w:tc>
          <w:tcPr>
            <w:tcW w:w="2880" w:type="dxa"/>
          </w:tcPr>
          <w:p w:rsidR="000216F0" w:rsidRDefault="0030472D">
            <w:r>
              <w:rPr>
                <w:rFonts w:eastAsia="Times New Roman"/>
                <w:sz w:val="19"/>
              </w:rPr>
              <w:t xml:space="preserve">GPS </w:t>
            </w:r>
            <w:r>
              <w:rPr>
                <w:rFonts w:eastAsia="Times New Roman"/>
                <w:sz w:val="19"/>
              </w:rPr>
              <w:t xml:space="preserve">field-boundary surveying, geodesic area/perimeter </w:t>
            </w:r>
            <w:r>
              <w:rPr>
                <w:rFonts w:eastAsia="Times New Roman"/>
                <w:sz w:val="19"/>
              </w:rPr>
              <w:lastRenderedPageBreak/>
              <w:t>calculation</w:t>
            </w:r>
          </w:p>
        </w:tc>
        <w:tc>
          <w:tcPr>
            <w:tcW w:w="2880" w:type="dxa"/>
          </w:tcPr>
          <w:p w:rsidR="000216F0" w:rsidRDefault="0030472D">
            <w:r>
              <w:rPr>
                <w:rFonts w:eastAsia="Times New Roman"/>
                <w:sz w:val="19"/>
              </w:rPr>
              <w:lastRenderedPageBreak/>
              <w:t xml:space="preserve">geomap app (new); </w:t>
            </w:r>
            <w:r>
              <w:rPr>
                <w:rFonts w:eastAsia="Times New Roman"/>
                <w:sz w:val="19"/>
              </w:rPr>
              <w:lastRenderedPageBreak/>
              <w:t>crops/migrations 0005</w:t>
            </w:r>
          </w:p>
        </w:tc>
      </w:tr>
      <w:tr w:rsidR="000216F0">
        <w:trPr>
          <w:jc w:val="center"/>
        </w:trPr>
        <w:tc>
          <w:tcPr>
            <w:tcW w:w="2880" w:type="dxa"/>
          </w:tcPr>
          <w:p w:rsidR="000216F0" w:rsidRDefault="0030472D">
            <w:r>
              <w:rPr>
                <w:rFonts w:eastAsia="Times New Roman"/>
                <w:sz w:val="19"/>
              </w:rPr>
              <w:t>Rule-based insights</w:t>
            </w:r>
          </w:p>
        </w:tc>
        <w:tc>
          <w:tcPr>
            <w:tcW w:w="2880" w:type="dxa"/>
          </w:tcPr>
          <w:p w:rsidR="000216F0" w:rsidRDefault="0030472D">
            <w:r>
              <w:rPr>
                <w:rFonts w:eastAsia="Times New Roman"/>
                <w:sz w:val="19"/>
              </w:rPr>
              <w:t>Threshold-driven dashboard tips engine</w:t>
            </w:r>
          </w:p>
        </w:tc>
        <w:tc>
          <w:tcPr>
            <w:tcW w:w="2880" w:type="dxa"/>
          </w:tcPr>
          <w:p w:rsidR="000216F0" w:rsidRDefault="0030472D">
            <w:r>
              <w:rPr>
                <w:rFonts w:eastAsia="Times New Roman"/>
                <w:sz w:val="19"/>
              </w:rPr>
              <w:t>insights app (new)</w:t>
            </w:r>
          </w:p>
        </w:tc>
      </w:tr>
      <w:tr w:rsidR="000216F0">
        <w:trPr>
          <w:jc w:val="center"/>
        </w:trPr>
        <w:tc>
          <w:tcPr>
            <w:tcW w:w="2880" w:type="dxa"/>
          </w:tcPr>
          <w:p w:rsidR="000216F0" w:rsidRDefault="0030472D">
            <w:r>
              <w:rPr>
                <w:rFonts w:eastAsia="Times New Roman"/>
                <w:sz w:val="19"/>
              </w:rPr>
              <w:t>Public presence</w:t>
            </w:r>
          </w:p>
        </w:tc>
        <w:tc>
          <w:tcPr>
            <w:tcW w:w="2880" w:type="dxa"/>
          </w:tcPr>
          <w:p w:rsidR="000216F0" w:rsidRDefault="0030472D">
            <w:r>
              <w:rPr>
                <w:rFonts w:eastAsia="Times New Roman"/>
                <w:sz w:val="19"/>
              </w:rPr>
              <w:t>Per-farm public micro-sites with produce listing and order</w:t>
            </w:r>
            <w:r>
              <w:rPr>
                <w:rFonts w:eastAsia="Times New Roman"/>
                <w:sz w:val="19"/>
              </w:rPr>
              <w:t xml:space="preserve"> capture</w:t>
            </w:r>
          </w:p>
        </w:tc>
        <w:tc>
          <w:tcPr>
            <w:tcW w:w="2880" w:type="dxa"/>
          </w:tcPr>
          <w:p w:rsidR="000216F0" w:rsidRDefault="0030472D">
            <w:r>
              <w:rPr>
                <w:rFonts w:eastAsia="Times New Roman"/>
                <w:sz w:val="19"/>
              </w:rPr>
              <w:t>website app (new)</w:t>
            </w:r>
          </w:p>
        </w:tc>
      </w:tr>
    </w:tbl>
    <w:p w:rsidR="000216F0" w:rsidRDefault="000216F0">
      <w:pPr>
        <w:spacing w:after="40"/>
      </w:pPr>
    </w:p>
    <w:p w:rsidR="000216F0" w:rsidRDefault="0030472D">
      <w:pPr>
        <w:spacing w:before="80" w:after="280"/>
        <w:jc w:val="center"/>
      </w:pPr>
      <w:r>
        <w:rPr>
          <w:rFonts w:eastAsia="Times New Roman"/>
          <w:b/>
          <w:i/>
          <w:sz w:val="21"/>
        </w:rPr>
        <w:t>Table 3.1: FarmIQ's evolutionary development sequence, reconstructed from migration history</w:t>
      </w:r>
    </w:p>
    <w:p w:rsidR="000216F0" w:rsidRDefault="0030472D">
      <w:pPr>
        <w:pStyle w:val="Heading2"/>
        <w:spacing w:before="320" w:after="160"/>
      </w:pPr>
      <w:bookmarkStart w:id="44" w:name="_Toc240737092"/>
      <w:r>
        <w:rPr>
          <w:rFonts w:ascii="Times New Roman" w:eastAsia="Times New Roman" w:hAnsi="Times New Roman"/>
          <w:color w:val="1E3A5F"/>
          <w:sz w:val="28"/>
        </w:rPr>
        <w:t>3.4 System Analysis Diagrams</w:t>
      </w:r>
      <w:bookmarkEnd w:id="44"/>
    </w:p>
    <w:p w:rsidR="000216F0" w:rsidRDefault="0030472D">
      <w:pPr>
        <w:jc w:val="both"/>
      </w:pPr>
      <w:r>
        <w:rPr>
          <w:rFonts w:eastAsia="Times New Roman"/>
        </w:rPr>
        <w:t>System analysis diagrams were used throughout development to understand and communicate the platform's str</w:t>
      </w:r>
      <w:r>
        <w:rPr>
          <w:rFonts w:eastAsia="Times New Roman"/>
        </w:rPr>
        <w:t xml:space="preserve">ucture and behaviour; their content is summarised here and presented in full in Chapter 4 alongside the system's functional requirements, since for an already-implemented system the analysis and design artefacts are most usefully read together against the </w:t>
      </w:r>
      <w:r>
        <w:rPr>
          <w:rFonts w:eastAsia="Times New Roman"/>
        </w:rPr>
        <w:t>requirements they satisfy.</w:t>
      </w:r>
    </w:p>
    <w:p w:rsidR="000216F0" w:rsidRDefault="0030472D">
      <w:pPr>
        <w:pStyle w:val="Heading3"/>
        <w:spacing w:before="320" w:after="160"/>
      </w:pPr>
      <w:bookmarkStart w:id="45" w:name="_Toc240737093"/>
      <w:r>
        <w:rPr>
          <w:rFonts w:ascii="Times New Roman" w:eastAsia="Times New Roman" w:hAnsi="Times New Roman"/>
          <w:color w:val="334155"/>
          <w:sz w:val="25"/>
        </w:rPr>
        <w:t>3.4.1 Use Case Diagram</w:t>
      </w:r>
      <w:bookmarkEnd w:id="45"/>
    </w:p>
    <w:p w:rsidR="000216F0" w:rsidRDefault="0030472D">
      <w:pPr>
        <w:jc w:val="both"/>
      </w:pPr>
      <w:r>
        <w:rPr>
          <w:rFonts w:eastAsia="Times New Roman"/>
        </w:rPr>
        <w:t>Four actor types interact with FarmIQ: the Farmer (farm owner), Farm Manager, Farm Supervisor, and Farm Worker, each with a distinct permission tier defined on `FarmMembership` (Section 4.4.5), plus a platf</w:t>
      </w:r>
      <w:r>
        <w:rPr>
          <w:rFonts w:eastAsia="Times New Roman"/>
        </w:rPr>
        <w:t>orm-level Administrator role independent of any single farm. Primary use cases span record entry (milk, feeding, health, weight, crop activity, finance, inventory, tasks), analytics consumption (yield predictions, credit score, insights), blockchain intera</w:t>
      </w:r>
      <w:r>
        <w:rPr>
          <w:rFonts w:eastAsia="Times New Roman"/>
        </w:rPr>
        <w:t>ction (viewing the FIQ wallet, minting milk certificates and worker rewards), and administrative functions (worker invitation, farm settings, data-partner consent management).</w:t>
      </w:r>
    </w:p>
    <w:p w:rsidR="000216F0" w:rsidRDefault="0030472D">
      <w:pPr>
        <w:pStyle w:val="Heading3"/>
        <w:spacing w:before="320" w:after="160"/>
      </w:pPr>
      <w:bookmarkStart w:id="46" w:name="_Toc240737094"/>
      <w:r>
        <w:rPr>
          <w:rFonts w:ascii="Times New Roman" w:eastAsia="Times New Roman" w:hAnsi="Times New Roman"/>
          <w:color w:val="334155"/>
          <w:sz w:val="25"/>
        </w:rPr>
        <w:t>3.4.2 Sequence Diagram</w:t>
      </w:r>
      <w:bookmarkEnd w:id="46"/>
    </w:p>
    <w:p w:rsidR="000216F0" w:rsidRDefault="0030472D">
      <w:pPr>
        <w:jc w:val="both"/>
      </w:pPr>
      <w:r>
        <w:rPr>
          <w:rFonts w:eastAsia="Times New Roman"/>
        </w:rPr>
        <w:t>The core predictive workflow illustrates the system's req</w:t>
      </w:r>
      <w:r>
        <w:rPr>
          <w:rFonts w:eastAsia="Times New Roman"/>
        </w:rPr>
        <w:t>uest-time computation model: a user requests the milk-yield predictions page; the view loads the relevant cow's or block's recorded data; the `analysis.ml` package builds the feature vector, fits a ridge regression model against the farm's own historical r</w:t>
      </w:r>
      <w:r>
        <w:rPr>
          <w:rFonts w:eastAsia="Times New Roman"/>
        </w:rPr>
        <w:t xml:space="preserve">ecords, and produces a prediction together with </w:t>
      </w:r>
      <w:r>
        <w:rPr>
          <w:rFonts w:eastAsia="Times New Roman"/>
        </w:rPr>
        <w:lastRenderedPageBreak/>
        <w:t>its exact per-feature contributions; the result is upserted into a `MilkPrediction` row; the row's canonical content hash is computed and compared against its previously-anchored hash; only if the hash differ</w:t>
      </w:r>
      <w:r>
        <w:rPr>
          <w:rFonts w:eastAsia="Times New Roman"/>
        </w:rPr>
        <w:t>s is a new Hedera Consensus Service message submitted; and the page renders the prediction, its plain-language explanation, and (once anchored) a link to the corresponding Hedera transaction. The credit-scoring recompute workflow follows the same anchor-on</w:t>
      </w:r>
      <w:r>
        <w:rPr>
          <w:rFonts w:eastAsia="Times New Roman"/>
        </w:rPr>
        <w:t>ly-on-change pattern at the farm-population scope.</w:t>
      </w:r>
    </w:p>
    <w:p w:rsidR="000216F0" w:rsidRDefault="0030472D">
      <w:pPr>
        <w:pStyle w:val="Heading3"/>
        <w:spacing w:before="320" w:after="160"/>
      </w:pPr>
      <w:bookmarkStart w:id="47" w:name="_Toc240737095"/>
      <w:r>
        <w:rPr>
          <w:rFonts w:ascii="Times New Roman" w:eastAsia="Times New Roman" w:hAnsi="Times New Roman"/>
          <w:color w:val="334155"/>
          <w:sz w:val="25"/>
        </w:rPr>
        <w:t>3.4.3 Entity-Relationship Diagram</w:t>
      </w:r>
      <w:bookmarkEnd w:id="47"/>
    </w:p>
    <w:p w:rsidR="000216F0" w:rsidRDefault="0030472D">
      <w:pPr>
        <w:jc w:val="both"/>
      </w:pPr>
      <w:r>
        <w:rPr>
          <w:rFonts w:eastAsia="Times New Roman"/>
        </w:rPr>
        <w:t xml:space="preserve">The relational schema centres on `Farm` and `FarmMembership` as the multi-tenancy backbone, with every domain app's core model (`Cow`, `Crop`, `Transaction`, </w:t>
      </w:r>
      <w:r>
        <w:rPr>
          <w:rFonts w:eastAsia="Times New Roman"/>
        </w:rPr>
        <w:t>`InventoryItem`, `Task`, `LandParcel`, `MilkPrediction`, `CreditScoreSnapshot`, `FiqLedgerEntry`) foreign-keyed to `Farm`, and record-level models (`MilkRecord`, `FeedingRecordCow`, `CropActivity`, `StockMovement`) foreign-keyed onward to their owning `Cow</w:t>
      </w:r>
      <w:r>
        <w:rPr>
          <w:rFonts w:eastAsia="Times New Roman"/>
        </w:rPr>
        <w:t>`/`Crop`/`InventoryItem`. The full schema is presented in Section 4.5.</w:t>
      </w:r>
    </w:p>
    <w:p w:rsidR="000216F0" w:rsidRDefault="0030472D">
      <w:pPr>
        <w:pStyle w:val="Heading2"/>
        <w:spacing w:before="320" w:after="160"/>
      </w:pPr>
      <w:bookmarkStart w:id="48" w:name="_Toc240737096"/>
      <w:r>
        <w:rPr>
          <w:rFonts w:ascii="Times New Roman" w:eastAsia="Times New Roman" w:hAnsi="Times New Roman"/>
          <w:color w:val="1E3A5F"/>
          <w:sz w:val="28"/>
        </w:rPr>
        <w:t>3.5 Design Diagrams</w:t>
      </w:r>
      <w:bookmarkEnd w:id="48"/>
    </w:p>
    <w:p w:rsidR="000216F0" w:rsidRDefault="0030472D">
      <w:pPr>
        <w:pStyle w:val="Heading3"/>
        <w:spacing w:before="320" w:after="160"/>
      </w:pPr>
      <w:bookmarkStart w:id="49" w:name="_Toc240737097"/>
      <w:r>
        <w:rPr>
          <w:rFonts w:ascii="Times New Roman" w:eastAsia="Times New Roman" w:hAnsi="Times New Roman"/>
          <w:color w:val="334155"/>
          <w:sz w:val="25"/>
        </w:rPr>
        <w:t>3.5.1 Class Diagram</w:t>
      </w:r>
      <w:bookmarkEnd w:id="49"/>
    </w:p>
    <w:p w:rsidR="000216F0" w:rsidRDefault="0030472D">
      <w:pPr>
        <w:jc w:val="both"/>
      </w:pPr>
      <w:r>
        <w:rPr>
          <w:rFonts w:eastAsia="Times New Roman"/>
        </w:rPr>
        <w:t xml:space="preserve">FarmIQ's implementation follows Django's Model-View-Template pattern with an explicit service-layer convention: business logic that spans </w:t>
      </w:r>
      <w:r>
        <w:rPr>
          <w:rFonts w:eastAsia="Times New Roman"/>
        </w:rPr>
        <w:t>more than simple model field access is factored into a `services.py` (or `ml/`, `scoring.py`, `features.py`, `explain.py` for the analytics apps) module per app, keeping views thin and business rules independently testable. Representative classes include `</w:t>
      </w:r>
      <w:r>
        <w:rPr>
          <w:rFonts w:eastAsia="Times New Roman"/>
        </w:rPr>
        <w:t>Cow` (herd registry, with computed properties for days-in-milk, expected calving/dry-off dates, and next-heat-expected, all derived from `ReproductiveEvent` records rather than stored redundantly), `TrainedModel` (wraps a fitted `Ridge` regressor and its `</w:t>
      </w:r>
      <w:r>
        <w:rPr>
          <w:rFonts w:eastAsia="Times New Roman"/>
        </w:rPr>
        <w:t>StandardScaler`, exposing `predict_one()` to return both a prediction and the scaled input needed for exact contribution calculation), and `CreditScoreSnapshot` (an append-only record of a computed score, never overwritten, mirroring the same immutable-his</w:t>
      </w:r>
      <w:r>
        <w:rPr>
          <w:rFonts w:eastAsia="Times New Roman"/>
        </w:rPr>
        <w:t>tory pattern used for `Transaction` anchoring).</w:t>
      </w:r>
    </w:p>
    <w:p w:rsidR="000216F0" w:rsidRDefault="0030472D">
      <w:pPr>
        <w:pStyle w:val="Heading3"/>
        <w:spacing w:before="320" w:after="160"/>
      </w:pPr>
      <w:bookmarkStart w:id="50" w:name="_Toc240737098"/>
      <w:r>
        <w:rPr>
          <w:rFonts w:ascii="Times New Roman" w:eastAsia="Times New Roman" w:hAnsi="Times New Roman"/>
          <w:color w:val="334155"/>
          <w:sz w:val="25"/>
        </w:rPr>
        <w:lastRenderedPageBreak/>
        <w:t>3.5.2 Database Schema</w:t>
      </w:r>
      <w:bookmarkEnd w:id="50"/>
    </w:p>
    <w:p w:rsidR="000216F0" w:rsidRDefault="0030472D">
      <w:pPr>
        <w:jc w:val="both"/>
      </w:pPr>
      <w:r>
        <w:rPr>
          <w:rFonts w:eastAsia="Times New Roman"/>
        </w:rPr>
        <w:t>The full database schema, covering all seventeen applications' models and their relationships, is presented in Section 4.5.</w:t>
      </w:r>
    </w:p>
    <w:p w:rsidR="000216F0" w:rsidRDefault="0030472D">
      <w:pPr>
        <w:pStyle w:val="Heading3"/>
        <w:spacing w:before="320" w:after="160"/>
      </w:pPr>
      <w:bookmarkStart w:id="51" w:name="_Toc240737099"/>
      <w:r>
        <w:rPr>
          <w:rFonts w:ascii="Times New Roman" w:eastAsia="Times New Roman" w:hAnsi="Times New Roman"/>
          <w:color w:val="334155"/>
          <w:sz w:val="25"/>
        </w:rPr>
        <w:t>3.5.3 System Architecture Diagram</w:t>
      </w:r>
      <w:bookmarkEnd w:id="51"/>
    </w:p>
    <w:p w:rsidR="000216F0" w:rsidRDefault="0030472D">
      <w:pPr>
        <w:jc w:val="both"/>
      </w:pPr>
      <w:r>
        <w:rPr>
          <w:rFonts w:eastAsia="Times New Roman"/>
        </w:rPr>
        <w:t>FarmIQ follows a layered arc</w:t>
      </w:r>
      <w:r>
        <w:rPr>
          <w:rFonts w:eastAsia="Times New Roman"/>
        </w:rPr>
        <w:t>hitecture: a Progressive Web Application frontend (Django templates, server-rendered, enhanced with a service worker for offline caching and an IndexedDB-backed offline submission queue); an application layer of role-gated Django views and forms; a service</w:t>
      </w:r>
      <w:r>
        <w:rPr>
          <w:rFonts w:eastAsia="Times New Roman"/>
        </w:rPr>
        <w:t xml:space="preserve"> layer implementing business logic, machine learning, and Hedera integration; a data layer (SQLite in development, managed PostgreSQL in production); and three external integration surfaces (Hedera Hashgraph for blockchain anchoring and token minting, the </w:t>
      </w:r>
      <w:r>
        <w:rPr>
          <w:rFonts w:eastAsia="Times New Roman"/>
        </w:rPr>
        <w:t>Meta WhatsApp Cloud API and Web Push for notifications, and TomTom Maps for field-boundary rendering). Section 4.4 presents this architecture in full detail.</w:t>
      </w:r>
    </w:p>
    <w:p w:rsidR="000216F0" w:rsidRDefault="0030472D">
      <w:pPr>
        <w:pStyle w:val="Heading3"/>
        <w:spacing w:before="320" w:after="160"/>
      </w:pPr>
      <w:bookmarkStart w:id="52" w:name="_Toc240737100"/>
      <w:r>
        <w:rPr>
          <w:rFonts w:ascii="Times New Roman" w:eastAsia="Times New Roman" w:hAnsi="Times New Roman"/>
          <w:color w:val="334155"/>
          <w:sz w:val="25"/>
        </w:rPr>
        <w:t>3.5.4 Activity Diagram</w:t>
      </w:r>
      <w:bookmarkEnd w:id="52"/>
    </w:p>
    <w:p w:rsidR="000216F0" w:rsidRDefault="0030472D">
      <w:pPr>
        <w:jc w:val="both"/>
      </w:pPr>
      <w:r>
        <w:rPr>
          <w:rFonts w:eastAsia="Times New Roman"/>
        </w:rPr>
        <w:t>The representative activity flow for a farm worker's daily use of the syste</w:t>
      </w:r>
      <w:r>
        <w:rPr>
          <w:rFonts w:eastAsia="Times New Roman"/>
        </w:rPr>
        <w:t>m is: log in via a farm-scoped, passwordless one-time-password flow; record a milk or feeding entry (queued locally and synchronised automatically if offline); the entry updates the relevant inventory stock movement and feeds the milk-yield model's next pr</w:t>
      </w:r>
      <w:r>
        <w:rPr>
          <w:rFonts w:eastAsia="Times New Roman"/>
        </w:rPr>
        <w:t>ediction; if the worker's logged records are later batch-rewarded by a manager, a FIQ token mint is triggered and anchored; and the farm's credit-scoring engine, when next recomputed, incorporates the resulting production-consistency and FIQ-diversity sign</w:t>
      </w:r>
      <w:r>
        <w:rPr>
          <w:rFonts w:eastAsia="Times New Roman"/>
        </w:rPr>
        <w:t>als into the farm's score.</w:t>
      </w:r>
    </w:p>
    <w:p w:rsidR="000216F0" w:rsidRDefault="0030472D">
      <w:pPr>
        <w:pStyle w:val="Heading2"/>
        <w:spacing w:before="320" w:after="160"/>
      </w:pPr>
      <w:bookmarkStart w:id="53" w:name="_Toc240737101"/>
      <w:r>
        <w:rPr>
          <w:rFonts w:ascii="Times New Roman" w:eastAsia="Times New Roman" w:hAnsi="Times New Roman"/>
          <w:color w:val="1E3A5F"/>
          <w:sz w:val="28"/>
        </w:rPr>
        <w:t>3.6 Deliverables</w:t>
      </w:r>
      <w:bookmarkEnd w:id="53"/>
    </w:p>
    <w:p w:rsidR="000216F0" w:rsidRDefault="0030472D">
      <w:pPr>
        <w:jc w:val="both"/>
      </w:pPr>
      <w:r>
        <w:rPr>
          <w:rFonts w:eastAsia="Times New Roman"/>
        </w:rPr>
        <w:t>FarmIQ's development produced the following deliverables:</w:t>
      </w:r>
    </w:p>
    <w:p w:rsidR="000216F0" w:rsidRDefault="0030472D">
      <w:pPr>
        <w:jc w:val="both"/>
      </w:pPr>
      <w:r>
        <w:rPr>
          <w:rFonts w:eastAsia="Times New Roman"/>
          <w:b/>
        </w:rPr>
        <w:t>A production Django web application</w:t>
      </w:r>
      <w:r>
        <w:rPr>
          <w:rFonts w:eastAsia="Times New Roman"/>
        </w:rPr>
        <w:t xml:space="preserve"> comprising seventeen integrated applications covering farm and role management, herd and crop record-keeping, finance </w:t>
      </w:r>
      <w:r>
        <w:rPr>
          <w:rFonts w:eastAsia="Times New Roman"/>
        </w:rPr>
        <w:t xml:space="preserve">and inventory tracking, task management, GPS field mapping, a rule-based insights engine, </w:t>
      </w:r>
      <w:r>
        <w:rPr>
          <w:rFonts w:eastAsia="Times New Roman"/>
        </w:rPr>
        <w:lastRenderedPageBreak/>
        <w:t>and public farm micro-sites, deployed as a Progressive Web Application with offline-first data capture.</w:t>
      </w:r>
    </w:p>
    <w:p w:rsidR="000216F0" w:rsidRDefault="0030472D">
      <w:pPr>
        <w:jc w:val="both"/>
      </w:pPr>
      <w:r>
        <w:rPr>
          <w:rFonts w:eastAsia="Times New Roman"/>
          <w:b/>
        </w:rPr>
        <w:t>Two machine learning subsystems</w:t>
      </w:r>
      <w:r>
        <w:rPr>
          <w:rFonts w:eastAsia="Times New Roman"/>
        </w:rPr>
        <w:t>: an on-demand ridge regression</w:t>
      </w:r>
      <w:r>
        <w:rPr>
          <w:rFonts w:eastAsia="Times New Roman"/>
        </w:rPr>
        <w:t xml:space="preserve"> milk-yield predictor with exact, closed-form feature-level explainability at cow, block, and farm scope; and an unsupervised, population-relative alternative credit-scoring engine (PCA + K-means) with equivalent exact explainability and a deterministic fa</w:t>
      </w:r>
      <w:r>
        <w:rPr>
          <w:rFonts w:eastAsia="Times New Roman"/>
        </w:rPr>
        <w:t>llback for small peer populations.</w:t>
      </w:r>
    </w:p>
    <w:p w:rsidR="000216F0" w:rsidRDefault="0030472D">
      <w:pPr>
        <w:jc w:val="both"/>
      </w:pPr>
      <w:r>
        <w:rPr>
          <w:rFonts w:eastAsia="Times New Roman"/>
          <w:b/>
        </w:rPr>
        <w:t>A blockchain integration layer</w:t>
      </w:r>
      <w:r>
        <w:rPr>
          <w:rFonts w:eastAsia="Times New Roman"/>
        </w:rPr>
        <w:t xml:space="preserve"> built on Hedera Hashgraph, minting non-fungible tokens for cow and harvest registrations, a fungible FIQ reward token for logging activity and completing tasks, and anchoring content hashes </w:t>
      </w:r>
      <w:r>
        <w:rPr>
          <w:rFonts w:eastAsia="Times New Roman"/>
        </w:rPr>
        <w:t>of predictions, financial transactions, and credit-score snapshots to the Hedera Consensus Service.</w:t>
      </w:r>
    </w:p>
    <w:p w:rsidR="000216F0" w:rsidRDefault="0030472D">
      <w:pPr>
        <w:jc w:val="both"/>
      </w:pPr>
      <w:r>
        <w:rPr>
          <w:rFonts w:eastAsia="Times New Roman"/>
          <w:b/>
        </w:rPr>
        <w:t>A multi-channel notification system</w:t>
      </w:r>
      <w:r>
        <w:rPr>
          <w:rFonts w:eastAsia="Times New Roman"/>
        </w:rPr>
        <w:t xml:space="preserve"> spanning in-app activity feeds, Web Push, and WhatsApp Cloud API delivery, with user-level delivery preferences.</w:t>
      </w:r>
    </w:p>
    <w:p w:rsidR="000216F0" w:rsidRDefault="0030472D">
      <w:pPr>
        <w:jc w:val="both"/>
      </w:pPr>
      <w:r>
        <w:rPr>
          <w:rFonts w:eastAsia="Times New Roman"/>
          <w:b/>
        </w:rPr>
        <w:t>Automat</w:t>
      </w:r>
      <w:r>
        <w:rPr>
          <w:rFonts w:eastAsia="Times New Roman"/>
          <w:b/>
        </w:rPr>
        <w:t>ed test suites</w:t>
      </w:r>
      <w:r>
        <w:rPr>
          <w:rFonts w:eastAsia="Times New Roman"/>
        </w:rPr>
        <w:t xml:space="preserve"> across the majority of the codebase's applications, exercised and reported in Chapter 6.</w:t>
      </w:r>
    </w:p>
    <w:p w:rsidR="000216F0" w:rsidRDefault="0030472D">
      <w:pPr>
        <w:jc w:val="both"/>
      </w:pPr>
      <w:r>
        <w:rPr>
          <w:rFonts w:eastAsia="Times New Roman"/>
          <w:b/>
        </w:rPr>
        <w:t>This project documentation</w:t>
      </w:r>
      <w:r>
        <w:rPr>
          <w:rFonts w:eastAsia="Times New Roman"/>
        </w:rPr>
        <w:t>, covering the system's background, literature grounding, methodology, analysis and design, implementation, and evaluation.</w:t>
      </w:r>
    </w:p>
    <w:p w:rsidR="000216F0" w:rsidRDefault="0030472D">
      <w:pPr>
        <w:pStyle w:val="Heading2"/>
        <w:spacing w:before="320" w:after="160"/>
      </w:pPr>
      <w:bookmarkStart w:id="54" w:name="_Toc240737102"/>
      <w:r>
        <w:rPr>
          <w:rFonts w:ascii="Times New Roman" w:eastAsia="Times New Roman" w:hAnsi="Times New Roman"/>
          <w:color w:val="1E3A5F"/>
          <w:sz w:val="28"/>
        </w:rPr>
        <w:t>3.</w:t>
      </w:r>
      <w:r>
        <w:rPr>
          <w:rFonts w:ascii="Times New Roman" w:eastAsia="Times New Roman" w:hAnsi="Times New Roman"/>
          <w:color w:val="1E3A5F"/>
          <w:sz w:val="28"/>
        </w:rPr>
        <w:t>7 Tools and Techniques</w:t>
      </w:r>
      <w:bookmarkEnd w:id="54"/>
    </w:p>
    <w:p w:rsidR="000216F0" w:rsidRDefault="0030472D">
      <w:pPr>
        <w:jc w:val="both"/>
      </w:pPr>
      <w:r>
        <w:rPr>
          <w:rFonts w:eastAsia="Times New Roman"/>
          <w:b/>
        </w:rPr>
        <w:t>Backend framework.</w:t>
      </w:r>
      <w:r>
        <w:rPr>
          <w:rFonts w:eastAsia="Times New Roman"/>
        </w:rPr>
        <w:t xml:space="preserve"> Django 5.2.17 with a custom, email-first, passwordless-authentication user model (`accounts.User`), django-environ for environment-based settings management, django-countries for structured country fields, and psyc</w:t>
      </w:r>
      <w:r>
        <w:rPr>
          <w:rFonts w:eastAsia="Times New Roman"/>
        </w:rPr>
        <w:t>opg for PostgreSQL connectivity in production.</w:t>
      </w:r>
    </w:p>
    <w:p w:rsidR="000216F0" w:rsidRDefault="0030472D">
      <w:pPr>
        <w:jc w:val="both"/>
      </w:pPr>
      <w:r>
        <w:rPr>
          <w:rFonts w:eastAsia="Times New Roman"/>
          <w:b/>
        </w:rPr>
        <w:t>Machine learning.</w:t>
      </w:r>
      <w:r>
        <w:rPr>
          <w:rFonts w:eastAsia="Times New Roman"/>
        </w:rPr>
        <w:t xml:space="preserve"> scikit-learn 1.9.0 supplies both `Ridge` regression (milk-yield prediction) and `PCA`/`KMeans` (credit scoring); numpy underlies all numeric computation, including a deliberate hand-rolled pe</w:t>
      </w:r>
      <w:r>
        <w:rPr>
          <w:rFonts w:eastAsia="Times New Roman"/>
        </w:rPr>
        <w:t>rcentile-rank and coefficient-of-variation implementation in place of scipy's equivalents, to keep the analytics apps' dependency footprint minimal.</w:t>
      </w:r>
    </w:p>
    <w:p w:rsidR="000216F0" w:rsidRDefault="0030472D">
      <w:pPr>
        <w:jc w:val="both"/>
      </w:pPr>
      <w:r>
        <w:rPr>
          <w:rFonts w:eastAsia="Times New Roman"/>
          <w:b/>
        </w:rPr>
        <w:lastRenderedPageBreak/>
        <w:t>Blockchain.</w:t>
      </w:r>
      <w:r>
        <w:rPr>
          <w:rFonts w:eastAsia="Times New Roman"/>
        </w:rPr>
        <w:t xml:space="preserve"> The `hiero-sdk-python` (Hiero/Hedera Python SDK) provides programmatic access to Hedera Token S</w:t>
      </w:r>
      <w:r>
        <w:rPr>
          <w:rFonts w:eastAsia="Times New Roman"/>
        </w:rPr>
        <w:t>ervice (NFT and fungible-token minting) and Hedera Consensus Service (hash anchoring), operated against the Hedera testnet during development.</w:t>
      </w:r>
    </w:p>
    <w:p w:rsidR="000216F0" w:rsidRDefault="0030472D">
      <w:pPr>
        <w:jc w:val="both"/>
      </w:pPr>
      <w:r>
        <w:rPr>
          <w:rFonts w:eastAsia="Times New Roman"/>
          <w:b/>
        </w:rPr>
        <w:t>Frontend and PWA.</w:t>
      </w:r>
      <w:r>
        <w:rPr>
          <w:rFonts w:eastAsia="Times New Roman"/>
        </w:rPr>
        <w:t xml:space="preserve"> Server-rendered Django templates styled with Tailwind CSS utility classes, progressively enhanc</w:t>
      </w:r>
      <w:r>
        <w:rPr>
          <w:rFonts w:eastAsia="Times New Roman"/>
        </w:rPr>
        <w:t>ed with a custom service worker (network-first caching strategy, deliberately not cache-first, so that a live farm-records application always shows fresh data when online) and an IndexedDB-backed offline submission queue (`static/js/offline-queue.js`) that</w:t>
      </w:r>
      <w:r>
        <w:rPr>
          <w:rFonts w:eastAsia="Times New Roman"/>
        </w:rPr>
        <w:t xml:space="preserve"> is the platform's primary offline mechanism, given that the Background Sync API it also registers as a secondary path has no support in Safari/iOS.</w:t>
      </w:r>
    </w:p>
    <w:p w:rsidR="000216F0" w:rsidRDefault="0030472D">
      <w:pPr>
        <w:jc w:val="both"/>
      </w:pPr>
      <w:r>
        <w:rPr>
          <w:rFonts w:eastAsia="Times New Roman"/>
          <w:b/>
        </w:rPr>
        <w:t>Notifications.</w:t>
      </w:r>
      <w:r>
        <w:rPr>
          <w:rFonts w:eastAsia="Times New Roman"/>
        </w:rPr>
        <w:t xml:space="preserve"> The official Meta WhatsApp Cloud API for WhatsApp delivery, `pywebpush` and VAPID key-pairs </w:t>
      </w:r>
      <w:r>
        <w:rPr>
          <w:rFonts w:eastAsia="Times New Roman"/>
        </w:rPr>
        <w:t>for Web Push, and ZeptoMail (via standard SMTP) for transactional email in production.</w:t>
      </w:r>
    </w:p>
    <w:p w:rsidR="000216F0" w:rsidRDefault="0030472D">
      <w:pPr>
        <w:jc w:val="both"/>
      </w:pPr>
      <w:r>
        <w:rPr>
          <w:rFonts w:eastAsia="Times New Roman"/>
          <w:b/>
        </w:rPr>
        <w:t>Reporting and export.</w:t>
      </w:r>
      <w:r>
        <w:rPr>
          <w:rFonts w:eastAsia="Times New Roman"/>
        </w:rPr>
        <w:t xml:space="preserve"> `openpyxl` for styled XLSX export, `reportlab` for branded PDF export, and Python's standard `csv` module for CSV export, all three built from one </w:t>
      </w:r>
      <w:r>
        <w:rPr>
          <w:rFonts w:eastAsia="Times New Roman"/>
        </w:rPr>
        <w:t>shared report-aggregation function to guarantee the export formats never disagree with one another.</w:t>
      </w:r>
    </w:p>
    <w:p w:rsidR="000216F0" w:rsidRDefault="0030472D">
      <w:pPr>
        <w:jc w:val="both"/>
      </w:pPr>
      <w:r>
        <w:rPr>
          <w:rFonts w:eastAsia="Times New Roman"/>
          <w:b/>
        </w:rPr>
        <w:t>Mapping.</w:t>
      </w:r>
      <w:r>
        <w:rPr>
          <w:rFonts w:eastAsia="Times New Roman"/>
        </w:rPr>
        <w:t xml:space="preserve"> MapLibre GL JS on the frontend with a TomTom Maps Maker custom vector style for GPS field-boundary drawing, and a server-side spherical-excess poly</w:t>
      </w:r>
      <w:r>
        <w:rPr>
          <w:rFonts w:eastAsia="Times New Roman"/>
        </w:rPr>
        <w:t>gon area formula (rather than a flat-plane shoelace formula, which drifts inaccurate away from the equator) for computing field area and perimeter.</w:t>
      </w:r>
    </w:p>
    <w:p w:rsidR="000216F0" w:rsidRDefault="0030472D">
      <w:pPr>
        <w:jc w:val="both"/>
      </w:pPr>
      <w:r>
        <w:rPr>
          <w:rFonts w:eastAsia="Times New Roman"/>
          <w:b/>
        </w:rPr>
        <w:t>Testing.</w:t>
      </w:r>
      <w:r>
        <w:rPr>
          <w:rFonts w:eastAsia="Times New Roman"/>
        </w:rPr>
        <w:t xml:space="preserve"> Django's built-in `TestCase`/`Client` framework, used across the majority of the codebase's applica</w:t>
      </w:r>
      <w:r>
        <w:rPr>
          <w:rFonts w:eastAsia="Times New Roman"/>
        </w:rPr>
        <w:t>tions; results are reported in full in Chapter 6.</w:t>
      </w:r>
    </w:p>
    <w:p w:rsidR="000216F0" w:rsidRDefault="0030472D">
      <w:pPr>
        <w:jc w:val="both"/>
      </w:pPr>
      <w:r>
        <w:rPr>
          <w:rFonts w:eastAsia="Times New Roman"/>
          <w:b/>
        </w:rPr>
        <w:t>Deployment infrastructure.</w:t>
      </w:r>
      <w:r>
        <w:rPr>
          <w:rFonts w:eastAsia="Times New Roman"/>
        </w:rPr>
        <w:t xml:space="preserve"> Vercel serverless hosting (explaining the project's consistent avoidance of background workers or scheduled jobs — every analytical feature computes synchronously, on demand, at r</w:t>
      </w:r>
      <w:r>
        <w:rPr>
          <w:rFonts w:eastAsia="Times New Roman"/>
        </w:rPr>
        <w:t xml:space="preserve">equest time), SQLite for local development, </w:t>
      </w:r>
      <w:r>
        <w:rPr>
          <w:rFonts w:eastAsia="Times New Roman"/>
        </w:rPr>
        <w:lastRenderedPageBreak/>
        <w:t>managed PostgreSQL (Neon) in production, and AWS S3 (via django-storages) for production media storage.</w:t>
      </w:r>
    </w:p>
    <w:p w:rsidR="000216F0" w:rsidRDefault="0030472D">
      <w:pPr>
        <w:jc w:val="both"/>
      </w:pPr>
      <w:r>
        <w:rPr>
          <w:rFonts w:eastAsia="Times New Roman"/>
          <w:b/>
        </w:rPr>
        <w:t>Internationalisation.</w:t>
      </w:r>
      <w:r>
        <w:rPr>
          <w:rFonts w:eastAsia="Times New Roman"/>
        </w:rPr>
        <w:t xml:space="preserve"> Django's built-in `gettext`-based translation framework, with English and Kiswahili (`sw`) locales; the Kiswahili translation file comprises over 3,200 lines with approximately 97 percent of extracted strings translated.</w:t>
      </w:r>
    </w:p>
    <w:p w:rsidR="000216F0" w:rsidRDefault="0030472D">
      <w:pPr>
        <w:pStyle w:val="Heading1"/>
        <w:pageBreakBefore/>
        <w:spacing w:before="80" w:after="200"/>
      </w:pPr>
      <w:bookmarkStart w:id="55" w:name="_Toc240737103"/>
      <w:r>
        <w:rPr>
          <w:rFonts w:ascii="Times New Roman" w:eastAsia="Times New Roman" w:hAnsi="Times New Roman"/>
          <w:color w:val="047857"/>
          <w:sz w:val="36"/>
        </w:rPr>
        <w:lastRenderedPageBreak/>
        <w:t xml:space="preserve">Chapter 4: System Analysis and </w:t>
      </w:r>
      <w:r>
        <w:rPr>
          <w:rFonts w:ascii="Times New Roman" w:eastAsia="Times New Roman" w:hAnsi="Times New Roman"/>
          <w:color w:val="047857"/>
          <w:sz w:val="36"/>
        </w:rPr>
        <w:t>Design</w:t>
      </w:r>
      <w:bookmarkEnd w:id="55"/>
    </w:p>
    <w:p w:rsidR="000216F0" w:rsidRDefault="0030472D">
      <w:pPr>
        <w:pStyle w:val="Heading2"/>
        <w:spacing w:before="320" w:after="160"/>
      </w:pPr>
      <w:bookmarkStart w:id="56" w:name="_Toc240737104"/>
      <w:r>
        <w:rPr>
          <w:rFonts w:ascii="Times New Roman" w:eastAsia="Times New Roman" w:hAnsi="Times New Roman"/>
          <w:color w:val="1E3A5F"/>
          <w:sz w:val="28"/>
        </w:rPr>
        <w:t>4.1 Introduction</w:t>
      </w:r>
      <w:bookmarkEnd w:id="56"/>
    </w:p>
    <w:p w:rsidR="000216F0" w:rsidRDefault="0030472D">
      <w:pPr>
        <w:jc w:val="both"/>
      </w:pPr>
      <w:r>
        <w:rPr>
          <w:rFonts w:eastAsia="Times New Roman"/>
        </w:rPr>
        <w:t>This chapter presents the system analysis and design of FarmIQ, a multi-tenant Progressive Web Application supporting smallholder farm management, predictive analytics, blockchain-anchored trust, and alternative credit scoring. It i</w:t>
      </w:r>
      <w:r>
        <w:rPr>
          <w:rFonts w:eastAsia="Times New Roman"/>
        </w:rPr>
        <w:t>s developed for environments where users may have intermittent connectivity, varying digital literacy, and no dedicated technical administrative staff, and is accordingly designed to be role-aware, explainable, offline-tolerant, and resilient to third-part</w:t>
      </w:r>
      <w:r>
        <w:rPr>
          <w:rFonts w:eastAsia="Times New Roman"/>
        </w:rPr>
        <w:t>y service failure. The chapter presents FarmIQ's functional, non-functional, data, and interface requirements; the system analysis diagrams (context, use case, data flow, activity, and entity-relationship) that model its behaviour and structure; and the sy</w:t>
      </w:r>
      <w:r>
        <w:rPr>
          <w:rFonts w:eastAsia="Times New Roman"/>
        </w:rPr>
        <w:t>stem design (architecture, layered design, workflow, component interaction, role hierarchy, and database schema) that these requirements were translated into.</w:t>
      </w:r>
    </w:p>
    <w:p w:rsidR="000216F0" w:rsidRDefault="0030472D">
      <w:pPr>
        <w:pStyle w:val="Heading2"/>
        <w:spacing w:before="320" w:after="160"/>
      </w:pPr>
      <w:bookmarkStart w:id="57" w:name="_Toc240737105"/>
      <w:r>
        <w:rPr>
          <w:rFonts w:ascii="Times New Roman" w:eastAsia="Times New Roman" w:hAnsi="Times New Roman"/>
          <w:color w:val="1E3A5F"/>
          <w:sz w:val="28"/>
        </w:rPr>
        <w:t>4.2 System Requirements</w:t>
      </w:r>
      <w:bookmarkEnd w:id="57"/>
    </w:p>
    <w:p w:rsidR="000216F0" w:rsidRDefault="0030472D">
      <w:pPr>
        <w:jc w:val="both"/>
      </w:pPr>
      <w:r>
        <w:rPr>
          <w:rFonts w:eastAsia="Times New Roman"/>
        </w:rPr>
        <w:t>FarmIQ's requirements were shaped by the need to support genuine day-to-d</w:t>
      </w:r>
      <w:r>
        <w:rPr>
          <w:rFonts w:eastAsia="Times New Roman"/>
        </w:rPr>
        <w:t>ay farm operation, not only demonstrative functionality, for a user population with limited connectivity and variable digital literacy, while producing analytical outputs (predictions, scores) trustworthy enough to be shared with an external financial data</w:t>
      </w:r>
      <w:r>
        <w:rPr>
          <w:rFonts w:eastAsia="Times New Roman"/>
        </w:rPr>
        <w:t xml:space="preserve"> partner.</w:t>
      </w:r>
    </w:p>
    <w:p w:rsidR="000216F0" w:rsidRDefault="0030472D">
      <w:pPr>
        <w:pStyle w:val="Heading3"/>
        <w:spacing w:before="320" w:after="160"/>
      </w:pPr>
      <w:bookmarkStart w:id="58" w:name="_Toc240737106"/>
      <w:r>
        <w:rPr>
          <w:rFonts w:ascii="Times New Roman" w:eastAsia="Times New Roman" w:hAnsi="Times New Roman"/>
          <w:color w:val="334155"/>
          <w:sz w:val="25"/>
        </w:rPr>
        <w:t>4.2.1 Functional Requirements</w:t>
      </w:r>
      <w:bookmarkEnd w:id="58"/>
    </w:p>
    <w:p w:rsidR="000216F0" w:rsidRDefault="0030472D">
      <w:pPr>
        <w:jc w:val="both"/>
      </w:pPr>
      <w:r>
        <w:rPr>
          <w:rFonts w:eastAsia="Times New Roman"/>
          <w:b/>
        </w:rPr>
        <w:t>Farm and role management.</w:t>
      </w:r>
      <w:r>
        <w:rPr>
          <w:rFonts w:eastAsia="Times New Roman"/>
        </w:rPr>
        <w:t xml:space="preserve"> The system must support multiple farms, each with multiple users holding one of four roles (Farmer/Owner, Manager, Supervisor, Worker), and must restrict actions according to role: only a Fa</w:t>
      </w:r>
      <w:r>
        <w:rPr>
          <w:rFonts w:eastAsia="Times New Roman"/>
        </w:rPr>
        <w:t>rmer may register a new farm; Farmer and Manager may invite and manage workers; Farmer, Manager, and Supervisor may create, edit, and delete herd/crop/finance/inventory records and manage blocks; all four roles, including Worker, may record day-to-day prod</w:t>
      </w:r>
      <w:r>
        <w:rPr>
          <w:rFonts w:eastAsia="Times New Roman"/>
        </w:rPr>
        <w:t>uction data (milk, feeding, harvest, tasks) but Worker may not edit or delete existing records once logged.</w:t>
      </w:r>
    </w:p>
    <w:p w:rsidR="000216F0" w:rsidRDefault="0030472D">
      <w:pPr>
        <w:jc w:val="both"/>
      </w:pPr>
      <w:r>
        <w:rPr>
          <w:rFonts w:eastAsia="Times New Roman"/>
          <w:b/>
        </w:rPr>
        <w:lastRenderedPageBreak/>
        <w:t>Herd management.</w:t>
      </w:r>
      <w:r>
        <w:rPr>
          <w:rFonts w:eastAsia="Times New Roman"/>
        </w:rPr>
        <w:t xml:space="preserve"> The system must allow registration and tracking of individual animals (tag ID, breed, category, block, sire/dam pedigree), daily mi</w:t>
      </w:r>
      <w:r>
        <w:rPr>
          <w:rFonts w:eastAsia="Times New Roman"/>
        </w:rPr>
        <w:t>lk and feeding records, health records and treatment history, weight tracking, and a reproduction/breeding calendar from which calving, dry-off, and next-heat dates are computed.</w:t>
      </w:r>
    </w:p>
    <w:p w:rsidR="000216F0" w:rsidRDefault="0030472D">
      <w:pPr>
        <w:jc w:val="both"/>
      </w:pPr>
      <w:r>
        <w:rPr>
          <w:rFonts w:eastAsia="Times New Roman"/>
          <w:b/>
        </w:rPr>
        <w:t>Crop management.</w:t>
      </w:r>
      <w:r>
        <w:rPr>
          <w:rFonts w:eastAsia="Times New Roman"/>
        </w:rPr>
        <w:t xml:space="preserve"> The system must allow tracking of individual crops from plan</w:t>
      </w:r>
      <w:r>
        <w:rPr>
          <w:rFonts w:eastAsia="Times New Roman"/>
        </w:rPr>
        <w:t>ting through harvest, logging of crop activities (planting, weeding, spraying, fertilising, harvesting), and optional association of a crop with a GPS-surveyed field boundary.</w:t>
      </w:r>
    </w:p>
    <w:p w:rsidR="000216F0" w:rsidRDefault="0030472D">
      <w:pPr>
        <w:jc w:val="both"/>
      </w:pPr>
      <w:r>
        <w:rPr>
          <w:rFonts w:eastAsia="Times New Roman"/>
          <w:b/>
        </w:rPr>
        <w:t>Finance and inventory management.</w:t>
      </w:r>
      <w:r>
        <w:rPr>
          <w:rFonts w:eastAsia="Times New Roman"/>
        </w:rPr>
        <w:t xml:space="preserve"> The system must record income and expense tran</w:t>
      </w:r>
      <w:r>
        <w:rPr>
          <w:rFonts w:eastAsia="Times New Roman"/>
        </w:rPr>
        <w:t>sactions by category, and must track inventory stock levels with automatic, concurrency-safe balance updates driven by milk production, feed usage, and crop harvest events elsewhere in the system.</w:t>
      </w:r>
    </w:p>
    <w:p w:rsidR="000216F0" w:rsidRDefault="0030472D">
      <w:pPr>
        <w:jc w:val="both"/>
      </w:pPr>
      <w:r>
        <w:rPr>
          <w:rFonts w:eastAsia="Times New Roman"/>
          <w:b/>
        </w:rPr>
        <w:t>Production forecasting.</w:t>
      </w:r>
      <w:r>
        <w:rPr>
          <w:rFonts w:eastAsia="Times New Roman"/>
        </w:rPr>
        <w:t xml:space="preserve"> The system must generate an on-dema</w:t>
      </w:r>
      <w:r>
        <w:rPr>
          <w:rFonts w:eastAsia="Times New Roman"/>
        </w:rPr>
        <w:t>nd milk-yield forecast at cow, block, and farm scope from a farm's own recorded data, accompanied by an exact, human-readable explanation of the features driving the forecast.</w:t>
      </w:r>
    </w:p>
    <w:p w:rsidR="000216F0" w:rsidRDefault="0030472D">
      <w:pPr>
        <w:jc w:val="both"/>
      </w:pPr>
      <w:r>
        <w:rPr>
          <w:rFonts w:eastAsia="Times New Roman"/>
          <w:b/>
        </w:rPr>
        <w:t>Alternative credit scoring.</w:t>
      </w:r>
      <w:r>
        <w:rPr>
          <w:rFonts w:eastAsia="Times New Roman"/>
        </w:rPr>
        <w:t xml:space="preserve"> The system must compute an explainable, 0–100 credit</w:t>
      </w:r>
      <w:r>
        <w:rPr>
          <w:rFonts w:eastAsia="Times New Roman"/>
        </w:rPr>
        <w:t xml:space="preserve"> score and tier (Poor/Fair/Good/Excellent) for a farm, ranked against its current eligible peer population where a sufficient population exists, or a deterministic provisional composite otherwise, together with a category-level and feature-level breakdown;</w:t>
      </w:r>
      <w:r>
        <w:rPr>
          <w:rFonts w:eastAsia="Times New Roman"/>
        </w:rPr>
        <w:t xml:space="preserve"> this score must be exposed to consenting external data partners through a dedicated, authenticated, and audit-logged API.</w:t>
      </w:r>
    </w:p>
    <w:p w:rsidR="000216F0" w:rsidRDefault="0030472D">
      <w:pPr>
        <w:jc w:val="both"/>
      </w:pPr>
      <w:r>
        <w:rPr>
          <w:rFonts w:eastAsia="Times New Roman"/>
          <w:b/>
        </w:rPr>
        <w:t>Blockchain-anchored trust and incentives.</w:t>
      </w:r>
      <w:r>
        <w:rPr>
          <w:rFonts w:eastAsia="Times New Roman"/>
        </w:rPr>
        <w:t xml:space="preserve"> The system must mint a non-fungible token on registration of a cow or a harvest event, mint</w:t>
      </w:r>
      <w:r>
        <w:rPr>
          <w:rFonts w:eastAsia="Times New Roman"/>
        </w:rPr>
        <w:t xml:space="preserve"> a fungible FIQ reward token for milk certification and batched worker data-logging rewards, and anchor a content hash of every changed prediction, financial transaction, and credit-score snapshot to a public, timestamped ledger, without ever blocking the </w:t>
      </w:r>
      <w:r>
        <w:rPr>
          <w:rFonts w:eastAsia="Times New Roman"/>
        </w:rPr>
        <w:t>underlying user action if the blockchain service is unavailable.</w:t>
      </w:r>
    </w:p>
    <w:p w:rsidR="000216F0" w:rsidRDefault="0030472D">
      <w:pPr>
        <w:jc w:val="both"/>
      </w:pPr>
      <w:r>
        <w:rPr>
          <w:rFonts w:eastAsia="Times New Roman"/>
          <w:b/>
        </w:rPr>
        <w:lastRenderedPageBreak/>
        <w:t>Notifications.</w:t>
      </w:r>
      <w:r>
        <w:rPr>
          <w:rFonts w:eastAsia="Times New Roman"/>
        </w:rPr>
        <w:t xml:space="preserve"> The system must deliver notifications through an in-app activity feed, Web Push, and WhatsApp, according to each user's own delivery preference, and must degrade gracefully (sk</w:t>
      </w:r>
      <w:r>
        <w:rPr>
          <w:rFonts w:eastAsia="Times New Roman"/>
        </w:rPr>
        <w:t>ip, not fail) if a channel is unconfigured or unreachable.</w:t>
      </w:r>
    </w:p>
    <w:p w:rsidR="000216F0" w:rsidRDefault="0030472D">
      <w:pPr>
        <w:jc w:val="both"/>
      </w:pPr>
      <w:r>
        <w:rPr>
          <w:rFonts w:eastAsia="Times New Roman"/>
          <w:b/>
        </w:rPr>
        <w:t>Reporting.</w:t>
      </w:r>
      <w:r>
        <w:rPr>
          <w:rFonts w:eastAsia="Times New Roman"/>
        </w:rPr>
        <w:t xml:space="preserve"> The system must allow export of farm production, financial, and inventory data as CSV, XLSX, and PDF over daily, monthly, quarterly, and yearly periods, from a single shared data-aggrega</w:t>
      </w:r>
      <w:r>
        <w:rPr>
          <w:rFonts w:eastAsia="Times New Roman"/>
        </w:rPr>
        <w:t>tion function so the three formats cannot disagree.</w:t>
      </w:r>
    </w:p>
    <w:p w:rsidR="000216F0" w:rsidRDefault="0030472D">
      <w:pPr>
        <w:jc w:val="both"/>
      </w:pPr>
      <w:r>
        <w:rPr>
          <w:rFonts w:eastAsia="Times New Roman"/>
          <w:b/>
        </w:rPr>
        <w:t>Offline data capture.</w:t>
      </w:r>
      <w:r>
        <w:rPr>
          <w:rFonts w:eastAsia="Times New Roman"/>
        </w:rPr>
        <w:t xml:space="preserve"> The system must allow a user to submit a production record (such as a milk or feeding entry) while offline, queue it locally, and automatically resubmit it once connectivity returns.</w:t>
      </w:r>
    </w:p>
    <w:p w:rsidR="000216F0" w:rsidRDefault="0030472D">
      <w:pPr>
        <w:pStyle w:val="Heading3"/>
        <w:spacing w:before="320" w:after="160"/>
      </w:pPr>
      <w:bookmarkStart w:id="59" w:name="_Toc240737107"/>
      <w:r>
        <w:rPr>
          <w:rFonts w:ascii="Times New Roman" w:eastAsia="Times New Roman" w:hAnsi="Times New Roman"/>
          <w:color w:val="334155"/>
          <w:sz w:val="25"/>
        </w:rPr>
        <w:t>4.2.2 Non-Functional Requirements</w:t>
      </w:r>
      <w:bookmarkEnd w:id="59"/>
    </w:p>
    <w:p w:rsidR="000216F0" w:rsidRDefault="0030472D">
      <w:pPr>
        <w:jc w:val="both"/>
      </w:pPr>
      <w:r>
        <w:rPr>
          <w:rFonts w:eastAsia="Times New Roman"/>
          <w:b/>
        </w:rPr>
        <w:t>Explainability.</w:t>
      </w:r>
      <w:r>
        <w:rPr>
          <w:rFonts w:eastAsia="Times New Roman"/>
        </w:rPr>
        <w:t xml:space="preserve"> Every automated prediction or score must be accompanied by an exact, independently-recomputable explanation of its contributing features, not merely a confidence value or an approximated explanation.</w:t>
      </w:r>
    </w:p>
    <w:p w:rsidR="000216F0" w:rsidRDefault="0030472D">
      <w:pPr>
        <w:jc w:val="both"/>
      </w:pPr>
      <w:r>
        <w:rPr>
          <w:rFonts w:eastAsia="Times New Roman"/>
          <w:b/>
        </w:rPr>
        <w:t>Resil</w:t>
      </w:r>
      <w:r>
        <w:rPr>
          <w:rFonts w:eastAsia="Times New Roman"/>
          <w:b/>
        </w:rPr>
        <w:t>ience.</w:t>
      </w:r>
      <w:r>
        <w:rPr>
          <w:rFonts w:eastAsia="Times New Roman"/>
        </w:rPr>
        <w:t xml:space="preserve"> Failure of any third-party integration (Hedera, WhatsApp, Web Push, email, weather, mapping) must degrade the specific feature it supports without affecting any other part of the system or raising an unhandled error to the user.</w:t>
      </w:r>
    </w:p>
    <w:p w:rsidR="000216F0" w:rsidRDefault="0030472D">
      <w:pPr>
        <w:jc w:val="both"/>
      </w:pPr>
      <w:r>
        <w:rPr>
          <w:rFonts w:eastAsia="Times New Roman"/>
          <w:b/>
        </w:rPr>
        <w:t>Determinism.</w:t>
      </w:r>
      <w:r>
        <w:rPr>
          <w:rFonts w:eastAsia="Times New Roman"/>
        </w:rPr>
        <w:t xml:space="preserve"> Recompu</w:t>
      </w:r>
      <w:r>
        <w:rPr>
          <w:rFonts w:eastAsia="Times New Roman"/>
        </w:rPr>
        <w:t>ting an unchanged credit-score population, or an unchanged prediction, must produce identical output; blockchain anchoring must occur only when the underlying content has actually changed, to avoid redundant paid transactions.</w:t>
      </w:r>
    </w:p>
    <w:p w:rsidR="000216F0" w:rsidRDefault="0030472D">
      <w:pPr>
        <w:jc w:val="both"/>
      </w:pPr>
      <w:r>
        <w:rPr>
          <w:rFonts w:eastAsia="Times New Roman"/>
          <w:b/>
        </w:rPr>
        <w:t>Accessibility.</w:t>
      </w:r>
      <w:r>
        <w:rPr>
          <w:rFonts w:eastAsia="Times New Roman"/>
        </w:rPr>
        <w:t xml:space="preserve"> The interface </w:t>
      </w:r>
      <w:r>
        <w:rPr>
          <w:rFonts w:eastAsia="Times New Roman"/>
        </w:rPr>
        <w:t>must be usable on low-end mobile devices over an intermittent connection, must function (for data entry) while fully offline, and must be available in both English and Kiswahili.</w:t>
      </w:r>
    </w:p>
    <w:p w:rsidR="000216F0" w:rsidRDefault="0030472D">
      <w:pPr>
        <w:jc w:val="both"/>
      </w:pPr>
      <w:r>
        <w:rPr>
          <w:rFonts w:eastAsia="Times New Roman"/>
          <w:b/>
        </w:rPr>
        <w:t>Security and access control.</w:t>
      </w:r>
      <w:r>
        <w:rPr>
          <w:rFonts w:eastAsia="Times New Roman"/>
        </w:rPr>
        <w:t xml:space="preserve"> Authentication must not depend on a user-managed</w:t>
      </w:r>
      <w:r>
        <w:rPr>
          <w:rFonts w:eastAsia="Times New Roman"/>
        </w:rPr>
        <w:t xml:space="preserve"> password; all data access must be scoped to farms the requesting user is an active member of; and role-based permissions must be enforced centrally rather than duplicated per view.</w:t>
      </w:r>
    </w:p>
    <w:p w:rsidR="000216F0" w:rsidRDefault="0030472D">
      <w:pPr>
        <w:jc w:val="both"/>
      </w:pPr>
      <w:r>
        <w:rPr>
          <w:rFonts w:eastAsia="Times New Roman"/>
          <w:b/>
        </w:rPr>
        <w:lastRenderedPageBreak/>
        <w:t>Data integrity.</w:t>
      </w:r>
      <w:r>
        <w:rPr>
          <w:rFonts w:eastAsia="Times New Roman"/>
        </w:rPr>
        <w:t xml:space="preserve"> Concurrent modification of shared resources (notably inven</w:t>
      </w:r>
      <w:r>
        <w:rPr>
          <w:rFonts w:eastAsia="Times New Roman"/>
        </w:rPr>
        <w:t>tory stock levels) must be protected against lost updates.</w:t>
      </w:r>
    </w:p>
    <w:p w:rsidR="000216F0" w:rsidRDefault="0030472D">
      <w:pPr>
        <w:jc w:val="both"/>
      </w:pPr>
      <w:r>
        <w:rPr>
          <w:rFonts w:eastAsia="Times New Roman"/>
          <w:b/>
        </w:rPr>
        <w:t>Auditability.</w:t>
      </w:r>
      <w:r>
        <w:rPr>
          <w:rFonts w:eastAsia="Times New Roman"/>
        </w:rPr>
        <w:t xml:space="preserve"> A farm's credit-score history must be append-only, never overwritten, so that a lender-facing history can show a score's evolution with every past value provably unaltered.</w:t>
      </w:r>
    </w:p>
    <w:p w:rsidR="000216F0" w:rsidRDefault="0030472D">
      <w:pPr>
        <w:pStyle w:val="Heading3"/>
        <w:spacing w:before="320" w:after="160"/>
      </w:pPr>
      <w:bookmarkStart w:id="60" w:name="_Toc240737108"/>
      <w:r>
        <w:rPr>
          <w:rFonts w:ascii="Times New Roman" w:eastAsia="Times New Roman" w:hAnsi="Times New Roman"/>
          <w:color w:val="334155"/>
          <w:sz w:val="25"/>
        </w:rPr>
        <w:t>4.2.3 Data</w:t>
      </w:r>
      <w:r>
        <w:rPr>
          <w:rFonts w:ascii="Times New Roman" w:eastAsia="Times New Roman" w:hAnsi="Times New Roman"/>
          <w:color w:val="334155"/>
          <w:sz w:val="25"/>
        </w:rPr>
        <w:t xml:space="preserve"> Requirements</w:t>
      </w:r>
      <w:bookmarkEnd w:id="60"/>
    </w:p>
    <w:p w:rsidR="000216F0" w:rsidRDefault="0030472D">
      <w:pPr>
        <w:jc w:val="both"/>
      </w:pPr>
      <w:r>
        <w:rPr>
          <w:rFonts w:eastAsia="Times New Roman"/>
        </w:rPr>
        <w:t xml:space="preserve">Core persisted entities include: `Farm` and `FarmMembership` (multi-tenancy and roles); `Cow`, `MilkRecord`, `FeedingRecord(Cow)`, `CowHealthRecord`, `CowWeightRecord`, `ReproductiveEvent` (herd); `Crop`, `CropActivity`, </w:t>
      </w:r>
      <w:r>
        <w:rPr>
          <w:rFonts w:eastAsia="Times New Roman"/>
        </w:rPr>
        <w:t>`LandParcel` (crops and field mapping); `Transaction` (finance); `InventoryItem`, `StockMovement` (inventory); `Task` (work assignment); `Notification`, `PushSubscription` (notifications); `MilkPrediction` (yield forecasts); `CreditScoreSnapshot`, `DataPar</w:t>
      </w:r>
      <w:r>
        <w:rPr>
          <w:rFonts w:eastAsia="Times New Roman"/>
        </w:rPr>
        <w:t>tner`, `DataShareConsent` (credit scoring); `HederaConfig`, `MilkProductionCertificate`, `FiqLedgerEntry` (blockchain); `FarmInsight` (rule-based insights); and `FarmSite`, `SitePage`, `Product`, `Order` (public micro-sites). Every farm-scoped record carri</w:t>
      </w:r>
      <w:r>
        <w:rPr>
          <w:rFonts w:eastAsia="Times New Roman"/>
        </w:rPr>
        <w:t>es a foreign key to `Farm` (directly or transitively), and every analytical or trust-bearing record (`MilkPrediction`, `Transaction`, `CreditScoreSnapshot`) carries a `content_hash` and the corresponding Hedera anchoring metadata (`hedera_topic_id`, `heder</w:t>
      </w:r>
      <w:r>
        <w:rPr>
          <w:rFonts w:eastAsia="Times New Roman"/>
        </w:rPr>
        <w:t>a_sequence_number`, `hedera_consensus_timestamp`).</w:t>
      </w:r>
    </w:p>
    <w:p w:rsidR="000216F0" w:rsidRDefault="0030472D">
      <w:pPr>
        <w:pStyle w:val="Heading3"/>
        <w:spacing w:before="320" w:after="160"/>
      </w:pPr>
      <w:bookmarkStart w:id="61" w:name="_Toc240737109"/>
      <w:r>
        <w:rPr>
          <w:rFonts w:ascii="Times New Roman" w:eastAsia="Times New Roman" w:hAnsi="Times New Roman"/>
          <w:color w:val="334155"/>
          <w:sz w:val="25"/>
        </w:rPr>
        <w:t>4.2.4 Interface and Integration Requirements</w:t>
      </w:r>
      <w:bookmarkEnd w:id="61"/>
    </w:p>
    <w:p w:rsidR="000216F0" w:rsidRDefault="0030472D">
      <w:pPr>
        <w:jc w:val="both"/>
      </w:pPr>
      <w:r>
        <w:rPr>
          <w:rFonts w:eastAsia="Times New Roman"/>
          <w:b/>
        </w:rPr>
        <w:t>Frontend interface.</w:t>
      </w:r>
      <w:r>
        <w:rPr>
          <w:rFonts w:eastAsia="Times New Roman"/>
        </w:rPr>
        <w:t xml:space="preserve"> The system must be delivered as a Progressive Web Application, installable to a device home screen, with an app-shell service worker providing offline availability of the interface itself and an IndexedDB-backed queue providing offline availability of dat</w:t>
      </w:r>
      <w:r>
        <w:rPr>
          <w:rFonts w:eastAsia="Times New Roman"/>
        </w:rPr>
        <w:t>a entry.</w:t>
      </w:r>
    </w:p>
    <w:p w:rsidR="000216F0" w:rsidRDefault="0030472D">
      <w:pPr>
        <w:jc w:val="both"/>
      </w:pPr>
      <w:r>
        <w:rPr>
          <w:rFonts w:eastAsia="Times New Roman"/>
          <w:b/>
        </w:rPr>
        <w:t>Hedera integration.</w:t>
      </w:r>
      <w:r>
        <w:rPr>
          <w:rFonts w:eastAsia="Times New Roman"/>
        </w:rPr>
        <w:t xml:space="preserve"> The system must integrate with Hedera Token Service for NFT and fungible-token minting and Hedera Consensus Service for hash anchoring, treating the blockchain as a best-effort trust layer rather than a system of record — the u</w:t>
      </w:r>
      <w:r>
        <w:rPr>
          <w:rFonts w:eastAsia="Times New Roman"/>
        </w:rPr>
        <w:t>nderlying database remains authoritative at all times.</w:t>
      </w:r>
    </w:p>
    <w:p w:rsidR="000216F0" w:rsidRDefault="0030472D">
      <w:pPr>
        <w:jc w:val="both"/>
      </w:pPr>
      <w:r>
        <w:rPr>
          <w:rFonts w:eastAsia="Times New Roman"/>
          <w:b/>
        </w:rPr>
        <w:lastRenderedPageBreak/>
        <w:t>WhatsApp integration.</w:t>
      </w:r>
      <w:r>
        <w:rPr>
          <w:rFonts w:eastAsia="Times New Roman"/>
        </w:rPr>
        <w:t xml:space="preserve"> The system must integrate with the Meta WhatsApp Cloud API for outbound notification delivery, respecting the platform's 24-hour free-form messaging window.</w:t>
      </w:r>
    </w:p>
    <w:p w:rsidR="000216F0" w:rsidRDefault="0030472D">
      <w:pPr>
        <w:jc w:val="both"/>
      </w:pPr>
      <w:r>
        <w:rPr>
          <w:rFonts w:eastAsia="Times New Roman"/>
          <w:b/>
        </w:rPr>
        <w:t>Mapping integration.</w:t>
      </w:r>
      <w:r>
        <w:rPr>
          <w:rFonts w:eastAsia="Times New Roman"/>
        </w:rPr>
        <w:t xml:space="preserve"> T</w:t>
      </w:r>
      <w:r>
        <w:rPr>
          <w:rFonts w:eastAsia="Times New Roman"/>
        </w:rPr>
        <w:t>he system must integrate with TomTom Maps for rendering and capturing GPS field boundaries, with area and perimeter computed server-side (never trusting a client-submitted value) using a spherical-excess formula appropriate to Kenya's equatorial location.</w:t>
      </w:r>
    </w:p>
    <w:p w:rsidR="000216F0" w:rsidRDefault="0030472D">
      <w:pPr>
        <w:jc w:val="both"/>
      </w:pPr>
      <w:r>
        <w:rPr>
          <w:rFonts w:eastAsia="Times New Roman"/>
          <w:b/>
        </w:rPr>
        <w:t>Email integration.</w:t>
      </w:r>
      <w:r>
        <w:rPr>
          <w:rFonts w:eastAsia="Times New Roman"/>
        </w:rPr>
        <w:t xml:space="preserve"> The system must integrate with a transactional email provider (ZeptoMail in production) for one-time-password delivery and report emailing, with a console-only fallback in development.</w:t>
      </w:r>
    </w:p>
    <w:p w:rsidR="000216F0" w:rsidRDefault="0030472D">
      <w:pPr>
        <w:pStyle w:val="Heading2"/>
        <w:spacing w:before="320" w:after="160"/>
      </w:pPr>
      <w:bookmarkStart w:id="62" w:name="_Toc240737110"/>
      <w:r>
        <w:rPr>
          <w:rFonts w:ascii="Times New Roman" w:eastAsia="Times New Roman" w:hAnsi="Times New Roman"/>
          <w:color w:val="1E3A5F"/>
          <w:sz w:val="28"/>
        </w:rPr>
        <w:t>4.3 System Analysis Diagrams</w:t>
      </w:r>
      <w:bookmarkEnd w:id="62"/>
    </w:p>
    <w:p w:rsidR="000216F0" w:rsidRDefault="0030472D">
      <w:pPr>
        <w:pStyle w:val="Heading3"/>
        <w:spacing w:before="320" w:after="160"/>
      </w:pPr>
      <w:bookmarkStart w:id="63" w:name="_Toc240737111"/>
      <w:r>
        <w:rPr>
          <w:rFonts w:ascii="Times New Roman" w:eastAsia="Times New Roman" w:hAnsi="Times New Roman"/>
          <w:color w:val="334155"/>
          <w:sz w:val="25"/>
        </w:rPr>
        <w:t>4.3.1 Context Diagram</w:t>
      </w:r>
      <w:bookmarkEnd w:id="63"/>
    </w:p>
    <w:p w:rsidR="000216F0" w:rsidRDefault="0030472D">
      <w:pPr>
        <w:jc w:val="both"/>
      </w:pPr>
      <w:r>
        <w:rPr>
          <w:rFonts w:eastAsia="Times New Roman"/>
        </w:rPr>
        <w:t>A</w:t>
      </w:r>
      <w:r>
        <w:rPr>
          <w:rFonts w:eastAsia="Times New Roman"/>
        </w:rPr>
        <w:t xml:space="preserve">t the highest level, FarmIQ sits between four categories of external entity: farm users (Farmer, Manager, Supervisor, Worker) interacting through the PWA; platform administrators managing the system independently of any single farm; external data partners </w:t>
      </w:r>
      <w:r>
        <w:rPr>
          <w:rFonts w:eastAsia="Times New Roman"/>
        </w:rPr>
        <w:t>(SACCOs, microfinance institutions, insurers) consuming the credit-scoring API under farm-granted consent; and third-party services (Hedera Hashgraph, Meta WhatsApp Cloud API, TomTom Maps, a transactional email provider, and a weather data provider) that F</w:t>
      </w:r>
      <w:r>
        <w:rPr>
          <w:rFonts w:eastAsia="Times New Roman"/>
        </w:rPr>
        <w:t>armIQ integrates with but does not depend on for core operation. This context establishes that FarmIQ is not an isolated record-keeping tool but an integrated information system whose value — particularly its credit-scoring output — is partly realised thro</w:t>
      </w:r>
      <w:r>
        <w:rPr>
          <w:rFonts w:eastAsia="Times New Roman"/>
        </w:rPr>
        <w:t>ugh consumption by parties outside the farm itself.</w:t>
      </w:r>
    </w:p>
    <w:p w:rsidR="000216F0" w:rsidRDefault="0030472D">
      <w:pPr>
        <w:pStyle w:val="Heading3"/>
        <w:spacing w:before="320" w:after="160"/>
      </w:pPr>
      <w:bookmarkStart w:id="64" w:name="_Toc240737112"/>
      <w:r>
        <w:rPr>
          <w:rFonts w:ascii="Times New Roman" w:eastAsia="Times New Roman" w:hAnsi="Times New Roman"/>
          <w:color w:val="334155"/>
          <w:sz w:val="25"/>
        </w:rPr>
        <w:t>4.3.2 Use Case Diagram</w:t>
      </w:r>
      <w:bookmarkEnd w:id="64"/>
    </w:p>
    <w:p w:rsidR="000216F0" w:rsidRDefault="0030472D">
      <w:pPr>
        <w:jc w:val="both"/>
      </w:pPr>
      <w:r>
        <w:rPr>
          <w:rFonts w:eastAsia="Times New Roman"/>
        </w:rPr>
        <w:t>The primary use cases per actor are as follows. The Farmer's use cases are a superset of the Manager's, which are a superset of the Supervisor's, which are a superset of the Worker'</w:t>
      </w:r>
      <w:r>
        <w:rPr>
          <w:rFonts w:eastAsia="Times New Roman"/>
        </w:rPr>
        <w:t xml:space="preserve">s, reflecting the nested permission hierarchy detailed in Section 4.4.5: all four roles can record production data and view their own farm's dashboard; Supervisor and </w:t>
      </w:r>
      <w:r>
        <w:rPr>
          <w:rFonts w:eastAsia="Times New Roman"/>
        </w:rPr>
        <w:lastRenderedPageBreak/>
        <w:t>above can edit/delete records and manage blocks; Manager and above can manage workers and</w:t>
      </w:r>
      <w:r>
        <w:rPr>
          <w:rFonts w:eastAsia="Times New Roman"/>
        </w:rPr>
        <w:t xml:space="preserve"> trigger batched FIQ rewards; only the Farmer can register a new farm or delete the account. A separate, non-overlapping Platform Administrator actor manages cross-farm concerns (user administration, platform-wide monitoring) independently of the farm-role</w:t>
      </w:r>
      <w:r>
        <w:rPr>
          <w:rFonts w:eastAsia="Times New Roman"/>
        </w:rPr>
        <w:t xml:space="preserve"> hierarchy. A Data Partner actor, external to any farm, has exactly one use case: retrieve a consented farm's credit score via the authenticated API.</w:t>
      </w:r>
    </w:p>
    <w:p w:rsidR="000216F0" w:rsidRDefault="0030472D">
      <w:pPr>
        <w:pStyle w:val="Heading3"/>
        <w:spacing w:before="320" w:after="160"/>
      </w:pPr>
      <w:bookmarkStart w:id="65" w:name="_Toc240737113"/>
      <w:r>
        <w:rPr>
          <w:rFonts w:ascii="Times New Roman" w:eastAsia="Times New Roman" w:hAnsi="Times New Roman"/>
          <w:color w:val="334155"/>
          <w:sz w:val="25"/>
        </w:rPr>
        <w:t>4.3.3 Data Flow Diagram</w:t>
      </w:r>
      <w:bookmarkEnd w:id="65"/>
    </w:p>
    <w:p w:rsidR="000216F0" w:rsidRDefault="0030472D">
      <w:pPr>
        <w:jc w:val="both"/>
      </w:pPr>
      <w:r>
        <w:rPr>
          <w:rFonts w:eastAsia="Times New Roman"/>
        </w:rPr>
        <w:t>The dominant data flow pattern in FarmIQ is request-time computation rather than a</w:t>
      </w:r>
      <w:r>
        <w:rPr>
          <w:rFonts w:eastAsia="Times New Roman"/>
        </w:rPr>
        <w:t xml:space="preserve"> persisted pipeline: a user's request for a predictions or credit-score page triggers the corresponding service to read current farm records directly from the database, compute a result (fitting a ridge regression model, or standardising and reducing the p</w:t>
      </w:r>
      <w:r>
        <w:rPr>
          <w:rFonts w:eastAsia="Times New Roman"/>
        </w:rPr>
        <w:t>eer population via PCA/K-means), persist the result, hash-diff it against the previous stored result, and — only if the hash differs — submit a hash-anchoring transaction to Hedera before rendering the page. Record-entry flows (a milk record, a crop activi</w:t>
      </w:r>
      <w:r>
        <w:rPr>
          <w:rFonts w:eastAsia="Times New Roman"/>
        </w:rPr>
        <w:t>ty, a transaction) similarly cascade synchronously: creating a `MilkRecord` triggers an inventory stock movement and feeds the next yield prediction; creating a harvesting `CropActivity` triggers both a stock movement and (if configured) an NFT mint; and a</w:t>
      </w:r>
      <w:r>
        <w:rPr>
          <w:rFonts w:eastAsia="Times New Roman"/>
        </w:rPr>
        <w:t xml:space="preserve"> targeted `Notification` triggers, in the same request, an in-app row, a Web Push send, and — if the recipient has opted in — a WhatsApp message, each independently best-effort.</w:t>
      </w:r>
    </w:p>
    <w:p w:rsidR="000216F0" w:rsidRDefault="0030472D">
      <w:pPr>
        <w:pStyle w:val="Heading3"/>
        <w:spacing w:before="320" w:after="160"/>
      </w:pPr>
      <w:bookmarkStart w:id="66" w:name="_Toc240737114"/>
      <w:r>
        <w:rPr>
          <w:rFonts w:ascii="Times New Roman" w:eastAsia="Times New Roman" w:hAnsi="Times New Roman"/>
          <w:color w:val="334155"/>
          <w:sz w:val="25"/>
        </w:rPr>
        <w:t>4.3.4 Activity Diagram</w:t>
      </w:r>
      <w:bookmarkEnd w:id="66"/>
    </w:p>
    <w:p w:rsidR="000216F0" w:rsidRDefault="0030472D">
      <w:pPr>
        <w:jc w:val="both"/>
      </w:pPr>
      <w:r>
        <w:rPr>
          <w:rFonts w:eastAsia="Times New Roman"/>
        </w:rPr>
        <w:t>The representative activity flow for the credit-scoring</w:t>
      </w:r>
      <w:r>
        <w:rPr>
          <w:rFonts w:eastAsia="Times New Roman"/>
        </w:rPr>
        <w:t xml:space="preserve"> engine is: a Farmer, Manager, or Supervisor triggers a recompute; the system determines the farm's eligible peer population (farms at least thirty days old with at least five records across production, finance, and task activity); if the population is bel</w:t>
      </w:r>
      <w:r>
        <w:rPr>
          <w:rFonts w:eastAsia="Times New Roman"/>
        </w:rPr>
        <w:t>ow eight farms, a provisional composite score is computed directly from the farm's own imputed features; otherwise, the full population matrix is standardised, reduced via PCA to a percentile-ranked composite score, and clustered via K-means into a discret</w:t>
      </w:r>
      <w:r>
        <w:rPr>
          <w:rFonts w:eastAsia="Times New Roman"/>
        </w:rPr>
        <w:t xml:space="preserve">e tier; the resulting snapshot is hashed and compared to the farm's previous snapshot; if the hash differs, a new, permanent `CreditScoreSnapshot` row is created and a hash-anchoring transaction is submitted to </w:t>
      </w:r>
      <w:r>
        <w:rPr>
          <w:rFonts w:eastAsia="Times New Roman"/>
        </w:rPr>
        <w:lastRenderedPageBreak/>
        <w:t xml:space="preserve">Hedera; the score, tier, category breakdown, </w:t>
      </w:r>
      <w:r>
        <w:rPr>
          <w:rFonts w:eastAsia="Times New Roman"/>
        </w:rPr>
        <w:t>and plain-language explanation are then rendered to the user.</w:t>
      </w:r>
    </w:p>
    <w:p w:rsidR="000216F0" w:rsidRDefault="0030472D">
      <w:pPr>
        <w:pStyle w:val="Heading3"/>
        <w:spacing w:before="320" w:after="160"/>
      </w:pPr>
      <w:bookmarkStart w:id="67" w:name="_Toc240737115"/>
      <w:r>
        <w:rPr>
          <w:rFonts w:ascii="Times New Roman" w:eastAsia="Times New Roman" w:hAnsi="Times New Roman"/>
          <w:color w:val="334155"/>
          <w:sz w:val="25"/>
        </w:rPr>
        <w:t>4.3.5 Entity Relationship Diagram</w:t>
      </w:r>
      <w:bookmarkEnd w:id="67"/>
    </w:p>
    <w:p w:rsidR="000216F0" w:rsidRDefault="0030472D">
      <w:pPr>
        <w:jc w:val="both"/>
      </w:pPr>
      <w:r>
        <w:rPr>
          <w:rFonts w:eastAsia="Times New Roman"/>
        </w:rPr>
        <w:t xml:space="preserve">The core entity relationships are as follows. `Farm` is the central multi-tenancy entity, related one-to-many to `FarmMembership` (through which `User` relates </w:t>
      </w:r>
      <w:r>
        <w:rPr>
          <w:rFonts w:eastAsia="Times New Roman"/>
        </w:rPr>
        <w:t>many-to-many to `Farm`, with a role per membership), and related one-to-many to every domain model (`Cow`, `Crop`, `Transaction`, `InventoryItem`, `Task`, `LandParcel`, `MilkPrediction`, `CreditScoreSnapshot`, `FiqLedgerEntry`, `Notification`). Second-leve</w:t>
      </w:r>
      <w:r>
        <w:rPr>
          <w:rFonts w:eastAsia="Times New Roman"/>
        </w:rPr>
        <w:t>l relationships include `Cow`→`MilkRecord`/`FeedingRecordCow`/`CowHealthRecord`/`CowWeightRecord`/`ReproductiveEvent`, `Crop`→`CropActivity`, and `InventoryItem`→`StockMovement`. Cross-app relationships bind the system's newer features to its core: `Crop.l</w:t>
      </w:r>
      <w:r>
        <w:rPr>
          <w:rFonts w:eastAsia="Times New Roman"/>
        </w:rPr>
        <w:t>and_parcel` references `geomap.LandParcel`; `CreditScoreSnapshot`'s underlying feature computation reads from `finance.Transaction`, `cows.MilkRecord`, `crops.CropActivity`, `tasks.Task`, and `blockchain.FiqLedgerEntry` without a direct foreign key (a read</w:t>
      </w:r>
      <w:r>
        <w:rPr>
          <w:rFonts w:eastAsia="Times New Roman"/>
        </w:rPr>
        <w:t>-time aggregation, not a stored relationship); and `blockchain.HederaConfig` is referenced indirectly by every anchoring-capable model through the shared `blockchain.services.anchor_hash` function rather than a foreign key.</w:t>
      </w:r>
    </w:p>
    <w:p w:rsidR="000216F0" w:rsidRDefault="0030472D">
      <w:pPr>
        <w:pStyle w:val="Heading2"/>
        <w:spacing w:before="320" w:after="160"/>
      </w:pPr>
      <w:bookmarkStart w:id="68" w:name="_Toc240737116"/>
      <w:r>
        <w:rPr>
          <w:rFonts w:ascii="Times New Roman" w:eastAsia="Times New Roman" w:hAnsi="Times New Roman"/>
          <w:color w:val="1E3A5F"/>
          <w:sz w:val="28"/>
        </w:rPr>
        <w:t>4.4 System Design</w:t>
      </w:r>
      <w:bookmarkEnd w:id="68"/>
    </w:p>
    <w:p w:rsidR="000216F0" w:rsidRDefault="0030472D">
      <w:pPr>
        <w:pStyle w:val="Heading3"/>
        <w:spacing w:before="320" w:after="160"/>
      </w:pPr>
      <w:bookmarkStart w:id="69" w:name="_Toc240737117"/>
      <w:r>
        <w:rPr>
          <w:rFonts w:ascii="Times New Roman" w:eastAsia="Times New Roman" w:hAnsi="Times New Roman"/>
          <w:color w:val="334155"/>
          <w:sz w:val="25"/>
        </w:rPr>
        <w:t>4.4.1 High-Lev</w:t>
      </w:r>
      <w:r>
        <w:rPr>
          <w:rFonts w:ascii="Times New Roman" w:eastAsia="Times New Roman" w:hAnsi="Times New Roman"/>
          <w:color w:val="334155"/>
          <w:sz w:val="25"/>
        </w:rPr>
        <w:t>el System Architecture Diagram</w:t>
      </w:r>
      <w:bookmarkEnd w:id="69"/>
    </w:p>
    <w:p w:rsidR="000216F0" w:rsidRDefault="0030472D">
      <w:pPr>
        <w:jc w:val="both"/>
      </w:pPr>
      <w:r>
        <w:rPr>
          <w:rFonts w:eastAsia="Times New Roman"/>
        </w:rPr>
        <w:t>FarmIQ's high-level architecture (Figure 4.3) comprises five interacting layers: a Progressive Web Application frontend; an application layer of role-gated Django views; a service layer implementing business logic, machine le</w:t>
      </w:r>
      <w:r>
        <w:rPr>
          <w:rFonts w:eastAsia="Times New Roman"/>
        </w:rPr>
        <w:t>arning, and third-party integration; a data layer (relational database); and an external integration layer (Hedera, WhatsApp, Web Push, TomTom Maps, email, weather). This separation keeps each layer responsible only for the concern it is best suited to: th</w:t>
      </w:r>
      <w:r>
        <w:rPr>
          <w:rFonts w:eastAsia="Times New Roman"/>
        </w:rPr>
        <w:t xml:space="preserve">e frontend for interaction and offline resilience, the application layer for request handling and permission enforcement, the service layer </w:t>
      </w:r>
      <w:r>
        <w:rPr>
          <w:rFonts w:eastAsia="Times New Roman"/>
        </w:rPr>
        <w:lastRenderedPageBreak/>
        <w:t>for business rules and computation, the data layer for persistence, and the integration layer for best-effort commun</w:t>
      </w:r>
      <w:r>
        <w:rPr>
          <w:rFonts w:eastAsia="Times New Roman"/>
        </w:rPr>
        <w:t>ication with systems FarmIQ does not control.</w:t>
      </w:r>
    </w:p>
    <w:p w:rsidR="000216F0" w:rsidRDefault="0030472D">
      <w:pPr>
        <w:spacing w:before="200"/>
        <w:jc w:val="center"/>
      </w:pPr>
      <w:r>
        <w:rPr>
          <w:noProof/>
        </w:rPr>
        <w:drawing>
          <wp:inline distT="0" distB="0" distL="0" distR="0">
            <wp:extent cx="5486400" cy="3989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7"/>
                    <a:stretch>
                      <a:fillRect/>
                    </a:stretch>
                  </pic:blipFill>
                  <pic:spPr>
                    <a:xfrm>
                      <a:off x="0" y="0"/>
                      <a:ext cx="5486400" cy="3989088"/>
                    </a:xfrm>
                    <a:prstGeom prst="rect">
                      <a:avLst/>
                    </a:prstGeom>
                  </pic:spPr>
                </pic:pic>
              </a:graphicData>
            </a:graphic>
          </wp:inline>
        </w:drawing>
      </w:r>
    </w:p>
    <w:p w:rsidR="000216F0" w:rsidRDefault="0030472D">
      <w:pPr>
        <w:spacing w:after="280"/>
        <w:jc w:val="center"/>
      </w:pPr>
      <w:r>
        <w:rPr>
          <w:rFonts w:eastAsia="Times New Roman"/>
          <w:b/>
          <w:i/>
          <w:sz w:val="21"/>
        </w:rPr>
        <w:t>Figure 4.3: FarmIQ High-Level System Architecture</w:t>
      </w:r>
    </w:p>
    <w:p w:rsidR="000216F0" w:rsidRDefault="0030472D">
      <w:pPr>
        <w:pStyle w:val="Heading3"/>
        <w:spacing w:before="320" w:after="160"/>
      </w:pPr>
      <w:bookmarkStart w:id="70" w:name="_Toc240737118"/>
      <w:r>
        <w:rPr>
          <w:rFonts w:ascii="Times New Roman" w:eastAsia="Times New Roman" w:hAnsi="Times New Roman"/>
          <w:color w:val="334155"/>
          <w:sz w:val="25"/>
        </w:rPr>
        <w:t>4.4.2 Layered System Design</w:t>
      </w:r>
      <w:bookmarkEnd w:id="70"/>
    </w:p>
    <w:p w:rsidR="000216F0" w:rsidRDefault="0030472D">
      <w:pPr>
        <w:jc w:val="both"/>
      </w:pPr>
      <w:r>
        <w:rPr>
          <w:rFonts w:eastAsia="Times New Roman"/>
        </w:rPr>
        <w:t xml:space="preserve">Each of FarmIQ's seventeen Django applications follows the same internal layering: models define persisted state; a `services.py` </w:t>
      </w:r>
      <w:r>
        <w:rPr>
          <w:rFonts w:eastAsia="Times New Roman"/>
        </w:rPr>
        <w:t>(or, for the analytics apps, a dedicated `ml/`, `scoring.py`, `features.py`, `explain.py` module set) implements business logic and computation independent of any HTTP concern; views translate requests into service calls, enforcing permissions via decorato</w:t>
      </w:r>
      <w:r>
        <w:rPr>
          <w:rFonts w:eastAsia="Times New Roman"/>
        </w:rPr>
        <w:t>rs from the centralised `farms.permissions` module before any business logic executes; and templates render the result. This consistent layering is what allows five newer applications (blockchain, creditscore, geomap, insights, website) to integrate cleanl</w:t>
      </w:r>
      <w:r>
        <w:rPr>
          <w:rFonts w:eastAsia="Times New Roman"/>
        </w:rPr>
        <w:t>y with twelve pre-existing ones without modifying their internal structure — each new application's service layer simply reads from the established models of the apps it depends on.</w:t>
      </w:r>
    </w:p>
    <w:p w:rsidR="000216F0" w:rsidRDefault="0030472D">
      <w:pPr>
        <w:pStyle w:val="Heading3"/>
        <w:spacing w:before="320" w:after="160"/>
      </w:pPr>
      <w:bookmarkStart w:id="71" w:name="_Toc240737119"/>
      <w:r>
        <w:rPr>
          <w:rFonts w:ascii="Times New Roman" w:eastAsia="Times New Roman" w:hAnsi="Times New Roman"/>
          <w:color w:val="334155"/>
          <w:sz w:val="25"/>
        </w:rPr>
        <w:lastRenderedPageBreak/>
        <w:t>4.4.3 System Workflow Diagram</w:t>
      </w:r>
      <w:bookmarkEnd w:id="71"/>
    </w:p>
    <w:p w:rsidR="000216F0" w:rsidRDefault="0030472D">
      <w:pPr>
        <w:jc w:val="both"/>
      </w:pPr>
      <w:r>
        <w:rPr>
          <w:rFonts w:eastAsia="Times New Roman"/>
        </w:rPr>
        <w:t xml:space="preserve">The end-to-end workflow for a typical </w:t>
      </w:r>
      <w:r>
        <w:rPr>
          <w:rFonts w:eastAsia="Times New Roman"/>
        </w:rPr>
        <w:t xml:space="preserve">production day is: a Worker logs milk and feeding records (queued offline if necessary); these records update inventory stock and accumulate toward the yield model's feature set; a Supervisor reviews the day's records and, if satisfied, a Manager triggers </w:t>
      </w:r>
      <w:r>
        <w:rPr>
          <w:rFonts w:eastAsia="Times New Roman"/>
        </w:rPr>
        <w:t>a batched FIQ reward for the Worker's logged data; periodically, a Farmer views the predictions dashboard, triggering a fresh yield forecast and its Hedera anchoring; and, at a lower frequency (since it is heavier and carries a real, if small, Hedera fee),</w:t>
      </w:r>
      <w:r>
        <w:rPr>
          <w:rFonts w:eastAsia="Times New Roman"/>
        </w:rPr>
        <w:t xml:space="preserve"> the Farmer or Manager triggers a credit-score recompute, whose result becomes visible both to the farm and, where consent has been granted, to an external data partner via the API.</w:t>
      </w:r>
    </w:p>
    <w:p w:rsidR="000216F0" w:rsidRDefault="0030472D">
      <w:pPr>
        <w:pStyle w:val="Heading3"/>
        <w:spacing w:before="320" w:after="160"/>
      </w:pPr>
      <w:bookmarkStart w:id="72" w:name="_Toc240737120"/>
      <w:r>
        <w:rPr>
          <w:rFonts w:ascii="Times New Roman" w:eastAsia="Times New Roman" w:hAnsi="Times New Roman"/>
          <w:color w:val="334155"/>
          <w:sz w:val="25"/>
        </w:rPr>
        <w:t>4.4.4 Component Interaction Diagram</w:t>
      </w:r>
      <w:bookmarkEnd w:id="72"/>
    </w:p>
    <w:p w:rsidR="000216F0" w:rsidRDefault="0030472D">
      <w:pPr>
        <w:jc w:val="both"/>
      </w:pPr>
      <w:r>
        <w:rPr>
          <w:rFonts w:eastAsia="Times New Roman"/>
        </w:rPr>
        <w:t>Three shared, cross-cutting services a</w:t>
      </w:r>
      <w:r>
        <w:rPr>
          <w:rFonts w:eastAsia="Times New Roman"/>
        </w:rPr>
        <w:t>re consumed uniformly by multiple otherwise-independent applications: `farms.permissions` (RBAC decorators, consumed by cows, crops, finance, inventory, tasks, creditscore, geomap, and analysis views under locally-aliased names such as `manage_records_requ</w:t>
      </w:r>
      <w:r>
        <w:rPr>
          <w:rFonts w:eastAsia="Times New Roman"/>
        </w:rPr>
        <w:t xml:space="preserve">ired`); `blockchain.services` (content-hashing and Hedera anchoring, consumed by analysis, finance, and creditscore); and `notifications.services.notify` (multi-channel dispatch, consumed throughout the codebase wherever a user-visible event occurs). This </w:t>
      </w:r>
      <w:r>
        <w:rPr>
          <w:rFonts w:eastAsia="Times New Roman"/>
        </w:rPr>
        <w:t>component structure means a change to the permission model, the anchoring convention, or the notification channels need only be made once, in the owning service, rather than once per consuming application.</w:t>
      </w:r>
    </w:p>
    <w:p w:rsidR="000216F0" w:rsidRDefault="0030472D">
      <w:pPr>
        <w:pStyle w:val="Heading3"/>
        <w:spacing w:before="320" w:after="160"/>
      </w:pPr>
      <w:bookmarkStart w:id="73" w:name="_Toc240737121"/>
      <w:r>
        <w:rPr>
          <w:rFonts w:ascii="Times New Roman" w:eastAsia="Times New Roman" w:hAnsi="Times New Roman"/>
          <w:color w:val="334155"/>
          <w:sz w:val="25"/>
        </w:rPr>
        <w:t>4.4.5 Role Hierarchy and Access Control Design</w:t>
      </w:r>
      <w:bookmarkEnd w:id="73"/>
    </w:p>
    <w:p w:rsidR="000216F0" w:rsidRDefault="0030472D">
      <w:pPr>
        <w:jc w:val="both"/>
      </w:pPr>
      <w:r>
        <w:rPr>
          <w:rFonts w:eastAsia="Times New Roman"/>
        </w:rPr>
        <w:t>Far</w:t>
      </w:r>
      <w:r>
        <w:rPr>
          <w:rFonts w:eastAsia="Times New Roman"/>
        </w:rPr>
        <w:t>mIQ's role-based access control is defined as a small set of boolean properties on `FarmMembership`, evaluated against four ordered roles — Farmer (Owner) ⊃ Manager ⊃ Supervisor ⊃ Worker — where each named permission is granted to a role and every role abo</w:t>
      </w:r>
      <w:r>
        <w:rPr>
          <w:rFonts w:eastAsia="Times New Roman"/>
        </w:rPr>
        <w:t xml:space="preserve">ve it in ownership terms, except that "edit or delete an existing record" and "view analytics/reports" are both withheld from Worker specifically (a Worker may create new </w:t>
      </w:r>
      <w:r>
        <w:rPr>
          <w:rFonts w:eastAsia="Times New Roman"/>
        </w:rPr>
        <w:lastRenderedPageBreak/>
        <w:t>records but never modify or remove existing ones, and sees data-entry surfaces rather</w:t>
      </w:r>
      <w:r>
        <w:rPr>
          <w:rFonts w:eastAsia="Times New Roman"/>
        </w:rPr>
        <w:t xml:space="preserve"> than analytical ones). Figure 4.4 presents this hierarchy.</w:t>
      </w:r>
    </w:p>
    <w:p w:rsidR="000216F0" w:rsidRDefault="0030472D">
      <w:pPr>
        <w:spacing w:before="200"/>
        <w:jc w:val="center"/>
      </w:pPr>
      <w:r>
        <w:rPr>
          <w:noProof/>
        </w:rPr>
        <w:drawing>
          <wp:inline distT="0" distB="0" distL="0" distR="0">
            <wp:extent cx="5486400" cy="3769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le_hierarchy.png"/>
                    <pic:cNvPicPr/>
                  </pic:nvPicPr>
                  <pic:blipFill>
                    <a:blip r:embed="rId8"/>
                    <a:stretch>
                      <a:fillRect/>
                    </a:stretch>
                  </pic:blipFill>
                  <pic:spPr>
                    <a:xfrm>
                      <a:off x="0" y="0"/>
                      <a:ext cx="5486400" cy="3769507"/>
                    </a:xfrm>
                    <a:prstGeom prst="rect">
                      <a:avLst/>
                    </a:prstGeom>
                  </pic:spPr>
                </pic:pic>
              </a:graphicData>
            </a:graphic>
          </wp:inline>
        </w:drawing>
      </w:r>
    </w:p>
    <w:p w:rsidR="000216F0" w:rsidRDefault="0030472D">
      <w:pPr>
        <w:spacing w:after="280"/>
        <w:jc w:val="center"/>
      </w:pPr>
      <w:r>
        <w:rPr>
          <w:rFonts w:eastAsia="Times New Roman"/>
          <w:b/>
          <w:i/>
          <w:sz w:val="21"/>
        </w:rPr>
        <w:t>Figure 4.4: FarmIQ Role Hierarchy and Permissions</w:t>
      </w:r>
    </w:p>
    <w:p w:rsidR="000216F0" w:rsidRDefault="0030472D">
      <w:pPr>
        <w:jc w:val="both"/>
      </w:pPr>
      <w:r>
        <w:rPr>
          <w:rFonts w:eastAsia="Times New Roman"/>
        </w:rPr>
        <w:t>A small, explicit `ASSIGNABLE_ROLES` mapping further restricts who may invite whom: a Farmer may invite a Manager, Supervisor, or Worker; a Mana</w:t>
      </w:r>
      <w:r>
        <w:rPr>
          <w:rFonts w:eastAsia="Times New Roman"/>
        </w:rPr>
        <w:t>ger may invite only a Supervisor or Worker; Supervisor and Worker cannot invite anyone. This design centralises what would otherwise be scattered permission checks into a single, testable source of truth, consumed by every application through a small famil</w:t>
      </w:r>
      <w:r>
        <w:rPr>
          <w:rFonts w:eastAsia="Times New Roman"/>
        </w:rPr>
        <w:t>y of decorator factories.</w:t>
      </w:r>
    </w:p>
    <w:p w:rsidR="000216F0" w:rsidRDefault="0030472D">
      <w:pPr>
        <w:pStyle w:val="Heading3"/>
        <w:spacing w:before="320" w:after="160"/>
      </w:pPr>
      <w:bookmarkStart w:id="74" w:name="_Toc240737122"/>
      <w:r>
        <w:rPr>
          <w:rFonts w:ascii="Times New Roman" w:eastAsia="Times New Roman" w:hAnsi="Times New Roman"/>
          <w:color w:val="334155"/>
          <w:sz w:val="25"/>
        </w:rPr>
        <w:t>4.4.6 Integration Design Diagram</w:t>
      </w:r>
      <w:bookmarkEnd w:id="74"/>
    </w:p>
    <w:p w:rsidR="000216F0" w:rsidRDefault="0030472D">
      <w:pPr>
        <w:jc w:val="both"/>
      </w:pPr>
      <w:r>
        <w:rPr>
          <w:rFonts w:eastAsia="Times New Roman"/>
        </w:rPr>
        <w:t xml:space="preserve">External integrations follow a uniform best-effort pattern regardless of which service is involved: a service-layer function attempts the integration (minting a token, anchoring a hash, </w:t>
      </w:r>
      <w:r>
        <w:rPr>
          <w:rFonts w:eastAsia="Times New Roman"/>
        </w:rPr>
        <w:t xml:space="preserve">sending a WhatsApp message, sending a push notification, geocoding a farm, fetching weather data), catches any failure internally, logs it, and returns `None` or </w:t>
      </w:r>
      <w:r>
        <w:rPr>
          <w:rFonts w:eastAsia="Times New Roman"/>
        </w:rPr>
        <w:lastRenderedPageBreak/>
        <w:t>otherwise no-ops, so that the calling code path — which always persists the primary database r</w:t>
      </w:r>
      <w:r>
        <w:rPr>
          <w:rFonts w:eastAsia="Times New Roman"/>
        </w:rPr>
        <w:t>ecord first — never fails or blocks because a third-party service is slow, misconfigured, or down. This pattern is applied identically across Hedera, WhatsApp, Web Push, and email integrations, and is directly verified for the Hedera case in the test suite</w:t>
      </w:r>
      <w:r>
        <w:rPr>
          <w:rFonts w:eastAsia="Times New Roman"/>
        </w:rPr>
        <w:t xml:space="preserve"> (Section 6.5).</w:t>
      </w:r>
    </w:p>
    <w:p w:rsidR="000216F0" w:rsidRDefault="0030472D">
      <w:pPr>
        <w:pStyle w:val="Heading2"/>
        <w:spacing w:before="320" w:after="160"/>
      </w:pPr>
      <w:bookmarkStart w:id="75" w:name="_Toc240737123"/>
      <w:r>
        <w:rPr>
          <w:rFonts w:ascii="Times New Roman" w:eastAsia="Times New Roman" w:hAnsi="Times New Roman"/>
          <w:color w:val="1E3A5F"/>
          <w:sz w:val="28"/>
        </w:rPr>
        <w:t>4.5 Database Schema</w:t>
      </w:r>
      <w:bookmarkEnd w:id="75"/>
    </w:p>
    <w:p w:rsidR="000216F0" w:rsidRDefault="0030472D">
      <w:pPr>
        <w:jc w:val="both"/>
      </w:pPr>
      <w:r>
        <w:rPr>
          <w:rFonts w:eastAsia="Times New Roman"/>
        </w:rPr>
        <w:t>The database schema spans seventeen Django applications' models. Table 4.1 summarises the core tables most relevant to FarmIQ's distinguishing capabilities (production forecasting, credit scoring, and blockchain anchorin</w:t>
      </w:r>
      <w:r>
        <w:rPr>
          <w:rFonts w:eastAsia="Times New Roman"/>
        </w:rPr>
        <w:t>g); the complete schema, including the full herd, crop, finance, inventory, task, and notification tables, follows the entity relationships described in Section 4.3.5.</w:t>
      </w:r>
    </w:p>
    <w:tbl>
      <w:tblPr>
        <w:tblStyle w:val="TableGrid"/>
        <w:tblW w:w="0" w:type="auto"/>
        <w:jc w:val="center"/>
        <w:tblLook w:val="04A0" w:firstRow="1" w:lastRow="0" w:firstColumn="1" w:lastColumn="0" w:noHBand="0" w:noVBand="1"/>
      </w:tblPr>
      <w:tblGrid>
        <w:gridCol w:w="2880"/>
        <w:gridCol w:w="2880"/>
        <w:gridCol w:w="2880"/>
      </w:tblGrid>
      <w:tr w:rsidR="000216F0">
        <w:trPr>
          <w:jc w:val="center"/>
        </w:trPr>
        <w:tc>
          <w:tcPr>
            <w:tcW w:w="2880" w:type="dxa"/>
            <w:shd w:val="clear" w:color="auto" w:fill="D1FAE5"/>
          </w:tcPr>
          <w:p w:rsidR="000216F0" w:rsidRDefault="0030472D">
            <w:r>
              <w:rPr>
                <w:rFonts w:eastAsia="Times New Roman"/>
                <w:b/>
                <w:sz w:val="20"/>
              </w:rPr>
              <w:t>Table</w:t>
            </w:r>
          </w:p>
        </w:tc>
        <w:tc>
          <w:tcPr>
            <w:tcW w:w="2880" w:type="dxa"/>
            <w:shd w:val="clear" w:color="auto" w:fill="D1FAE5"/>
          </w:tcPr>
          <w:p w:rsidR="000216F0" w:rsidRDefault="0030472D">
            <w:r>
              <w:rPr>
                <w:rFonts w:eastAsia="Times New Roman"/>
                <w:b/>
                <w:sz w:val="20"/>
              </w:rPr>
              <w:t>Key fields</w:t>
            </w:r>
          </w:p>
        </w:tc>
        <w:tc>
          <w:tcPr>
            <w:tcW w:w="2880" w:type="dxa"/>
            <w:shd w:val="clear" w:color="auto" w:fill="D1FAE5"/>
          </w:tcPr>
          <w:p w:rsidR="000216F0" w:rsidRDefault="0030472D">
            <w:r>
              <w:rPr>
                <w:rFonts w:eastAsia="Times New Roman"/>
                <w:b/>
                <w:sz w:val="20"/>
              </w:rPr>
              <w:t>Relationships</w:t>
            </w:r>
          </w:p>
        </w:tc>
      </w:tr>
      <w:tr w:rsidR="000216F0">
        <w:trPr>
          <w:jc w:val="center"/>
        </w:trPr>
        <w:tc>
          <w:tcPr>
            <w:tcW w:w="2880" w:type="dxa"/>
          </w:tcPr>
          <w:p w:rsidR="000216F0" w:rsidRDefault="0030472D">
            <w:r>
              <w:rPr>
                <w:rFonts w:eastAsia="Times New Roman"/>
                <w:sz w:val="19"/>
              </w:rPr>
              <w:t>farms_farm</w:t>
            </w:r>
          </w:p>
        </w:tc>
        <w:tc>
          <w:tcPr>
            <w:tcW w:w="2880" w:type="dxa"/>
          </w:tcPr>
          <w:p w:rsidR="000216F0" w:rsidRDefault="0030472D">
            <w:r>
              <w:rPr>
                <w:rFonts w:eastAsia="Times New Roman"/>
                <w:sz w:val="19"/>
              </w:rPr>
              <w:t>id, name, code (unique), owner_id, county, la</w:t>
            </w:r>
            <w:r>
              <w:rPr>
                <w:rFonts w:eastAsia="Times New Roman"/>
                <w:sz w:val="19"/>
              </w:rPr>
              <w:t>titude, longitude</w:t>
            </w:r>
          </w:p>
        </w:tc>
        <w:tc>
          <w:tcPr>
            <w:tcW w:w="2880" w:type="dxa"/>
          </w:tcPr>
          <w:p w:rsidR="000216F0" w:rsidRDefault="0030472D">
            <w:r>
              <w:rPr>
                <w:rFonts w:eastAsia="Times New Roman"/>
                <w:sz w:val="19"/>
              </w:rPr>
              <w:t>owner → accounts_user</w:t>
            </w:r>
          </w:p>
        </w:tc>
      </w:tr>
      <w:tr w:rsidR="000216F0">
        <w:trPr>
          <w:jc w:val="center"/>
        </w:trPr>
        <w:tc>
          <w:tcPr>
            <w:tcW w:w="2880" w:type="dxa"/>
          </w:tcPr>
          <w:p w:rsidR="000216F0" w:rsidRDefault="0030472D">
            <w:r>
              <w:rPr>
                <w:rFonts w:eastAsia="Times New Roman"/>
                <w:sz w:val="19"/>
              </w:rPr>
              <w:t>farms_farmmembership</w:t>
            </w:r>
          </w:p>
        </w:tc>
        <w:tc>
          <w:tcPr>
            <w:tcW w:w="2880" w:type="dxa"/>
          </w:tcPr>
          <w:p w:rsidR="000216F0" w:rsidRDefault="0030472D">
            <w:r>
              <w:rPr>
                <w:rFonts w:eastAsia="Times New Roman"/>
                <w:sz w:val="19"/>
              </w:rPr>
              <w:t>id, user_id, farm_id, role, status</w:t>
            </w:r>
          </w:p>
        </w:tc>
        <w:tc>
          <w:tcPr>
            <w:tcW w:w="2880" w:type="dxa"/>
          </w:tcPr>
          <w:p w:rsidR="000216F0" w:rsidRDefault="0030472D">
            <w:r>
              <w:rPr>
                <w:rFonts w:eastAsia="Times New Roman"/>
                <w:sz w:val="19"/>
              </w:rPr>
              <w:t>unique(user, farm); user → accounts_user; farm → farms_farm</w:t>
            </w:r>
          </w:p>
        </w:tc>
      </w:tr>
      <w:tr w:rsidR="000216F0">
        <w:trPr>
          <w:jc w:val="center"/>
        </w:trPr>
        <w:tc>
          <w:tcPr>
            <w:tcW w:w="2880" w:type="dxa"/>
          </w:tcPr>
          <w:p w:rsidR="000216F0" w:rsidRDefault="0030472D">
            <w:r>
              <w:rPr>
                <w:rFonts w:eastAsia="Times New Roman"/>
                <w:sz w:val="19"/>
              </w:rPr>
              <w:t>cows_cow</w:t>
            </w:r>
          </w:p>
        </w:tc>
        <w:tc>
          <w:tcPr>
            <w:tcW w:w="2880" w:type="dxa"/>
          </w:tcPr>
          <w:p w:rsidR="000216F0" w:rsidRDefault="0030472D">
            <w:r>
              <w:rPr>
                <w:rFonts w:eastAsia="Times New Roman"/>
                <w:sz w:val="19"/>
              </w:rPr>
              <w:t xml:space="preserve">id, farm_id, block_id, tag_id, category, last_calving_date, </w:t>
            </w:r>
            <w:r>
              <w:rPr>
                <w:rFonts w:eastAsia="Times New Roman"/>
                <w:sz w:val="19"/>
              </w:rPr>
              <w:t>hedera_token_id</w:t>
            </w:r>
          </w:p>
        </w:tc>
        <w:tc>
          <w:tcPr>
            <w:tcW w:w="2880" w:type="dxa"/>
          </w:tcPr>
          <w:p w:rsidR="000216F0" w:rsidRDefault="0030472D">
            <w:r>
              <w:rPr>
                <w:rFonts w:eastAsia="Times New Roman"/>
                <w:sz w:val="19"/>
              </w:rPr>
              <w:t>farm → farms_farm; sire/dam → self</w:t>
            </w:r>
          </w:p>
        </w:tc>
      </w:tr>
      <w:tr w:rsidR="000216F0">
        <w:trPr>
          <w:jc w:val="center"/>
        </w:trPr>
        <w:tc>
          <w:tcPr>
            <w:tcW w:w="2880" w:type="dxa"/>
          </w:tcPr>
          <w:p w:rsidR="000216F0" w:rsidRDefault="0030472D">
            <w:r>
              <w:rPr>
                <w:rFonts w:eastAsia="Times New Roman"/>
                <w:sz w:val="19"/>
              </w:rPr>
              <w:t>cows_milkrecord</w:t>
            </w:r>
          </w:p>
        </w:tc>
        <w:tc>
          <w:tcPr>
            <w:tcW w:w="2880" w:type="dxa"/>
          </w:tcPr>
          <w:p w:rsidR="000216F0" w:rsidRDefault="0030472D">
            <w:r>
              <w:rPr>
                <w:rFonts w:eastAsia="Times New Roman"/>
                <w:sz w:val="19"/>
              </w:rPr>
              <w:t>id, cow_id, date, session, liters</w:t>
            </w:r>
          </w:p>
        </w:tc>
        <w:tc>
          <w:tcPr>
            <w:tcW w:w="2880" w:type="dxa"/>
          </w:tcPr>
          <w:p w:rsidR="000216F0" w:rsidRDefault="0030472D">
            <w:r>
              <w:rPr>
                <w:rFonts w:eastAsia="Times New Roman"/>
                <w:sz w:val="19"/>
              </w:rPr>
              <w:t>cow → cows_cow</w:t>
            </w:r>
          </w:p>
        </w:tc>
      </w:tr>
      <w:tr w:rsidR="000216F0">
        <w:trPr>
          <w:jc w:val="center"/>
        </w:trPr>
        <w:tc>
          <w:tcPr>
            <w:tcW w:w="2880" w:type="dxa"/>
          </w:tcPr>
          <w:p w:rsidR="000216F0" w:rsidRDefault="0030472D">
            <w:r>
              <w:rPr>
                <w:rFonts w:eastAsia="Times New Roman"/>
                <w:sz w:val="19"/>
              </w:rPr>
              <w:t>analysis_milkprediction</w:t>
            </w:r>
          </w:p>
        </w:tc>
        <w:tc>
          <w:tcPr>
            <w:tcW w:w="2880" w:type="dxa"/>
          </w:tcPr>
          <w:p w:rsidR="000216F0" w:rsidRDefault="0030472D">
            <w:r>
              <w:rPr>
                <w:rFonts w:eastAsia="Times New Roman"/>
                <w:sz w:val="19"/>
              </w:rPr>
              <w:t>id, farm_id, scope, cow_id, block_id, predicted_date, predicted_liters, contributions (JSON), content_hash, hedera</w:t>
            </w:r>
            <w:r>
              <w:rPr>
                <w:rFonts w:eastAsia="Times New Roman"/>
                <w:sz w:val="19"/>
              </w:rPr>
              <w:t>_topic_id, hedera_sequence_number</w:t>
            </w:r>
          </w:p>
        </w:tc>
        <w:tc>
          <w:tcPr>
            <w:tcW w:w="2880" w:type="dxa"/>
          </w:tcPr>
          <w:p w:rsidR="000216F0" w:rsidRDefault="0030472D">
            <w:r>
              <w:rPr>
                <w:rFonts w:eastAsia="Times New Roman"/>
                <w:sz w:val="19"/>
              </w:rPr>
              <w:t>unique(farm, scope, cow, block, predicted_date)</w:t>
            </w:r>
          </w:p>
        </w:tc>
      </w:tr>
      <w:tr w:rsidR="000216F0">
        <w:trPr>
          <w:jc w:val="center"/>
        </w:trPr>
        <w:tc>
          <w:tcPr>
            <w:tcW w:w="2880" w:type="dxa"/>
          </w:tcPr>
          <w:p w:rsidR="000216F0" w:rsidRDefault="0030472D">
            <w:r>
              <w:rPr>
                <w:rFonts w:eastAsia="Times New Roman"/>
                <w:sz w:val="19"/>
              </w:rPr>
              <w:t>creditscore_creditscoresnapshot</w:t>
            </w:r>
          </w:p>
        </w:tc>
        <w:tc>
          <w:tcPr>
            <w:tcW w:w="2880" w:type="dxa"/>
          </w:tcPr>
          <w:p w:rsidR="000216F0" w:rsidRDefault="0030472D">
            <w:r>
              <w:rPr>
                <w:rFonts w:eastAsia="Times New Roman"/>
                <w:sz w:val="19"/>
              </w:rPr>
              <w:t xml:space="preserve">id, farm_id, score, tier, method, population_size, category_breakdown (JSON), </w:t>
            </w:r>
            <w:r>
              <w:rPr>
                <w:rFonts w:eastAsia="Times New Roman"/>
                <w:sz w:val="19"/>
              </w:rPr>
              <w:lastRenderedPageBreak/>
              <w:t>feature_values (JSON), contributions (JSON), content_hash, hede</w:t>
            </w:r>
            <w:r>
              <w:rPr>
                <w:rFonts w:eastAsia="Times New Roman"/>
                <w:sz w:val="19"/>
              </w:rPr>
              <w:t>ra_topic_id</w:t>
            </w:r>
          </w:p>
        </w:tc>
        <w:tc>
          <w:tcPr>
            <w:tcW w:w="2880" w:type="dxa"/>
          </w:tcPr>
          <w:p w:rsidR="000216F0" w:rsidRDefault="0030472D">
            <w:r>
              <w:rPr>
                <w:rFonts w:eastAsia="Times New Roman"/>
                <w:sz w:val="19"/>
              </w:rPr>
              <w:lastRenderedPageBreak/>
              <w:t>farm → farms_farm; append-only</w:t>
            </w:r>
          </w:p>
        </w:tc>
      </w:tr>
      <w:tr w:rsidR="000216F0">
        <w:trPr>
          <w:jc w:val="center"/>
        </w:trPr>
        <w:tc>
          <w:tcPr>
            <w:tcW w:w="2880" w:type="dxa"/>
          </w:tcPr>
          <w:p w:rsidR="000216F0" w:rsidRDefault="0030472D">
            <w:r>
              <w:rPr>
                <w:rFonts w:eastAsia="Times New Roman"/>
                <w:sz w:val="19"/>
              </w:rPr>
              <w:t>creditscore_datapartner</w:t>
            </w:r>
          </w:p>
        </w:tc>
        <w:tc>
          <w:tcPr>
            <w:tcW w:w="2880" w:type="dxa"/>
          </w:tcPr>
          <w:p w:rsidR="000216F0" w:rsidRDefault="0030472D">
            <w:r>
              <w:rPr>
                <w:rFonts w:eastAsia="Times New Roman"/>
                <w:sz w:val="19"/>
              </w:rPr>
              <w:t>id, name, api_key, is_active</w:t>
            </w:r>
          </w:p>
        </w:tc>
        <w:tc>
          <w:tcPr>
            <w:tcW w:w="2880" w:type="dxa"/>
          </w:tcPr>
          <w:p w:rsidR="000216F0" w:rsidRDefault="0030472D">
            <w:r>
              <w:rPr>
                <w:rFonts w:eastAsia="Times New Roman"/>
                <w:sz w:val="19"/>
              </w:rPr>
              <w:t>—</w:t>
            </w:r>
          </w:p>
        </w:tc>
      </w:tr>
      <w:tr w:rsidR="000216F0">
        <w:trPr>
          <w:jc w:val="center"/>
        </w:trPr>
        <w:tc>
          <w:tcPr>
            <w:tcW w:w="2880" w:type="dxa"/>
          </w:tcPr>
          <w:p w:rsidR="000216F0" w:rsidRDefault="0030472D">
            <w:r>
              <w:rPr>
                <w:rFonts w:eastAsia="Times New Roman"/>
                <w:sz w:val="19"/>
              </w:rPr>
              <w:t>creditscore_datashareconsent</w:t>
            </w:r>
          </w:p>
        </w:tc>
        <w:tc>
          <w:tcPr>
            <w:tcW w:w="2880" w:type="dxa"/>
          </w:tcPr>
          <w:p w:rsidR="000216F0" w:rsidRDefault="0030472D">
            <w:r>
              <w:rPr>
                <w:rFonts w:eastAsia="Times New Roman"/>
                <w:sz w:val="19"/>
              </w:rPr>
              <w:t>id, farm_id, partner_id, revoked_at</w:t>
            </w:r>
          </w:p>
        </w:tc>
        <w:tc>
          <w:tcPr>
            <w:tcW w:w="2880" w:type="dxa"/>
          </w:tcPr>
          <w:p w:rsidR="000216F0" w:rsidRDefault="0030472D">
            <w:r>
              <w:rPr>
                <w:rFonts w:eastAsia="Times New Roman"/>
                <w:sz w:val="19"/>
              </w:rPr>
              <w:t>unique(farm, partner)</w:t>
            </w:r>
          </w:p>
        </w:tc>
      </w:tr>
      <w:tr w:rsidR="000216F0">
        <w:trPr>
          <w:jc w:val="center"/>
        </w:trPr>
        <w:tc>
          <w:tcPr>
            <w:tcW w:w="2880" w:type="dxa"/>
          </w:tcPr>
          <w:p w:rsidR="000216F0" w:rsidRDefault="0030472D">
            <w:r>
              <w:rPr>
                <w:rFonts w:eastAsia="Times New Roman"/>
                <w:sz w:val="19"/>
              </w:rPr>
              <w:t>blockchain_hederaconfig</w:t>
            </w:r>
          </w:p>
        </w:tc>
        <w:tc>
          <w:tcPr>
            <w:tcW w:w="2880" w:type="dxa"/>
          </w:tcPr>
          <w:p w:rsidR="000216F0" w:rsidRDefault="0030472D">
            <w:r>
              <w:rPr>
                <w:rFonts w:eastAsia="Times New Roman"/>
                <w:sz w:val="19"/>
              </w:rPr>
              <w:t xml:space="preserve">id (=1, singleton), </w:t>
            </w:r>
            <w:r>
              <w:rPr>
                <w:rFonts w:eastAsia="Times New Roman"/>
                <w:sz w:val="19"/>
              </w:rPr>
              <w:t>cow_nft_token_id, harvest_nft_token_id, fiq_token_id, prediction_topic_id, finance_topic_id, credit_score_topic_id</w:t>
            </w:r>
          </w:p>
        </w:tc>
        <w:tc>
          <w:tcPr>
            <w:tcW w:w="2880" w:type="dxa"/>
          </w:tcPr>
          <w:p w:rsidR="000216F0" w:rsidRDefault="0030472D">
            <w:r>
              <w:rPr>
                <w:rFonts w:eastAsia="Times New Roman"/>
                <w:sz w:val="19"/>
              </w:rPr>
              <w:t>—</w:t>
            </w:r>
          </w:p>
        </w:tc>
      </w:tr>
      <w:tr w:rsidR="000216F0">
        <w:trPr>
          <w:jc w:val="center"/>
        </w:trPr>
        <w:tc>
          <w:tcPr>
            <w:tcW w:w="2880" w:type="dxa"/>
          </w:tcPr>
          <w:p w:rsidR="000216F0" w:rsidRDefault="0030472D">
            <w:r>
              <w:rPr>
                <w:rFonts w:eastAsia="Times New Roman"/>
                <w:sz w:val="19"/>
              </w:rPr>
              <w:t>blockchain_fiqledgerentry</w:t>
            </w:r>
          </w:p>
        </w:tc>
        <w:tc>
          <w:tcPr>
            <w:tcW w:w="2880" w:type="dxa"/>
          </w:tcPr>
          <w:p w:rsidR="000216F0" w:rsidRDefault="0030472D">
            <w:r>
              <w:rPr>
                <w:rFonts w:eastAsia="Times New Roman"/>
                <w:sz w:val="19"/>
              </w:rPr>
              <w:t>id, farm_id, amount, reason, earned_by_id, hedera_transaction_id</w:t>
            </w:r>
          </w:p>
        </w:tc>
        <w:tc>
          <w:tcPr>
            <w:tcW w:w="2880" w:type="dxa"/>
          </w:tcPr>
          <w:p w:rsidR="000216F0" w:rsidRDefault="0030472D">
            <w:r>
              <w:rPr>
                <w:rFonts w:eastAsia="Times New Roman"/>
                <w:sz w:val="19"/>
              </w:rPr>
              <w:t xml:space="preserve">farm → farms_farm; earned_by → </w:t>
            </w:r>
            <w:r>
              <w:rPr>
                <w:rFonts w:eastAsia="Times New Roman"/>
                <w:sz w:val="19"/>
              </w:rPr>
              <w:t>accounts_user</w:t>
            </w:r>
          </w:p>
        </w:tc>
      </w:tr>
      <w:tr w:rsidR="000216F0">
        <w:trPr>
          <w:jc w:val="center"/>
        </w:trPr>
        <w:tc>
          <w:tcPr>
            <w:tcW w:w="2880" w:type="dxa"/>
          </w:tcPr>
          <w:p w:rsidR="000216F0" w:rsidRDefault="0030472D">
            <w:r>
              <w:rPr>
                <w:rFonts w:eastAsia="Times New Roman"/>
                <w:sz w:val="19"/>
              </w:rPr>
              <w:t>finance_transaction</w:t>
            </w:r>
          </w:p>
        </w:tc>
        <w:tc>
          <w:tcPr>
            <w:tcW w:w="2880" w:type="dxa"/>
          </w:tcPr>
          <w:p w:rsidR="000216F0" w:rsidRDefault="0030472D">
            <w:r>
              <w:rPr>
                <w:rFonts w:eastAsia="Times New Roman"/>
                <w:sz w:val="19"/>
              </w:rPr>
              <w:t>id, farm_id, kind, category, amount, date, content_hash, hedera_topic_id</w:t>
            </w:r>
          </w:p>
        </w:tc>
        <w:tc>
          <w:tcPr>
            <w:tcW w:w="2880" w:type="dxa"/>
          </w:tcPr>
          <w:p w:rsidR="000216F0" w:rsidRDefault="0030472D">
            <w:r>
              <w:rPr>
                <w:rFonts w:eastAsia="Times New Roman"/>
                <w:sz w:val="19"/>
              </w:rPr>
              <w:t>farm → farms_farm; never edits after anchoring</w:t>
            </w:r>
          </w:p>
        </w:tc>
      </w:tr>
      <w:tr w:rsidR="000216F0">
        <w:trPr>
          <w:jc w:val="center"/>
        </w:trPr>
        <w:tc>
          <w:tcPr>
            <w:tcW w:w="2880" w:type="dxa"/>
          </w:tcPr>
          <w:p w:rsidR="000216F0" w:rsidRDefault="0030472D">
            <w:r>
              <w:rPr>
                <w:rFonts w:eastAsia="Times New Roman"/>
                <w:sz w:val="19"/>
              </w:rPr>
              <w:t>geomap_landparcel</w:t>
            </w:r>
          </w:p>
        </w:tc>
        <w:tc>
          <w:tcPr>
            <w:tcW w:w="2880" w:type="dxa"/>
          </w:tcPr>
          <w:p w:rsidR="000216F0" w:rsidRDefault="0030472D">
            <w:r>
              <w:rPr>
                <w:rFonts w:eastAsia="Times New Roman"/>
                <w:sz w:val="19"/>
              </w:rPr>
              <w:t>id, farm_id, block_id, name, coordinates (JSON), area_sqm, perimeter_m</w:t>
            </w:r>
          </w:p>
        </w:tc>
        <w:tc>
          <w:tcPr>
            <w:tcW w:w="2880" w:type="dxa"/>
          </w:tcPr>
          <w:p w:rsidR="000216F0" w:rsidRDefault="0030472D">
            <w:r>
              <w:rPr>
                <w:rFonts w:eastAsia="Times New Roman"/>
                <w:sz w:val="19"/>
              </w:rPr>
              <w:t>farm → farm</w:t>
            </w:r>
            <w:r>
              <w:rPr>
                <w:rFonts w:eastAsia="Times New Roman"/>
                <w:sz w:val="19"/>
              </w:rPr>
              <w:t>s_farm</w:t>
            </w:r>
          </w:p>
        </w:tc>
      </w:tr>
      <w:tr w:rsidR="000216F0">
        <w:trPr>
          <w:jc w:val="center"/>
        </w:trPr>
        <w:tc>
          <w:tcPr>
            <w:tcW w:w="2880" w:type="dxa"/>
          </w:tcPr>
          <w:p w:rsidR="000216F0" w:rsidRDefault="0030472D">
            <w:r>
              <w:rPr>
                <w:rFonts w:eastAsia="Times New Roman"/>
                <w:sz w:val="19"/>
              </w:rPr>
              <w:t>insights_farminsight</w:t>
            </w:r>
          </w:p>
        </w:tc>
        <w:tc>
          <w:tcPr>
            <w:tcW w:w="2880" w:type="dxa"/>
          </w:tcPr>
          <w:p w:rsidR="000216F0" w:rsidRDefault="0030472D">
            <w:r>
              <w:rPr>
                <w:rFonts w:eastAsia="Times New Roman"/>
                <w:sz w:val="19"/>
              </w:rPr>
              <w:t>id, farm_id, key, category, severity, title, description</w:t>
            </w:r>
          </w:p>
        </w:tc>
        <w:tc>
          <w:tcPr>
            <w:tcW w:w="2880" w:type="dxa"/>
          </w:tcPr>
          <w:p w:rsidR="000216F0" w:rsidRDefault="0030472D">
            <w:r>
              <w:rPr>
                <w:rFonts w:eastAsia="Times New Roman"/>
                <w:sz w:val="19"/>
              </w:rPr>
              <w:t>unique(farm, key)</w:t>
            </w:r>
          </w:p>
        </w:tc>
      </w:tr>
    </w:tbl>
    <w:p w:rsidR="000216F0" w:rsidRDefault="000216F0">
      <w:pPr>
        <w:spacing w:after="40"/>
      </w:pPr>
    </w:p>
    <w:p w:rsidR="000216F0" w:rsidRDefault="0030472D">
      <w:pPr>
        <w:spacing w:before="80" w:after="280"/>
        <w:jc w:val="center"/>
      </w:pPr>
      <w:r>
        <w:rPr>
          <w:rFonts w:eastAsia="Times New Roman"/>
          <w:b/>
          <w:i/>
          <w:sz w:val="21"/>
        </w:rPr>
        <w:t>Table 4.1: Core database tables underlying FarmIQ's distinguishing analytical and trust capabilities</w:t>
      </w:r>
    </w:p>
    <w:p w:rsidR="000216F0" w:rsidRDefault="0030472D">
      <w:pPr>
        <w:pStyle w:val="Heading1"/>
        <w:pageBreakBefore/>
        <w:spacing w:before="80" w:after="200"/>
      </w:pPr>
      <w:bookmarkStart w:id="76" w:name="_Toc240737124"/>
      <w:r>
        <w:rPr>
          <w:rFonts w:ascii="Times New Roman" w:eastAsia="Times New Roman" w:hAnsi="Times New Roman"/>
          <w:color w:val="047857"/>
          <w:sz w:val="36"/>
        </w:rPr>
        <w:lastRenderedPageBreak/>
        <w:t>Chapter 5: Implementation</w:t>
      </w:r>
      <w:bookmarkEnd w:id="76"/>
    </w:p>
    <w:p w:rsidR="000216F0" w:rsidRDefault="0030472D">
      <w:pPr>
        <w:pStyle w:val="Heading2"/>
        <w:spacing w:before="320" w:after="160"/>
      </w:pPr>
      <w:bookmarkStart w:id="77" w:name="_Toc240737125"/>
      <w:r>
        <w:rPr>
          <w:rFonts w:ascii="Times New Roman" w:eastAsia="Times New Roman" w:hAnsi="Times New Roman"/>
          <w:color w:val="1E3A5F"/>
          <w:sz w:val="28"/>
        </w:rPr>
        <w:t xml:space="preserve">5.1 </w:t>
      </w:r>
      <w:r>
        <w:rPr>
          <w:rFonts w:ascii="Times New Roman" w:eastAsia="Times New Roman" w:hAnsi="Times New Roman"/>
          <w:color w:val="1E3A5F"/>
          <w:sz w:val="28"/>
        </w:rPr>
        <w:t>Introduction</w:t>
      </w:r>
      <w:bookmarkEnd w:id="77"/>
    </w:p>
    <w:p w:rsidR="000216F0" w:rsidRDefault="0030472D">
      <w:pPr>
        <w:jc w:val="both"/>
      </w:pPr>
      <w:r>
        <w:rPr>
          <w:rFonts w:eastAsia="Times New Roman"/>
        </w:rPr>
        <w:t>This chapter describes how the design presented in Chapter 4 was implemented. FarmIQ is built as a Django 5.2.17 monolith of seventeen local applications, deployed as a Progressive Web Application on Vercel's serverless platform, with SQLite f</w:t>
      </w:r>
      <w:r>
        <w:rPr>
          <w:rFonts w:eastAsia="Times New Roman"/>
        </w:rPr>
        <w:t>or local development and managed PostgreSQL (Neon) in production. The chapter first describes the development environment and technology stack, then walks through the implementation of each functional area, with particular depth given to the two machine le</w:t>
      </w:r>
      <w:r>
        <w:rPr>
          <w:rFonts w:eastAsia="Times New Roman"/>
        </w:rPr>
        <w:t>arning subsystems and the blockchain integration layer that distinguish FarmIQ from a conventional farm record-keeping tool, before covering the platform's offline-first PWA mechanics, internationalisation, and security implementation.</w:t>
      </w:r>
    </w:p>
    <w:p w:rsidR="000216F0" w:rsidRDefault="0030472D">
      <w:pPr>
        <w:pStyle w:val="Heading2"/>
        <w:spacing w:before="320" w:after="160"/>
      </w:pPr>
      <w:bookmarkStart w:id="78" w:name="_Toc240737126"/>
      <w:r>
        <w:rPr>
          <w:rFonts w:ascii="Times New Roman" w:eastAsia="Times New Roman" w:hAnsi="Times New Roman"/>
          <w:color w:val="1E3A5F"/>
          <w:sz w:val="28"/>
        </w:rPr>
        <w:t>5.2 Development Envi</w:t>
      </w:r>
      <w:r>
        <w:rPr>
          <w:rFonts w:ascii="Times New Roman" w:eastAsia="Times New Roman" w:hAnsi="Times New Roman"/>
          <w:color w:val="1E3A5F"/>
          <w:sz w:val="28"/>
        </w:rPr>
        <w:t>ronment and Technology Stack</w:t>
      </w:r>
      <w:bookmarkEnd w:id="78"/>
    </w:p>
    <w:p w:rsidR="000216F0" w:rsidRDefault="0030472D">
      <w:pPr>
        <w:jc w:val="both"/>
      </w:pPr>
      <w:r>
        <w:rPr>
          <w:rFonts w:eastAsia="Times New Roman"/>
        </w:rPr>
        <w:t>FarmIQ's backend is implemented in Python using Django 5.2.17, with `django-environ` for environment-based configuration, `django-countries` for structured country data, and `psycopg` for PostgreSQL connectivity. The custom `ac</w:t>
      </w:r>
      <w:r>
        <w:rPr>
          <w:rFonts w:eastAsia="Times New Roman"/>
        </w:rPr>
        <w:t>counts.User` model (`AUTH_USER_MODEL = 'accounts.User'`) replaces Django's default username/password model with an email-first identity and no password at all — accounts authenticate exclusively through a one-time password, with `set_unusable_password()` c</w:t>
      </w:r>
      <w:r>
        <w:rPr>
          <w:rFonts w:eastAsia="Times New Roman"/>
        </w:rPr>
        <w:t>alled at signup. The machine learning subsystems depend on scikit-learn 1.9.0, numpy, and scipy (the latter present only as a scikit-learn transitive dependency; the codebase follows an explicit "no direct scipy calls" convention, computing percentile rank</w:t>
      </w:r>
      <w:r>
        <w:rPr>
          <w:rFonts w:eastAsia="Times New Roman"/>
        </w:rPr>
        <w:t>s and coefficients of variation directly in numpy instead). Blockchain functionality depends on `hiero-sdk-python`, the Hiero/Hedera Python SDK, together with its cryptographic and Ethereum-compatibility dependencies. Reporting depends on `openpyxl` (XLSX)</w:t>
      </w:r>
      <w:r>
        <w:rPr>
          <w:rFonts w:eastAsia="Times New Roman"/>
        </w:rPr>
        <w:t>, `reportlab` (PDF), and Python's standard `csv` module. Push notifications depend on `pywebpush` and `py-vapid`. Notably absent from the dependency set is any task-queue or scheduler package — no Celery, no Redis, no RQ — a direct consequence of the Verce</w:t>
      </w:r>
      <w:r>
        <w:rPr>
          <w:rFonts w:eastAsia="Times New Roman"/>
        </w:rPr>
        <w:t xml:space="preserve">l serverless deployment target, which has no long-lived process to run a </w:t>
      </w:r>
      <w:r>
        <w:rPr>
          <w:rFonts w:eastAsia="Times New Roman"/>
        </w:rPr>
        <w:lastRenderedPageBreak/>
        <w:t>background worker against; every "smart" feature in the system is therefore computed synchronously, at request time, rather than by a scheduled job.</w:t>
      </w:r>
    </w:p>
    <w:p w:rsidR="000216F0" w:rsidRDefault="0030472D">
      <w:pPr>
        <w:jc w:val="both"/>
      </w:pPr>
      <w:r>
        <w:rPr>
          <w:rFonts w:eastAsia="Times New Roman"/>
        </w:rPr>
        <w:t>The frontend is server-rendered Dj</w:t>
      </w:r>
      <w:r>
        <w:rPr>
          <w:rFonts w:eastAsia="Times New Roman"/>
        </w:rPr>
        <w:t>ango templates styled with Tailwind CSS utility classes, progressively enhanced with vanilla JavaScript for offline queuing (`static/js/offline-queue.js`) and a service worker (`static/pwa/serviceworker.js`) registered through the `django-pwa` package, whi</w:t>
      </w:r>
      <w:r>
        <w:rPr>
          <w:rFonts w:eastAsia="Times New Roman"/>
        </w:rPr>
        <w:t>ch also dynamically serves the web app manifest from `PWA_APP_*` settings rather than a static `manifest.json` file. Static assets are served from `STATIC_ROOT` via Vercel's CDN in production; media uploads fall back to local disk in development and switch</w:t>
      </w:r>
      <w:r>
        <w:rPr>
          <w:rFonts w:eastAsia="Times New Roman"/>
        </w:rPr>
        <w:t xml:space="preserve"> automatically to AWS S3 (via `django-storages`) when `AWS_STORAGE_BUCKET_NAME` is configured.</w:t>
      </w:r>
    </w:p>
    <w:p w:rsidR="000216F0" w:rsidRDefault="0030472D">
      <w:pPr>
        <w:pStyle w:val="Heading2"/>
        <w:spacing w:before="320" w:after="160"/>
      </w:pPr>
      <w:bookmarkStart w:id="79" w:name="_Toc240737127"/>
      <w:r>
        <w:rPr>
          <w:rFonts w:ascii="Times New Roman" w:eastAsia="Times New Roman" w:hAnsi="Times New Roman"/>
          <w:color w:val="1E3A5F"/>
          <w:sz w:val="28"/>
        </w:rPr>
        <w:t>5.3 Farm, Role, and Authentication Implementation</w:t>
      </w:r>
      <w:bookmarkEnd w:id="79"/>
    </w:p>
    <w:p w:rsidR="000216F0" w:rsidRDefault="0030472D">
      <w:pPr>
        <w:jc w:val="both"/>
      </w:pPr>
      <w:r>
        <w:rPr>
          <w:rFonts w:eastAsia="Times New Roman"/>
        </w:rPr>
        <w:t xml:space="preserve">Authentication is implemented as a farm-scoped, three-step, passwordless login wizard: a user first identifies </w:t>
      </w:r>
      <w:r>
        <w:rPr>
          <w:rFonts w:eastAsia="Times New Roman"/>
        </w:rPr>
        <w:t>the farm by its eight-character `Farm.code` (two letters derived from the farm's name plus six random alphanumeric characters, generated uniquely at farm creation), then their email address (validated against an active `FarmMembership` at that specific far</w:t>
      </w:r>
      <w:r>
        <w:rPr>
          <w:rFonts w:eastAsia="Times New Roman"/>
        </w:rPr>
        <w:t>m), then a six-digit one-time password emailed to them. A parallel, farm-independent login path exists for platform administrators, gated on a separate `User.is_platform_admin` property (`is_superuser` or `platform_role == 'admin'`) rather than any farm ro</w:t>
      </w:r>
      <w:r>
        <w:rPr>
          <w:rFonts w:eastAsia="Times New Roman"/>
        </w:rPr>
        <w:t>le. `accounts.services.issue_otp()` implements OTP issuance with resend-cooldown reuse (avoiding a duplicate email on an accidental double form submission), a ten-minute validity window, and a five-attempt lockout, raising a dedicated `OTPDeliveryError` on</w:t>
      </w:r>
      <w:r>
        <w:rPr>
          <w:rFonts w:eastAsia="Times New Roman"/>
        </w:rPr>
        <w:t xml:space="preserve"> SMTP failure so the view can show a friendly retry message instead of a raw server error.</w:t>
      </w:r>
    </w:p>
    <w:p w:rsidR="000216F0" w:rsidRDefault="0030472D">
      <w:pPr>
        <w:jc w:val="both"/>
      </w:pPr>
      <w:r>
        <w:rPr>
          <w:rFonts w:eastAsia="Times New Roman"/>
        </w:rPr>
        <w:t>Role-based access control is implemented centrally in `farms.permissions`, resolving the active farm for a (potentially multi-farm) user from the session's `active_f</w:t>
      </w:r>
      <w:r>
        <w:rPr>
          <w:rFonts w:eastAsia="Times New Roman"/>
        </w:rPr>
        <w:t>arm_id`, then exposing a small family of decorator factories — `manage_workers_required`, `manage_herd_required` (aliased as `manage_records_required` in several consuming apps), `record_production_required` (aliased as `log_activity_required`), `any_membe</w:t>
      </w:r>
      <w:r>
        <w:rPr>
          <w:rFonts w:eastAsia="Times New Roman"/>
        </w:rPr>
        <w:t xml:space="preserve">r_required`, `edit_delete_required`, `farmer_required`, and </w:t>
      </w:r>
      <w:r>
        <w:rPr>
          <w:rFonts w:eastAsia="Times New Roman"/>
        </w:rPr>
        <w:lastRenderedPageBreak/>
        <w:t>`platform_admin_required` — each wrapping `login_required` and evaluating a boolean property on `FarmMembership`. This centralisation means every application that needs identical tiering (crops, i</w:t>
      </w:r>
      <w:r>
        <w:rPr>
          <w:rFonts w:eastAsia="Times New Roman"/>
        </w:rPr>
        <w:t>nventory, finance, creditscore, geomap all require the same Farmer/Manager/Supervisor tier for record management) imports and aliases the same underlying decorator rather than re-implementing the check, and a single test suite (`farms/tests.py`, extended b</w:t>
      </w:r>
      <w:r>
        <w:rPr>
          <w:rFonts w:eastAsia="Times New Roman"/>
        </w:rPr>
        <w:t>y permission assertions embedded throughout the other apps' test suites, such as `accounts/tests.py`'s confirmation that a Worker is blocked from the worker-management page) exercises the shared logic once.</w:t>
      </w:r>
    </w:p>
    <w:p w:rsidR="000216F0" w:rsidRDefault="0030472D">
      <w:pPr>
        <w:pStyle w:val="Heading2"/>
        <w:spacing w:before="320" w:after="160"/>
      </w:pPr>
      <w:bookmarkStart w:id="80" w:name="_Toc240737128"/>
      <w:r>
        <w:rPr>
          <w:rFonts w:ascii="Times New Roman" w:eastAsia="Times New Roman" w:hAnsi="Times New Roman"/>
          <w:color w:val="1E3A5F"/>
          <w:sz w:val="28"/>
        </w:rPr>
        <w:t>5.4 Herd, Crop, Finance, Inventory, and Task Impl</w:t>
      </w:r>
      <w:r>
        <w:rPr>
          <w:rFonts w:ascii="Times New Roman" w:eastAsia="Times New Roman" w:hAnsi="Times New Roman"/>
          <w:color w:val="1E3A5F"/>
          <w:sz w:val="28"/>
        </w:rPr>
        <w:t>ementation</w:t>
      </w:r>
      <w:bookmarkEnd w:id="80"/>
    </w:p>
    <w:p w:rsidR="000216F0" w:rsidRDefault="0030472D">
      <w:pPr>
        <w:jc w:val="both"/>
      </w:pPr>
      <w:r>
        <w:rPr>
          <w:rFonts w:eastAsia="Times New Roman"/>
        </w:rPr>
        <w:t>The `cows` application is the largest single model file in the codebase, implementing the animal registry (`Cow`, with computed properties for days-in-milk, expected calving date, expected dry-off date, and next-heat-expected, all derived on the</w:t>
      </w:r>
      <w:r>
        <w:rPr>
          <w:rFonts w:eastAsia="Times New Roman"/>
        </w:rPr>
        <w:t xml:space="preserve"> fly from `ReproductiveEvent` records rather than stored redundantly, using a 283-day gestation period and a 60-day target dry period as standard dairy-management constants), block-transfer auditing (`CowTransfer`), per-session and per-cow feeding allocati</w:t>
      </w:r>
      <w:r>
        <w:rPr>
          <w:rFonts w:eastAsia="Times New Roman"/>
        </w:rPr>
        <w:t>on (`FeedingRecord`/`FeedingRecordCow`, whose per-cow split is what makes the milk-yield model's per-cow feed feature and the feed/milk correlation analysis possible), health records (`CowHealthRecord`, optionally linked to the `advisory` app's disease cat</w:t>
      </w:r>
      <w:r>
        <w:rPr>
          <w:rFonts w:eastAsia="Times New Roman"/>
        </w:rPr>
        <w:t>alog), and weight tracking (`CowWeightRecord`), which can either record a directly-measured weight or estimate one from heart-girth tape measurement using the classical cattle-weighing formula `girth³ ⁄ 11800` kg — a standard, low-tech zootechnical approxi</w:t>
      </w:r>
      <w:r>
        <w:rPr>
          <w:rFonts w:eastAsia="Times New Roman"/>
        </w:rPr>
        <w:t>mation, explicitly less accurate than a body-length-adjusted formula but usable from a single tape measurement in the field, appropriate to a smallholder context with no scale.</w:t>
      </w:r>
    </w:p>
    <w:p w:rsidR="000216F0" w:rsidRDefault="0030472D">
      <w:pPr>
        <w:jc w:val="both"/>
      </w:pPr>
      <w:r>
        <w:rPr>
          <w:rFonts w:eastAsia="Times New Roman"/>
        </w:rPr>
        <w:t>The `crops` application tracks a crop's lifecycle (planned → growing → harveste</w:t>
      </w:r>
      <w:r>
        <w:rPr>
          <w:rFonts w:eastAsia="Times New Roman"/>
        </w:rPr>
        <w:t>d) and its constituent activities (planting, weeding, spraying, fertilising, harvesting), with a harvesting activity automatically restocking a produce inventory item and, once GPS field mapping was added, an optional link from a `Crop` to a `geomap.LandPa</w:t>
      </w:r>
      <w:r>
        <w:rPr>
          <w:rFonts w:eastAsia="Times New Roman"/>
        </w:rPr>
        <w:t>rcel` so a crop's field can be identified either by free-text name or a mapped boundary.</w:t>
      </w:r>
    </w:p>
    <w:p w:rsidR="000216F0" w:rsidRDefault="0030472D">
      <w:pPr>
        <w:jc w:val="both"/>
      </w:pPr>
      <w:r>
        <w:rPr>
          <w:rFonts w:eastAsia="Times New Roman"/>
        </w:rPr>
        <w:lastRenderedPageBreak/>
        <w:t xml:space="preserve">The `finance` application implements a category-taxonomy income/expense ledger (`Transaction`, ten categories spanning feed, veterinary, labour, equipment, transport, </w:t>
      </w:r>
      <w:r>
        <w:rPr>
          <w:rFonts w:eastAsia="Times New Roman"/>
        </w:rPr>
        <w:t>utilities, water, fuel, sales, and other), while `inventory` implements stock tracking (`InventoryItem`, `StockMovement`) with `select_for_update()`-protected, atomically-applied movements to prevent lost updates when two users log stock changes concurrent</w:t>
      </w:r>
      <w:r>
        <w:rPr>
          <w:rFonts w:eastAsia="Times New Roman"/>
        </w:rPr>
        <w:t>ly on the same item — a concern the implementation explicitly notes matters more now that stock movements also feed FIQ reward amounts and credit-score features downstream. A set of auto-wiring helper functions (`record_milk_production`, `record_milk_sale`</w:t>
      </w:r>
      <w:r>
        <w:rPr>
          <w:rFonts w:eastAsia="Times New Roman"/>
        </w:rPr>
        <w:t>, `record_milk_internal_use`, `record_feed_usage`, `record_crop_harvest`) is called from the owning apps' views so that, for example, creating a `MilkRecord` automatically creates the corresponding stock movement without the `cows` app needing any direct k</w:t>
      </w:r>
      <w:r>
        <w:rPr>
          <w:rFonts w:eastAsia="Times New Roman"/>
        </w:rPr>
        <w:t>nowledge of `inventory`'s internals.</w:t>
      </w:r>
    </w:p>
    <w:p w:rsidR="000216F0" w:rsidRDefault="0030472D">
      <w:pPr>
        <w:jc w:val="both"/>
      </w:pPr>
      <w:r>
        <w:rPr>
          <w:rFonts w:eastAsia="Times New Roman"/>
        </w:rPr>
        <w:t>The `tasks` application implements assignment (to a `FarmMembership`, not directly to a `User`, tying an assignment to a specific role at a specific farm), priority and status tracking, and recurrence: a task with `repe</w:t>
      </w:r>
      <w:r>
        <w:rPr>
          <w:rFonts w:eastAsia="Times New Roman"/>
        </w:rPr>
        <w:t>at_every_days` set clones itself to a new due date automatically once marked done, supporting routine actions such as quarterly deworming without manual re-creation.</w:t>
      </w:r>
    </w:p>
    <w:p w:rsidR="000216F0" w:rsidRDefault="0030472D">
      <w:pPr>
        <w:pStyle w:val="Heading2"/>
        <w:spacing w:before="320" w:after="160"/>
      </w:pPr>
      <w:bookmarkStart w:id="81" w:name="_Toc240737129"/>
      <w:r>
        <w:rPr>
          <w:rFonts w:ascii="Times New Roman" w:eastAsia="Times New Roman" w:hAnsi="Times New Roman"/>
          <w:color w:val="1E3A5F"/>
          <w:sz w:val="28"/>
        </w:rPr>
        <w:t>5.5 Milk-Yield Prediction Implementation</w:t>
      </w:r>
      <w:bookmarkEnd w:id="81"/>
    </w:p>
    <w:p w:rsidR="000216F0" w:rsidRDefault="0030472D">
      <w:pPr>
        <w:jc w:val="both"/>
      </w:pPr>
      <w:r>
        <w:rPr>
          <w:rFonts w:eastAsia="Times New Roman"/>
        </w:rPr>
        <w:t>The milk-yield predictor is implemented across fo</w:t>
      </w:r>
      <w:r>
        <w:rPr>
          <w:rFonts w:eastAsia="Times New Roman"/>
        </w:rPr>
        <w:t>ur modules under `analysis/ml/`. Feature engineering (`features.py`) constructs one row per (cow, date) with a recorded milk total, computing five features: `days_in_milk` (the date minus the cow's `last_calving_date`, median-imputed across known rows wher</w:t>
      </w:r>
      <w:r>
        <w:rPr>
          <w:rFonts w:eastAsia="Times New Roman"/>
        </w:rPr>
        <w:t>e a calving date is missing, defaulting to 150 days if no calving data exists anywhere), `dairy_meal_kg` and `silage_hay_kg` (summed from that cow's `FeedingRecordCow` allocations on the given date), `rolling_avg_liters_7d` (the mean of the cow's own recor</w:t>
      </w:r>
      <w:r>
        <w:rPr>
          <w:rFonts w:eastAsia="Times New Roman"/>
        </w:rPr>
        <w:t>ded yield over the preceding seven days, or the current value if no history exists), and `is_heifer` (a binary indicator from `Cow.category`).</w:t>
      </w:r>
    </w:p>
    <w:p w:rsidR="000216F0" w:rsidRDefault="0030472D">
      <w:pPr>
        <w:jc w:val="both"/>
      </w:pPr>
      <w:r>
        <w:rPr>
          <w:rFonts w:eastAsia="Times New Roman"/>
        </w:rPr>
        <w:t>Training (`ml/train.py`) fits a scikit-learn `Ridge` regressor (L2 penalty, alpha = 1.0) on `StandardScaler`-norm</w:t>
      </w:r>
      <w:r>
        <w:rPr>
          <w:rFonts w:eastAsia="Times New Roman"/>
        </w:rPr>
        <w:t xml:space="preserve">alised features, entirely at request time — no model is persisted </w:t>
      </w:r>
      <w:r>
        <w:rPr>
          <w:rFonts w:eastAsia="Times New Roman"/>
        </w:rPr>
        <w:lastRenderedPageBreak/>
        <w:t xml:space="preserve">between requests, and no background training job exists, a deliberate consequence of the project's serverless deployment target combined with the observation that fitting a ridge regression </w:t>
      </w:r>
      <w:r>
        <w:rPr>
          <w:rFonts w:eastAsia="Times New Roman"/>
        </w:rPr>
        <w:t>on a single farm's data is computationally cheap enough to redo on every relevant page view. A minimum of thirty rows (`MIN_ROWS`) is required before a model is trained; below that, the function returns `None` as a cold-start guard.</w:t>
      </w:r>
    </w:p>
    <w:p w:rsidR="000216F0" w:rsidRDefault="0030472D">
      <w:pPr>
        <w:jc w:val="both"/>
      </w:pPr>
      <w:r>
        <w:rPr>
          <w:rFonts w:eastAsia="Times New Roman"/>
        </w:rPr>
        <w:t>Prediction (`ml/predict</w:t>
      </w:r>
      <w:r>
        <w:rPr>
          <w:rFonts w:eastAsia="Times New Roman"/>
        </w:rPr>
        <w:t>.py`) attempts a per-cow model first; if the individual cow has fewer than thirty recorded rows — which is nearly always true early in a cow's productive life — the system falls back to a pooled, whole-farm model, so the feature remains useful before month</w:t>
      </w:r>
      <w:r>
        <w:rPr>
          <w:rFonts w:eastAsia="Times New Roman"/>
        </w:rPr>
        <w:t>s of per-cow data accumulate. Forecasts extend forward in time by incrementing `days_in_milk` day-by-day from the cow's latest known feature snapshot, or, for a brand-new cow with zero records, from a farm-wide ten-day rolling average of features. Block- a</w:t>
      </w:r>
      <w:r>
        <w:rPr>
          <w:rFonts w:eastAsia="Times New Roman"/>
        </w:rPr>
        <w:t>nd farm-scope predictions are computed by summing the relevant per-cow predictions, rather than fitting a separate model at those scopes.</w:t>
      </w:r>
    </w:p>
    <w:p w:rsidR="000216F0" w:rsidRDefault="0030472D">
      <w:pPr>
        <w:jc w:val="both"/>
      </w:pPr>
      <w:r>
        <w:rPr>
          <w:rFonts w:eastAsia="Times New Roman"/>
        </w:rPr>
        <w:t>Explainability (`ml/explain.py`) computes each feature's contribution to a prediction as the exact closed-form product</w:t>
      </w:r>
      <w:r>
        <w:rPr>
          <w:rFonts w:eastAsia="Times New Roman"/>
        </w:rPr>
        <w:t xml:space="preserve"> `coefficient_i × standardized_value_i` — mathematically identical to what SHAP's `LinearExplainer` would produce for a linear model, but computed directly via basic linear algebra rather than importing the `shap` library, which the implementation notes wa</w:t>
      </w:r>
      <w:r>
        <w:rPr>
          <w:rFonts w:eastAsia="Times New Roman"/>
        </w:rPr>
        <w:t xml:space="preserve">s a deliberate choice because `shap`'s dependency chain (numba, llvmlite, pandas) does not fit comfortably within Vercel's serverless function size limit. The intercept plus the sum of all contributions is mathematically guaranteed to equal the prediction </w:t>
      </w:r>
      <w:r>
        <w:rPr>
          <w:rFonts w:eastAsia="Times New Roman"/>
        </w:rPr>
        <w:t>exactly. A `plain_language_summary()` function renders the top two contributions above a 0.05-litre negligibility threshold into a human-readable sentence (for example, "+1.2L from dairy meal fed, +0.8L from days since calving"). A separate module (`ml/cor</w:t>
      </w:r>
      <w:r>
        <w:rPr>
          <w:rFonts w:eastAsia="Times New Roman"/>
        </w:rPr>
        <w:t>relation.py`) computes the plain Pearson correlation coefficient (via `numpy.corrcoef`, again avoiding scipy) between daily feed quantity and daily milk yield, over a selectable period with a minimum three-day overlap.</w:t>
      </w:r>
    </w:p>
    <w:p w:rsidR="000216F0" w:rsidRDefault="0030472D">
      <w:pPr>
        <w:jc w:val="both"/>
      </w:pPr>
      <w:r>
        <w:rPr>
          <w:rFonts w:eastAsia="Times New Roman"/>
        </w:rPr>
        <w:t xml:space="preserve">Each stored </w:t>
      </w:r>
      <w:r>
        <w:rPr>
          <w:rFonts w:eastAsia="Times New Roman"/>
        </w:rPr>
        <w:t xml:space="preserve">`MilkPrediction` is canonically hashed and anchored to Hedera only when its content has changed since the last anchor (`analysis.services.anchor_changed_predictions()`), since predictions are recomputed on </w:t>
      </w:r>
      <w:r>
        <w:rPr>
          <w:rFonts w:eastAsia="Times New Roman"/>
        </w:rPr>
        <w:lastRenderedPageBreak/>
        <w:t xml:space="preserve">every dashboard view and would otherwise generate </w:t>
      </w:r>
      <w:r>
        <w:rPr>
          <w:rFonts w:eastAsia="Times New Roman"/>
        </w:rPr>
        <w:t>a new, paid Hedera transaction on every page load regardless of whether the underlying forecast actually changed.</w:t>
      </w:r>
    </w:p>
    <w:p w:rsidR="000216F0" w:rsidRDefault="0030472D">
      <w:pPr>
        <w:spacing w:before="200"/>
        <w:jc w:val="center"/>
      </w:pPr>
      <w:r>
        <w:rPr>
          <w:noProof/>
        </w:rPr>
        <w:drawing>
          <wp:inline distT="0" distB="0" distL="0" distR="0">
            <wp:extent cx="5486400" cy="2768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lkyield_pipeline.png"/>
                    <pic:cNvPicPr/>
                  </pic:nvPicPr>
                  <pic:blipFill>
                    <a:blip r:embed="rId9"/>
                    <a:stretch>
                      <a:fillRect/>
                    </a:stretch>
                  </pic:blipFill>
                  <pic:spPr>
                    <a:xfrm>
                      <a:off x="0" y="0"/>
                      <a:ext cx="5486400" cy="2768367"/>
                    </a:xfrm>
                    <a:prstGeom prst="rect">
                      <a:avLst/>
                    </a:prstGeom>
                  </pic:spPr>
                </pic:pic>
              </a:graphicData>
            </a:graphic>
          </wp:inline>
        </w:drawing>
      </w:r>
    </w:p>
    <w:p w:rsidR="000216F0" w:rsidRDefault="0030472D">
      <w:pPr>
        <w:spacing w:after="280"/>
        <w:jc w:val="center"/>
      </w:pPr>
      <w:r>
        <w:rPr>
          <w:rFonts w:eastAsia="Times New Roman"/>
          <w:b/>
          <w:i/>
          <w:sz w:val="21"/>
        </w:rPr>
        <w:t>Figure 5.1: Milk-Yield Prediction Pipeline (Ridge Regression)</w:t>
      </w:r>
    </w:p>
    <w:p w:rsidR="000216F0" w:rsidRDefault="0030472D">
      <w:pPr>
        <w:pStyle w:val="Heading2"/>
        <w:spacing w:before="320" w:after="160"/>
      </w:pPr>
      <w:bookmarkStart w:id="82" w:name="_Toc240737130"/>
      <w:r>
        <w:rPr>
          <w:rFonts w:ascii="Times New Roman" w:eastAsia="Times New Roman" w:hAnsi="Times New Roman"/>
          <w:color w:val="1E3A5F"/>
          <w:sz w:val="28"/>
        </w:rPr>
        <w:t>5.6 Alternative Credit-Scoring Implementation</w:t>
      </w:r>
      <w:bookmarkEnd w:id="82"/>
    </w:p>
    <w:p w:rsidR="000216F0" w:rsidRDefault="0030472D">
      <w:pPr>
        <w:jc w:val="both"/>
      </w:pPr>
      <w:r>
        <w:rPr>
          <w:rFonts w:eastAsia="Times New Roman"/>
        </w:rPr>
        <w:t xml:space="preserve">The credit-scoring engine is </w:t>
      </w:r>
      <w:r>
        <w:rPr>
          <w:rFonts w:eastAsia="Times New Roman"/>
        </w:rPr>
        <w:t>implemented across `creditscore/features.py`, `scoring.py`, `explain.py`, `services.py`, and `api.py`. Feature engineering computes ten features per farm, each normalised so that a higher value always indicates a healthier farm: `farm_age_norm` (age in day</w:t>
      </w:r>
      <w:r>
        <w:rPr>
          <w:rFonts w:eastAsia="Times New Roman"/>
        </w:rPr>
        <w:t xml:space="preserve">s divided by a 1,095-day / three-year cap), `expense_ratio_health` (one minus the expense-to-income ratio, clamped to [0, 1], with a special case returning 0.0 if income is zero but expense is positive, or a neutral 0.5 if there is no income data at all), </w:t>
      </w:r>
      <w:r>
        <w:rPr>
          <w:rFonts w:eastAsia="Times New Roman"/>
        </w:rPr>
        <w:t>`income_stability` (one minus the coefficient of variation of monthly income over a 180-day window, or `None` if fewer than two months of data exist), `yield_consistency` (one minus the coefficient of variation of daily milk totals over a 90-day window, or</w:t>
      </w:r>
      <w:r>
        <w:rPr>
          <w:rFonts w:eastAsia="Times New Roman"/>
        </w:rPr>
        <w:t xml:space="preserve"> `None` if fewer than five recorded days or no active cows exist), `herd_size_norm` (cow count divided by a fifty-cow cap), `income_category_diversity` and `crop_activity_diversity` (distinct non-"other" transaction categories or crop-activity types, divid</w:t>
      </w:r>
      <w:r>
        <w:rPr>
          <w:rFonts w:eastAsia="Times New Roman"/>
        </w:rPr>
        <w:t xml:space="preserve">ed by the number of possible categories), `task_on_time_rate` (the fraction of completed tasks finished by their due </w:t>
      </w:r>
      <w:r>
        <w:rPr>
          <w:rFonts w:eastAsia="Times New Roman"/>
        </w:rPr>
        <w:lastRenderedPageBreak/>
        <w:t>date over a 90-day window, or a neutral 0.5 if no tasks exist), and `fiq_balance_norm` and `fiq_source_diversity` (the farm's total FIQ led</w:t>
      </w:r>
      <w:r>
        <w:rPr>
          <w:rFonts w:eastAsia="Times New Roman"/>
        </w:rPr>
        <w:t>ger balance divided by a 500-token cap, and the count of distinct FIQ-earning reasons divided by three).</w:t>
      </w:r>
    </w:p>
    <w:p w:rsidR="000216F0" w:rsidRDefault="0030472D">
      <w:pPr>
        <w:jc w:val="both"/>
      </w:pPr>
      <w:r>
        <w:rPr>
          <w:rFonts w:eastAsia="Times New Roman"/>
        </w:rPr>
        <w:t>A farm is eligible for population-relative scoring only if it is at least thirty days old and has at least five total records across milk, transactions</w:t>
      </w:r>
      <w:r>
        <w:rPr>
          <w:rFonts w:eastAsia="Times New Roman"/>
        </w:rPr>
        <w:t>, crop activities, and completed tasks (`eligible_farms()`); `build_population_matrix()` then assembles the eligible population into a farms-by-features matrix, imputing each column's missing values with that column's own median across the sub-population i</w:t>
      </w:r>
      <w:r>
        <w:rPr>
          <w:rFonts w:eastAsia="Times New Roman"/>
        </w:rPr>
        <w:t>n which it was actually observed — not zero — so that, for example, a crop-only farm with no active cows receives `None` for `yield_consistency` and `herd_size_norm`, and is imputed from the population's crop-only-adjacent median rather than penalised outr</w:t>
      </w:r>
      <w:r>
        <w:rPr>
          <w:rFonts w:eastAsia="Times New Roman"/>
        </w:rPr>
        <w:t>ight for operating a different enterprise mix.</w:t>
      </w:r>
    </w:p>
    <w:p w:rsidR="000216F0" w:rsidRDefault="0030472D">
      <w:pPr>
        <w:jc w:val="both"/>
      </w:pPr>
      <w:r>
        <w:rPr>
          <w:rFonts w:eastAsia="Times New Roman"/>
        </w:rPr>
        <w:t>Scoring (`scoring.py`) branches on population size. Below eight eligible farms (`MIN_POPULATION_FARMS`), every farm receives a `compute_provisional_score()`: the plain mean of its ten imputed 0–1 features, sca</w:t>
      </w:r>
      <w:r>
        <w:rPr>
          <w:rFonts w:eastAsia="Times New Roman"/>
        </w:rPr>
        <w:t>led to 0–100 and rounded, with tiers from fixed thresholds (below 40 Poor, below 60 Fair, below 80 Good, otherwise Excellent), recorded with `method='provisional'`. At or above eight farms, the ten-column matrix is standardised with `StandardScaler` and re</w:t>
      </w:r>
      <w:r>
        <w:rPr>
          <w:rFonts w:eastAsia="Times New Roman"/>
        </w:rPr>
        <w:t>duced with `PCA(n_components=1, random_state=42)` to a single composite health score; because PCA's sign is mathematically arbitrary, the resulting component is oriented via `np.corrcoef(pc1, raw_composite)` against a plain row-mean composite, so that a hi</w:t>
      </w:r>
      <w:r>
        <w:rPr>
          <w:rFonts w:eastAsia="Times New Roman"/>
        </w:rPr>
        <w:t>gher score always corresponds to a healthier farm, with the same sign correction applied to the loadings used for explanation. Each farm's final 0–100 score is its percentile rank within the population, computed via a double-argsort rather than `scipy.stat</w:t>
      </w:r>
      <w:r>
        <w:rPr>
          <w:rFonts w:eastAsia="Times New Roman"/>
        </w:rPr>
        <w:t>s.rankdata`, consistent with the codebase's no-direct-scipy convention. Discrete tiers are derived separately, via `KMeans(n_clusters=k, random_state=42, n_init=10)` on the same standardised matrix — four clusters at or above twelve farms, two clusters bel</w:t>
      </w:r>
      <w:r>
        <w:rPr>
          <w:rFonts w:eastAsia="Times New Roman"/>
        </w:rPr>
        <w:t>ow that — with clusters ranked and labelled by mean PC1. Because the continuous score (from PCA) and the discrete tier (from K-means) are two different lenses on the same standardised data, they can occasionally disagree (a farm may rank numerically higher</w:t>
      </w:r>
      <w:r>
        <w:rPr>
          <w:rFonts w:eastAsia="Times New Roman"/>
        </w:rPr>
        <w:t xml:space="preserve"> yet land in a nominally lower </w:t>
      </w:r>
      <w:r>
        <w:rPr>
          <w:rFonts w:eastAsia="Times New Roman"/>
        </w:rPr>
        <w:lastRenderedPageBreak/>
        <w:t>cluster) by design, a property the implementation treats as expected rather than as a bug to reconcile. A separate, simpler category breakdown (tenure, financial, production, diversification, behavioural, blockchain — six dom</w:t>
      </w:r>
      <w:r>
        <w:rPr>
          <w:rFonts w:eastAsia="Times New Roman"/>
        </w:rPr>
        <w:t>ains) is computed as the unweighted mean of each domain's own raw, imputed feature values, deliberately not population-relative, so it can be shown to a farmer without needing to explain PCA.</w:t>
      </w:r>
    </w:p>
    <w:p w:rsidR="000216F0" w:rsidRDefault="0030472D">
      <w:pPr>
        <w:jc w:val="both"/>
      </w:pPr>
      <w:r>
        <w:rPr>
          <w:rFonts w:eastAsia="Times New Roman"/>
        </w:rPr>
        <w:t>Explainability (`explain.py`) computes each feature's contributi</w:t>
      </w:r>
      <w:r>
        <w:rPr>
          <w:rFonts w:eastAsia="Times New Roman"/>
        </w:rPr>
        <w:t>on to the sign-corrected composite as `loading_i × standardized_value_i × sign`, which sums exactly to that composite — a property verified independently in the test suite (Section 6.4) via a from-scratch re-implementation of the calculation rather than me</w:t>
      </w:r>
      <w:r>
        <w:rPr>
          <w:rFonts w:eastAsia="Times New Roman"/>
        </w:rPr>
        <w:t>rely trusting the production code's own assertion. Because the displayed 0–100 score is a *rank* of the composite rather than a linear function of it, the implementation is explicit — both in code comments and in the interface copy it drives — that per-fea</w:t>
      </w:r>
      <w:r>
        <w:rPr>
          <w:rFonts w:eastAsia="Times New Roman"/>
        </w:rPr>
        <w:t xml:space="preserve">ture contributions explain what drove the underlying composite, not an exact points breakdown of the displayed rank, avoiding an overstated claim of precision. The provisional-method equivalent contribution is simply `imputed_value_i − 0.5`, the feature's </w:t>
      </w:r>
      <w:r>
        <w:rPr>
          <w:rFonts w:eastAsia="Times New Roman"/>
        </w:rPr>
        <w:t>deviation from the neutral midpoint. `plain_language_summary()` renders the top two positive and top two negative contributions above a 0.05 negligibility threshold as "driven up by..." / "held back by..." prose.</w:t>
      </w:r>
    </w:p>
    <w:p w:rsidR="000216F0" w:rsidRDefault="0030472D">
      <w:pPr>
        <w:jc w:val="both"/>
      </w:pPr>
      <w:r>
        <w:rPr>
          <w:rFonts w:eastAsia="Times New Roman"/>
        </w:rPr>
        <w:t>`creditscore.services.recompute_farm_score(</w:t>
      </w:r>
      <w:r>
        <w:rPr>
          <w:rFonts w:eastAsia="Times New Roman"/>
        </w:rPr>
        <w:t>)` orchestrates a recompute: it computes the population (or provisional) result, canonically hashes the resulting payload, and creates and anchors a new, permanent `CreditScoreSnapshot` only if the hash differs from the farm's latest snapshot — the same ha</w:t>
      </w:r>
      <w:r>
        <w:rPr>
          <w:rFonts w:eastAsia="Times New Roman"/>
        </w:rPr>
        <w:t>sh-diff gating pattern used for predictions and finance transactions — so that repeated clicks with no underlying change do not create duplicate rows or duplicate paid Hedera messages. Recompute is a manual, permission-gated action (Farmer, Manager, or Sup</w:t>
      </w:r>
      <w:r>
        <w:rPr>
          <w:rFonts w:eastAsia="Times New Roman"/>
        </w:rPr>
        <w:t>ervisor only — verified by test to exclude Worker), not automatic on every page view, since population-wide scoring is computationally heavier than a single farm's yield prediction and each recompute carries a real, if small, Hedera fee.</w:t>
      </w:r>
    </w:p>
    <w:p w:rsidR="000216F0" w:rsidRDefault="0030472D">
      <w:pPr>
        <w:jc w:val="both"/>
      </w:pPr>
      <w:r>
        <w:rPr>
          <w:rFonts w:eastAsia="Times New Roman"/>
        </w:rPr>
        <w:t>The credit-scoring</w:t>
      </w:r>
      <w:r>
        <w:rPr>
          <w:rFonts w:eastAsia="Times New Roman"/>
        </w:rPr>
        <w:t xml:space="preserve"> API (`creditscore/api.py`) exposes `GET /credit-score/api/farms/&lt;id&gt;/score/`, authenticated via an `X-API-Key` header matched against a </w:t>
      </w:r>
      <w:r>
        <w:rPr>
          <w:rFonts w:eastAsia="Times New Roman"/>
        </w:rPr>
        <w:lastRenderedPageBreak/>
        <w:t>`DataPartner.api_key` (a `secrets.token_hex(32)` value). The endpoint deliberately returns an identical response for th</w:t>
      </w:r>
      <w:r>
        <w:rPr>
          <w:rFonts w:eastAsia="Times New Roman"/>
        </w:rPr>
        <w:t>ree distinct failure conditions — an invalid API key, a farm that exists but has not granted that partner active `DataShareConsent`, and a farm ID that does not exist at all — preventing an untrusted partner from using the response to either guess valid AP</w:t>
      </w:r>
      <w:r>
        <w:rPr>
          <w:rFonts w:eastAsia="Times New Roman"/>
        </w:rPr>
        <w:t>I keys or enumerate which farm IDs exist on the platform. A successful response includes the score, tier, method, population size, category breakdown, and explanation, together with a `verification` block (`content_hash`, `hedera_topic_id`, `sequence_numbe</w:t>
      </w:r>
      <w:r>
        <w:rPr>
          <w:rFonts w:eastAsia="Times New Roman"/>
        </w:rPr>
        <w:t>r`, `consensus_timestamp`) that lets the receiving partner independently recompute the same hash from the returned data and confirm it matches the corresponding public Hedera Consensus Service message.</w:t>
      </w:r>
    </w:p>
    <w:p w:rsidR="000216F0" w:rsidRDefault="0030472D">
      <w:pPr>
        <w:spacing w:before="200"/>
        <w:jc w:val="center"/>
      </w:pPr>
      <w:r>
        <w:rPr>
          <w:noProof/>
        </w:rPr>
        <w:drawing>
          <wp:inline distT="0" distB="0" distL="0" distR="0">
            <wp:extent cx="5486400" cy="31282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editscore_pipeline.png"/>
                    <pic:cNvPicPr/>
                  </pic:nvPicPr>
                  <pic:blipFill>
                    <a:blip r:embed="rId10"/>
                    <a:stretch>
                      <a:fillRect/>
                    </a:stretch>
                  </pic:blipFill>
                  <pic:spPr>
                    <a:xfrm>
                      <a:off x="0" y="0"/>
                      <a:ext cx="5486400" cy="3128211"/>
                    </a:xfrm>
                    <a:prstGeom prst="rect">
                      <a:avLst/>
                    </a:prstGeom>
                  </pic:spPr>
                </pic:pic>
              </a:graphicData>
            </a:graphic>
          </wp:inline>
        </w:drawing>
      </w:r>
    </w:p>
    <w:p w:rsidR="000216F0" w:rsidRDefault="0030472D">
      <w:pPr>
        <w:spacing w:after="280"/>
        <w:jc w:val="center"/>
      </w:pPr>
      <w:r>
        <w:rPr>
          <w:rFonts w:eastAsia="Times New Roman"/>
          <w:b/>
          <w:i/>
          <w:sz w:val="21"/>
        </w:rPr>
        <w:t>Figure 5.2: Alternative Credit-Scoring Pipeline (PCA</w:t>
      </w:r>
      <w:r>
        <w:rPr>
          <w:rFonts w:eastAsia="Times New Roman"/>
          <w:b/>
          <w:i/>
          <w:sz w:val="21"/>
        </w:rPr>
        <w:t xml:space="preserve"> + KMeans)</w:t>
      </w:r>
    </w:p>
    <w:p w:rsidR="000216F0" w:rsidRDefault="0030472D">
      <w:pPr>
        <w:pStyle w:val="Heading2"/>
        <w:spacing w:before="320" w:after="160"/>
      </w:pPr>
      <w:bookmarkStart w:id="83" w:name="_Toc240737131"/>
      <w:r>
        <w:rPr>
          <w:rFonts w:ascii="Times New Roman" w:eastAsia="Times New Roman" w:hAnsi="Times New Roman"/>
          <w:color w:val="1E3A5F"/>
          <w:sz w:val="28"/>
        </w:rPr>
        <w:t>5.7 Blockchain Implementation</w:t>
      </w:r>
      <w:bookmarkEnd w:id="83"/>
    </w:p>
    <w:p w:rsidR="000216F0" w:rsidRDefault="0030472D">
      <w:pPr>
        <w:jc w:val="both"/>
      </w:pPr>
      <w:r>
        <w:rPr>
          <w:rFonts w:eastAsia="Times New Roman"/>
        </w:rPr>
        <w:t>Blockchain functionality is implemented in the `blockchain` application, built on `hiero-sdk-python`. `HederaConfig` is a singleton database row (not a `.env` secret, since the five token/topic IDs it stores are pub</w:t>
      </w:r>
      <w:r>
        <w:rPr>
          <w:rFonts w:eastAsia="Times New Roman"/>
        </w:rPr>
        <w:t xml:space="preserve">lic, HashScan-lookupable identifiers) holding the platform's shared cow-NFT collection, harvest-NFT collection, FIQ fungible-token, and three Hedera Consensus Service topic IDs (for predictions, finance, and — added in a </w:t>
      </w:r>
      <w:r>
        <w:rPr>
          <w:rFonts w:eastAsia="Times New Roman"/>
        </w:rPr>
        <w:lastRenderedPageBreak/>
        <w:t>later migration — credit scores); e</w:t>
      </w:r>
      <w:r>
        <w:rPr>
          <w:rFonts w:eastAsia="Times New Roman"/>
        </w:rPr>
        <w:t>ach is created lazily, row-locked with `select_for_update()` to avoid a race condition creating duplicate collections under concurrent first use.</w:t>
      </w:r>
    </w:p>
    <w:p w:rsidR="000216F0" w:rsidRDefault="0030472D">
      <w:pPr>
        <w:jc w:val="both"/>
      </w:pPr>
      <w:r>
        <w:rPr>
          <w:rFonts w:eastAsia="Times New Roman"/>
        </w:rPr>
        <w:t>`blockchain.services.get_client()` lazily builds and caches a Hedera client from `HEDERA_OPERATOR_ID`/`HEDERA_</w:t>
      </w:r>
      <w:r>
        <w:rPr>
          <w:rFonts w:eastAsia="Times New Roman"/>
        </w:rPr>
        <w:t>OPERATOR_KEY`, returning `None` — never raising — if these are unconfigured, so every blockchain-dependent feature degrades gracefully in an environment without Hedera credentials. Operator-key parsing tries ECDSA (secp256k1) before Ed25519, a deliberate o</w:t>
      </w:r>
      <w:r>
        <w:rPr>
          <w:rFonts w:eastAsia="Times New Roman"/>
        </w:rPr>
        <w:t>rdering to work around Hedera testnet accounts with an EVM-compatible address, whose keys the SDK's naive auto-detector can otherwise misidentify, parsing successfully but signing incorrectly and producing a confusing `INVALID_SIGNATURE` error at transacti</w:t>
      </w:r>
      <w:r>
        <w:rPr>
          <w:rFonts w:eastAsia="Times New Roman"/>
        </w:rPr>
        <w:t>on time rather than at configuration time.</w:t>
      </w:r>
    </w:p>
    <w:p w:rsidR="000216F0" w:rsidRDefault="0030472D">
      <w:pPr>
        <w:jc w:val="both"/>
      </w:pPr>
      <w:r>
        <w:rPr>
          <w:rFonts w:eastAsia="Times New Roman"/>
        </w:rPr>
        <w:t>Reward amounts are fixed platform constants: 10.00 FIQ per cow registered, 0.50 FIQ per kilogram harvested, 1.00 FIQ per litre of milk certified, 2.00 FIQ per task completed, and 0.20 FIQ per data record in a batc</w:t>
      </w:r>
      <w:r>
        <w:rPr>
          <w:rFonts w:eastAsia="Times New Roman"/>
        </w:rPr>
        <w:t>hed worker reward. `mint_cow_nft()` and `mint_harvest_nft()` each mint one NFT serial on a shared, lazily-created collection, with on-chain metadata capped to Hedera's 100-byte public-metadata limit and restricted to non-sensitive fields (tag ID, breed, an</w:t>
      </w:r>
      <w:r>
        <w:rPr>
          <w:rFonts w:eastAsia="Times New Roman"/>
        </w:rPr>
        <w:t>d farm identifier for a cow; crop, quantity, date, and farm identifier for a harvest). `mint_fiq()` is a "dumb" primitive that mints fungible FIQ to the treasury account; callers are responsible for creating the matching `FiqLedgerEntry` themselves, and on</w:t>
      </w:r>
      <w:r>
        <w:rPr>
          <w:rFonts w:eastAsia="Times New Roman"/>
        </w:rPr>
        <w:t>ly after a successful mint — the ledger, not the on-chain balance, is the authoritative record of which farm has earned how much, since no farm or individual user holds their own Hedera account in this system; custody remains entirely in the single admin/t</w:t>
      </w:r>
      <w:r>
        <w:rPr>
          <w:rFonts w:eastAsia="Times New Roman"/>
        </w:rPr>
        <w:t>reasury account, and "who owns what" is tracked in FarmIQ's own database.</w:t>
      </w:r>
    </w:p>
    <w:p w:rsidR="000216F0" w:rsidRDefault="0030472D">
      <w:pPr>
        <w:jc w:val="both"/>
      </w:pPr>
      <w:r>
        <w:rPr>
          <w:rFonts w:eastAsia="Times New Roman"/>
        </w:rPr>
        <w:t>`anchor_hash()` submits only a SHA-256 hash string — never raw record data — to the relevant HCS topic (created lazily on first use), returning the topic ID, sequence number, and con</w:t>
      </w:r>
      <w:r>
        <w:rPr>
          <w:rFonts w:eastAsia="Times New Roman"/>
        </w:rPr>
        <w:t xml:space="preserve">sensus timestamp derived from the submitting transaction's own `valid_start` rather than an additional `TransactionRecordQuery` round-trip, saving a network call. `compute_content_hash()` implements the single hashing convention shared identically </w:t>
      </w:r>
      <w:r>
        <w:rPr>
          <w:rFonts w:eastAsia="Times New Roman"/>
        </w:rPr>
        <w:lastRenderedPageBreak/>
        <w:t>across t</w:t>
      </w:r>
      <w:r>
        <w:rPr>
          <w:rFonts w:eastAsia="Times New Roman"/>
        </w:rPr>
        <w:t>he three anchoring call sites: canonical JSON serialisation (`json.dumps(payload, sort_keys=True, separators=(',', ':'))`) followed by SHA-256 hex digest. Every mint and anchor function wraps its logic in a broad `try/except` with `logger.exception`, retur</w:t>
      </w:r>
      <w:r>
        <w:rPr>
          <w:rFonts w:eastAsia="Times New Roman"/>
        </w:rPr>
        <w:t>ning `None` on any failure, so that a Hedera outage can never block a farmer from saving a cow, a transaction, or a credit-score recompute — the primary database write always happens first, and the blockchain call is attempted only afterward, on a best-eff</w:t>
      </w:r>
      <w:r>
        <w:rPr>
          <w:rFonts w:eastAsia="Times New Roman"/>
        </w:rPr>
        <w:t>ort basis.</w:t>
      </w:r>
    </w:p>
    <w:p w:rsidR="000216F0" w:rsidRDefault="0030472D">
      <w:pPr>
        <w:jc w:val="both"/>
      </w:pPr>
      <w:r>
        <w:rPr>
          <w:rFonts w:eastAsia="Times New Roman"/>
        </w:rPr>
        <w:t>Trigger points are: cow creation (mints a cow NFT); a harvesting crop activity (mints a harvest NFT); milk certificate creation, a manually-batched action available to Farmer, Manager, or Supervisor (mints FIQ equal to total litres certified); a</w:t>
      </w:r>
      <w:r>
        <w:rPr>
          <w:rFonts w:eastAsia="Times New Roman"/>
        </w:rPr>
        <w:t xml:space="preserve"> worker batch reward, also manually triggered by a manager-tier role, which counts a specific worker's logged milk, feeding, crop-activity, and stock-movement records in a date range and mints FIQ proportional to that count (deliberately batched, since a f</w:t>
      </w:r>
      <w:r>
        <w:rPr>
          <w:rFonts w:eastAsia="Times New Roman"/>
        </w:rPr>
        <w:t>ast data-entry workflow should not carry a live, paid Hedera transaction on every single record logged); and the three hash-anchoring call sites in `analysis`, `finance`, and `creditscore`. Finance transactions are anchored once, at creation, and deliberat</w:t>
      </w:r>
      <w:r>
        <w:rPr>
          <w:rFonts w:eastAsia="Times New Roman"/>
        </w:rPr>
        <w:t>ely never re-anchored on edit, so that a later edit whose hash no longer matches the originally-anchored hash is the audit trail correctly revealing a post-hoc alteration — a documented design property, not a defect.</w:t>
      </w:r>
    </w:p>
    <w:p w:rsidR="000216F0" w:rsidRDefault="0030472D">
      <w:pPr>
        <w:jc w:val="both"/>
      </w:pPr>
      <w:r>
        <w:rPr>
          <w:rFonts w:eastAsia="Times New Roman"/>
        </w:rPr>
        <w:t>The Wallet page (`blockchain/views.wall</w:t>
      </w:r>
      <w:r>
        <w:rPr>
          <w:rFonts w:eastAsia="Times New Roman"/>
        </w:rPr>
        <w:t>et_view`) shows a farm's total FIQ balance, computed live as the sum of every `FiqLedgerEntry` for that farm rather than cached, a table of minted milk certificates, and a per-worker "top contributors" breakdown drawn from the subset of ledger entries that</w:t>
      </w:r>
      <w:r>
        <w:rPr>
          <w:rFonts w:eastAsia="Times New Roman"/>
        </w:rPr>
        <w:t xml:space="preserve"> carry an `earned_by` attribution (task completions and worker data-record batches; cow, harvest, and milk-certificate rewards go into the shared farm pool with no individual attribution, by design). An optional management command, `hedera_setup`, allows p</w:t>
      </w:r>
      <w:r>
        <w:rPr>
          <w:rFonts w:eastAsia="Times New Roman"/>
        </w:rPr>
        <w:t>re-creating all five shared tokens/topics up front, though this is not required, since each is created automatically on first genuine use.</w:t>
      </w:r>
    </w:p>
    <w:p w:rsidR="000216F0" w:rsidRDefault="0030472D">
      <w:pPr>
        <w:pStyle w:val="Heading2"/>
        <w:spacing w:before="320" w:after="160"/>
      </w:pPr>
      <w:bookmarkStart w:id="84" w:name="_Toc240737132"/>
      <w:r>
        <w:rPr>
          <w:rFonts w:ascii="Times New Roman" w:eastAsia="Times New Roman" w:hAnsi="Times New Roman"/>
          <w:color w:val="1E3A5F"/>
          <w:sz w:val="28"/>
        </w:rPr>
        <w:t>5.8 Notifications Implementation</w:t>
      </w:r>
      <w:bookmarkEnd w:id="84"/>
    </w:p>
    <w:p w:rsidR="000216F0" w:rsidRDefault="0030472D">
      <w:pPr>
        <w:jc w:val="both"/>
      </w:pPr>
      <w:r>
        <w:rPr>
          <w:rFonts w:eastAsia="Times New Roman"/>
        </w:rPr>
        <w:t>The `notifications` application centralises dispatch behind a single function, `noti</w:t>
      </w:r>
      <w:r>
        <w:rPr>
          <w:rFonts w:eastAsia="Times New Roman"/>
        </w:rPr>
        <w:t>fy(farm, actor, verb, kind, description, recipient=None)`, used throughout the codebase wherever a user-visible event occurs. Called without a `recipient`, it always logs a general, farm-</w:t>
      </w:r>
      <w:r>
        <w:rPr>
          <w:rFonts w:eastAsia="Times New Roman"/>
        </w:rPr>
        <w:lastRenderedPageBreak/>
        <w:t>wide activity-feed `Notification`. Called with a `recipient`, it chec</w:t>
      </w:r>
      <w:r>
        <w:rPr>
          <w:rFonts w:eastAsia="Times New Roman"/>
        </w:rPr>
        <w:t>ks that user's `notification_delivery` preference (in-app, push, or both) to decide whether to write a targeted in-app row, send a Web Push notification, or both; WhatsApp delivery is a separate, independent opt-in — it fires whenever the recipient has bot</w:t>
      </w:r>
      <w:r>
        <w:rPr>
          <w:rFonts w:eastAsia="Times New Roman"/>
        </w:rPr>
        <w:t>h `whatsapp_notifications_enabled` set and a `whatsapp_number` on file, regardless of their in-app/push preference, and only ever for targeted notifications, never the general activity feed.</w:t>
      </w:r>
    </w:p>
    <w:p w:rsidR="000216F0" w:rsidRDefault="0030472D">
      <w:pPr>
        <w:jc w:val="both"/>
      </w:pPr>
      <w:r>
        <w:rPr>
          <w:rFonts w:eastAsia="Times New Roman"/>
        </w:rPr>
        <w:t>WhatsApp delivery (`notifications/whatsapp.py`) is implemented ag</w:t>
      </w:r>
      <w:r>
        <w:rPr>
          <w:rFonts w:eastAsia="Times New Roman"/>
        </w:rPr>
        <w:t>ainst the official Meta WhatsApp Cloud API — not Twilio — posting to `https://graph.facebook.com/{version}/{phone_number_id}/messages` with a bearer token, a text payload truncated to WhatsApp's 4,096-character limit, and is subject to the platform's const</w:t>
      </w:r>
      <w:r>
        <w:rPr>
          <w:rFonts w:eastAsia="Times New Roman"/>
        </w:rPr>
        <w:t>raint that free-form text delivery only works within twenty-four hours of the recipient having messaged the business number first; outside that window, Meta requires a pre-approved message template, a Business Manager configuration concern outside this cod</w:t>
      </w:r>
      <w:r>
        <w:rPr>
          <w:rFonts w:eastAsia="Times New Roman"/>
        </w:rPr>
        <w:t>ebase's own scope. The function never raises: a non-OK response or a request exception is logged as a warning and swallowed. Web Push delivery (`notifications/push.py`) uses `pywebpush` with a VAPID key pair; a 404 or 410 response (an expired or revoked br</w:t>
      </w:r>
      <w:r>
        <w:rPr>
          <w:rFonts w:eastAsia="Times New Roman"/>
        </w:rPr>
        <w:t>owser subscription) automatically deletes the corresponding stale `PushSubscription` row, while other failures are logged and otherwise ignored. The service worker's own `push` event listener (Section 5.9) renders the resulting device notification from the</w:t>
      </w:r>
      <w:r>
        <w:rPr>
          <w:rFonts w:eastAsia="Times New Roman"/>
        </w:rPr>
        <w:t xml:space="preserve"> JSON payload the push service delivers.</w:t>
      </w:r>
    </w:p>
    <w:p w:rsidR="000216F0" w:rsidRDefault="0030472D">
      <w:pPr>
        <w:pStyle w:val="Heading2"/>
        <w:spacing w:before="320" w:after="160"/>
      </w:pPr>
      <w:bookmarkStart w:id="85" w:name="_Toc240737133"/>
      <w:r>
        <w:rPr>
          <w:rFonts w:ascii="Times New Roman" w:eastAsia="Times New Roman" w:hAnsi="Times New Roman"/>
          <w:color w:val="1E3A5F"/>
          <w:sz w:val="28"/>
        </w:rPr>
        <w:t>5.9 Progressive Web Application and Offline-First Implementation</w:t>
      </w:r>
      <w:bookmarkEnd w:id="85"/>
    </w:p>
    <w:p w:rsidR="000216F0" w:rsidRDefault="0030472D">
      <w:pPr>
        <w:jc w:val="both"/>
      </w:pPr>
      <w:r>
        <w:rPr>
          <w:rFonts w:eastAsia="Times New Roman"/>
        </w:rPr>
        <w:t>FarmIQ's PWA behaviour is implemented through `django-pwa`, which dynamically serves the web app manifest from `PWA_APP_*` settings (app name "FarmIQ"</w:t>
      </w:r>
      <w:r>
        <w:rPr>
          <w:rFonts w:eastAsia="Times New Roman"/>
        </w:rPr>
        <w:t xml:space="preserve">, theme colour #047857, background colour #f5f5f4, standalone display mode, and a start URL of `/farm/` — so installing the app lands a user directly on their farm dashboard rather than the public marketing page) rather than a static `manifest.json` file, </w:t>
      </w:r>
      <w:r>
        <w:rPr>
          <w:rFonts w:eastAsia="Times New Roman"/>
        </w:rPr>
        <w:t>together with icon and Apple splash-screen assets covering iPhone SE through iPad Pro screen sizes.</w:t>
      </w:r>
    </w:p>
    <w:p w:rsidR="000216F0" w:rsidRDefault="0030472D">
      <w:pPr>
        <w:jc w:val="both"/>
      </w:pPr>
      <w:r>
        <w:rPr>
          <w:rFonts w:eastAsia="Times New Roman"/>
        </w:rPr>
        <w:lastRenderedPageBreak/>
        <w:t>The service worker (`static/pwa/serviceworker.js`) deliberately implements a network-first, not cache-first, caching strategy, documented directly in the fi</w:t>
      </w:r>
      <w:r>
        <w:rPr>
          <w:rFonts w:eastAsia="Times New Roman"/>
        </w:rPr>
        <w:t>le's own header comment: because FarmIQ is a live farm-records application, a page should always show fresh data when the device is online, and the cache exists only to make the application shell — icons and an offline fallback page — available with zero c</w:t>
      </w:r>
      <w:r>
        <w:rPr>
          <w:rFonts w:eastAsia="Times New Roman"/>
        </w:rPr>
        <w:t>onnectivity, never to serve stale farm data pages. On `install`, the service worker caches only the app shell (the `/offline/` route and PWA icon/splash assets); on `activate`, it purges any previous cache version; on `fetch`, for GET requests only, it att</w:t>
      </w:r>
      <w:r>
        <w:rPr>
          <w:rFonts w:eastAsia="Times New Roman"/>
        </w:rPr>
        <w:t xml:space="preserve">empts the network first, falling back to a cached match for that exact request or, failing that, to the generic offline page. A `push` event listener renders a device notification from the delivered JSON payload, and a `notificationclick` listener focuses </w:t>
      </w:r>
      <w:r>
        <w:rPr>
          <w:rFonts w:eastAsia="Times New Roman"/>
        </w:rPr>
        <w:t>an already-open matching browser tab if one exists, or opens a new one at the notification's target URL.</w:t>
      </w:r>
    </w:p>
    <w:p w:rsidR="000216F0" w:rsidRDefault="0030472D">
      <w:pPr>
        <w:jc w:val="both"/>
      </w:pPr>
      <w:r>
        <w:rPr>
          <w:rFonts w:eastAsia="Times New Roman"/>
        </w:rPr>
        <w:t>Offline data entry is implemented primarily on the page side, in `static/js/offline-queue.js`, rather than in the service worker's Background Sync API,</w:t>
      </w:r>
      <w:r>
        <w:rPr>
          <w:rFonts w:eastAsia="Times New Roman"/>
        </w:rPr>
        <w:t xml:space="preserve"> which the implementation notes has no support in Safari or iOS and is therefore treated only as a secondary, best-effort path. `FarmIQOfflineQueue.queueFormSubmission(form)` intercepts a production-record form submission, stores its fields in an IndexedDB</w:t>
      </w:r>
      <w:r>
        <w:rPr>
          <w:rFonts w:eastAsia="Times New Roman"/>
        </w:rPr>
        <w:t xml:space="preserve"> store (`farmiq-offline-queue` database, `pending-records` object store), and attempts a `SyncManager` registration where supported. The primary flush trigger is the cross-platform `window` `'online'` event, supplemented by a flush attempt on every page lo</w:t>
      </w:r>
      <w:r>
        <w:rPr>
          <w:rFonts w:eastAsia="Times New Roman"/>
        </w:rPr>
        <w:t>ad; a queued record is dropped after five failed resubmission attempts (`MAX_ATTEMPTS`). A badge helper (`registerBadge()`/`updateBadges()`) lets any page display a "N pending" indicator for records still queued. When the service worker's own Background Sy</w:t>
      </w:r>
      <w:r>
        <w:rPr>
          <w:rFonts w:eastAsia="Times New Roman"/>
        </w:rPr>
        <w:t>nc listener does fire, it independently re-implements the same resubmission logic — reading the same IndexedDB store, since a service worker cannot share in-page JavaScript state or read `document.cookie`, and therefore re-POSTs each queued record as `appl</w:t>
      </w:r>
      <w:r>
        <w:rPr>
          <w:rFonts w:eastAsia="Times New Roman"/>
        </w:rPr>
        <w:t>ication/x-www-form-urlencoded` with the CSRF token included as a hidden form field rather than an `X-CSRFToken` header. Both paths use the same success signal — this codebase's convention that a successful create or edit responds with an HTTP redirect, whi</w:t>
      </w:r>
      <w:r>
        <w:rPr>
          <w:rFonts w:eastAsia="Times New Roman"/>
        </w:rPr>
        <w:t>le a rejected form re-renders with a 200 status — as the only reliable way to detect a successful resubmission without a dedicated JSON API.</w:t>
      </w:r>
    </w:p>
    <w:p w:rsidR="000216F0" w:rsidRDefault="0030472D">
      <w:pPr>
        <w:pStyle w:val="Heading2"/>
        <w:spacing w:before="320" w:after="160"/>
      </w:pPr>
      <w:bookmarkStart w:id="86" w:name="_Toc240737134"/>
      <w:r>
        <w:rPr>
          <w:rFonts w:ascii="Times New Roman" w:eastAsia="Times New Roman" w:hAnsi="Times New Roman"/>
          <w:color w:val="1E3A5F"/>
          <w:sz w:val="28"/>
        </w:rPr>
        <w:lastRenderedPageBreak/>
        <w:t>5.10 Internationalisation</w:t>
      </w:r>
      <w:bookmarkEnd w:id="86"/>
    </w:p>
    <w:p w:rsidR="000216F0" w:rsidRDefault="0030472D">
      <w:pPr>
        <w:jc w:val="both"/>
      </w:pPr>
      <w:r>
        <w:rPr>
          <w:rFonts w:eastAsia="Times New Roman"/>
        </w:rPr>
        <w:t xml:space="preserve">FarmIQ uses Django's built-in `gettext`-based translation framework throughout its </w:t>
      </w:r>
      <w:r>
        <w:rPr>
          <w:rFonts w:eastAsia="Times New Roman"/>
        </w:rPr>
        <w:t>models and views, with English as the default locale and Kiswahili (`sw`) as a second, substantially complete translation — the Kiswahili `django.po` file comprises over 3,200 lines with approximately 97 percent of extracted message strings translated, and</w:t>
      </w:r>
      <w:r>
        <w:rPr>
          <w:rFonts w:eastAsia="Times New Roman"/>
        </w:rPr>
        <w:t xml:space="preserve"> is compiled to a `django.mo` binary that is recompiled as translations are updated. Because Django's `LocaleMiddleware` is cookie-based only from Django 4 onward, a language choice made through the in-app toggle is mirrored onto `User.language` in additio</w:t>
      </w:r>
      <w:r>
        <w:rPr>
          <w:rFonts w:eastAsia="Times New Roman"/>
        </w:rPr>
        <w:t>n to the cookie (`core.views.set_language`), and re-applied as a cookie on every subsequent login — the specific mechanism that makes a user's language preference follow them across devices and browsers rather than resetting on a new session.</w:t>
      </w:r>
    </w:p>
    <w:p w:rsidR="000216F0" w:rsidRDefault="0030472D">
      <w:pPr>
        <w:pStyle w:val="Heading2"/>
        <w:spacing w:before="320" w:after="160"/>
      </w:pPr>
      <w:bookmarkStart w:id="87" w:name="_Toc240737135"/>
      <w:r>
        <w:rPr>
          <w:rFonts w:ascii="Times New Roman" w:eastAsia="Times New Roman" w:hAnsi="Times New Roman"/>
          <w:color w:val="1E3A5F"/>
          <w:sz w:val="28"/>
        </w:rPr>
        <w:t>5.11 Security</w:t>
      </w:r>
      <w:r>
        <w:rPr>
          <w:rFonts w:ascii="Times New Roman" w:eastAsia="Times New Roman" w:hAnsi="Times New Roman"/>
          <w:color w:val="1E3A5F"/>
          <w:sz w:val="28"/>
        </w:rPr>
        <w:t xml:space="preserve"> Implementation</w:t>
      </w:r>
      <w:bookmarkEnd w:id="87"/>
    </w:p>
    <w:p w:rsidR="000216F0" w:rsidRDefault="0030472D">
      <w:pPr>
        <w:jc w:val="both"/>
      </w:pPr>
      <w:r>
        <w:rPr>
          <w:rFonts w:eastAsia="Times New Roman"/>
        </w:rPr>
        <w:t xml:space="preserve">Authentication requires no user-managed password at any point (Section 5.3), removing an entire class of credential-reuse and weak-password risk. All farm-scoped data access is mediated by the `farms.permissions` decorator framework, which </w:t>
      </w:r>
      <w:r>
        <w:rPr>
          <w:rFonts w:eastAsia="Times New Roman"/>
        </w:rPr>
        <w:t>resolves the requesting user's active farm membership before any view logic executes, preventing both cross-farm data leakage and privilege escalation within a farm. Session security settings (`SESSION_COOKIE_SECURE`, `CSRF_COOKIE_SECURE`, `SECURE_SSL_REDI</w:t>
      </w:r>
      <w:r>
        <w:rPr>
          <w:rFonts w:eastAsia="Times New Roman"/>
        </w:rPr>
        <w:t>RECT`) are enabled automatically whenever `DEBUG` is false, with `SECURE_PROXY_SSL_HEADER` configured to correctly recognise HTTPS termination at Vercel's edge, and `ALLOWED_HOSTS` automatically extended with Vercel's own deployment-URL environment variabl</w:t>
      </w:r>
      <w:r>
        <w:rPr>
          <w:rFonts w:eastAsia="Times New Roman"/>
        </w:rPr>
        <w:t xml:space="preserve">es rather than requiring manual configuration per deployment. `SECURE_HSTS_SECONDS` is deliberately set to a short 3,600-second window in production (and 0 in debug) rather than a long-lived value, an explicit, documented choice to avoid a browser caching </w:t>
      </w:r>
      <w:r>
        <w:rPr>
          <w:rFonts w:eastAsia="Times New Roman"/>
        </w:rPr>
        <w:t>an overly aggressive HSTS policy that would be difficult to undo if HTTPS configuration needed to change. A custom `CSRF_FAILURE_VIEW` logs diagnostic information and redirects gracefully rather than surfacing a raw 403 error to the user. Sensitive third-p</w:t>
      </w:r>
      <w:r>
        <w:rPr>
          <w:rFonts w:eastAsia="Times New Roman"/>
        </w:rPr>
        <w:t xml:space="preserve">arty credentials — the Hedera operator key, WhatsApp access token, ZeptoMail SMTP credentials, AWS S3 </w:t>
      </w:r>
      <w:r>
        <w:rPr>
          <w:rFonts w:eastAsia="Times New Roman"/>
        </w:rPr>
        <w:lastRenderedPageBreak/>
        <w:t>keys — are loaded exclusively from environment variables via `django-environ`, with the project's `.env.example` file including an explicit warning that a</w:t>
      </w:r>
      <w:r>
        <w:rPr>
          <w:rFonts w:eastAsia="Times New Roman"/>
        </w:rPr>
        <w:t xml:space="preserve">ny key ever pasted into chat, a commit, or elsewhere should be treated as compromised and rotated immediately. On the blockchain side, only a SHA-256 hash of a record's content — never the record's raw data — is ever submitted to a public Hedera Consensus </w:t>
      </w:r>
      <w:r>
        <w:rPr>
          <w:rFonts w:eastAsia="Times New Roman"/>
        </w:rPr>
        <w:t>Service topic, preserving farm data privacy while still providing tamper-evidence. The credit-scoring partner API's identical-response behaviour across an invalid key, an unconsented farm, and a nonexistent farm ID (Section 5.6) is itself a security contro</w:t>
      </w:r>
      <w:r>
        <w:rPr>
          <w:rFonts w:eastAsia="Times New Roman"/>
        </w:rPr>
        <w:t>l, specifically against API-key guessing and farm-ID enumeration by an untrusted external party.</w:t>
      </w:r>
    </w:p>
    <w:p w:rsidR="000216F0" w:rsidRDefault="0030472D">
      <w:pPr>
        <w:pStyle w:val="Heading1"/>
        <w:pageBreakBefore/>
        <w:spacing w:before="80" w:after="200"/>
      </w:pPr>
      <w:bookmarkStart w:id="88" w:name="_Toc240737136"/>
      <w:r>
        <w:rPr>
          <w:rFonts w:ascii="Times New Roman" w:eastAsia="Times New Roman" w:hAnsi="Times New Roman"/>
          <w:color w:val="047857"/>
          <w:sz w:val="36"/>
        </w:rPr>
        <w:lastRenderedPageBreak/>
        <w:t>Chapter 6: Testing and Evaluation</w:t>
      </w:r>
      <w:bookmarkEnd w:id="88"/>
    </w:p>
    <w:p w:rsidR="000216F0" w:rsidRDefault="0030472D">
      <w:pPr>
        <w:pStyle w:val="Heading2"/>
        <w:spacing w:before="320" w:after="160"/>
      </w:pPr>
      <w:bookmarkStart w:id="89" w:name="_Toc240737137"/>
      <w:r>
        <w:rPr>
          <w:rFonts w:ascii="Times New Roman" w:eastAsia="Times New Roman" w:hAnsi="Times New Roman"/>
          <w:color w:val="1E3A5F"/>
          <w:sz w:val="28"/>
        </w:rPr>
        <w:t>6.1 Introduction</w:t>
      </w:r>
      <w:bookmarkEnd w:id="89"/>
    </w:p>
    <w:p w:rsidR="000216F0" w:rsidRDefault="0030472D">
      <w:pPr>
        <w:jc w:val="both"/>
      </w:pPr>
      <w:r>
        <w:rPr>
          <w:rFonts w:eastAsia="Times New Roman"/>
        </w:rPr>
        <w:t xml:space="preserve">This chapter reports the results of executing FarmIQ's automated test suite in full, evaluates the specific </w:t>
      </w:r>
      <w:r>
        <w:rPr>
          <w:rFonts w:eastAsia="Times New Roman"/>
        </w:rPr>
        <w:t>correctness and resilience properties most relevant to the system's distinguishing claims (exact explainability, deterministic scoring, and graceful degradation under third-party failure), and reports honestly on the coverage gaps that remain. Because neit</w:t>
      </w:r>
      <w:r>
        <w:rPr>
          <w:rFonts w:eastAsia="Times New Roman"/>
        </w:rPr>
        <w:t>her of FarmIQ's machine learning subsystems can be validated against an external, labelled ground truth (Section 3.2.4), evaluation in this study is centred on automated testing and internal consistency verification rather than a held-out accuracy benchmar</w:t>
      </w:r>
      <w:r>
        <w:rPr>
          <w:rFonts w:eastAsia="Times New Roman"/>
        </w:rPr>
        <w:t>k or a field-based user study; Section 7.5 identifies both as necessary future work.</w:t>
      </w:r>
    </w:p>
    <w:p w:rsidR="000216F0" w:rsidRDefault="0030472D">
      <w:pPr>
        <w:pStyle w:val="Heading2"/>
        <w:spacing w:before="320" w:after="160"/>
      </w:pPr>
      <w:bookmarkStart w:id="90" w:name="_Toc240737138"/>
      <w:r>
        <w:rPr>
          <w:rFonts w:ascii="Times New Roman" w:eastAsia="Times New Roman" w:hAnsi="Times New Roman"/>
          <w:color w:val="1E3A5F"/>
          <w:sz w:val="28"/>
        </w:rPr>
        <w:t>6.2 Testing Strategy</w:t>
      </w:r>
      <w:bookmarkEnd w:id="90"/>
    </w:p>
    <w:p w:rsidR="000216F0" w:rsidRDefault="0030472D">
      <w:pPr>
        <w:jc w:val="both"/>
      </w:pPr>
      <w:r>
        <w:rPr>
          <w:rFonts w:eastAsia="Times New Roman"/>
        </w:rPr>
        <w:t>FarmIQ's test suite is built on Django's own `TestCase`/`Client` framework, with each of the platform's applications maintaining its own `tests.py` ex</w:t>
      </w:r>
      <w:r>
        <w:rPr>
          <w:rFonts w:eastAsia="Times New Roman"/>
        </w:rPr>
        <w:t>ercising models, service-layer business logic, views, and permission enforcement together, rather than separating unit and integration tests into distinct suites. The suite was executed in full against an isolated, in-memory SQLite test database (`python m</w:t>
      </w:r>
      <w:r>
        <w:rPr>
          <w:rFonts w:eastAsia="Times New Roman"/>
        </w:rPr>
        <w:t>anage.py test`, with `DATABASE_URL` overridden to force SQLite rather than the project's production Neon PostgreSQL instance, which is unreachable from an isolated test environment and is, in any case, not an appropriate target for a destructive test run).</w:t>
      </w:r>
    </w:p>
    <w:p w:rsidR="000216F0" w:rsidRDefault="0030472D">
      <w:pPr>
        <w:pStyle w:val="Heading2"/>
        <w:spacing w:before="320" w:after="160"/>
      </w:pPr>
      <w:bookmarkStart w:id="91" w:name="_Toc240737139"/>
      <w:r>
        <w:rPr>
          <w:rFonts w:ascii="Times New Roman" w:eastAsia="Times New Roman" w:hAnsi="Times New Roman"/>
          <w:color w:val="1E3A5F"/>
          <w:sz w:val="28"/>
        </w:rPr>
        <w:t>6.3 Test Results Summary</w:t>
      </w:r>
      <w:bookmarkEnd w:id="91"/>
    </w:p>
    <w:p w:rsidR="000216F0" w:rsidRDefault="0030472D">
      <w:pPr>
        <w:jc w:val="both"/>
      </w:pPr>
      <w:r>
        <w:rPr>
          <w:rFonts w:eastAsia="Times New Roman"/>
        </w:rPr>
        <w:t>The full suite comprises 230 tests and completed in approximately 90.5 seconds, with 229 passing and one failure (zero errors). Table 6.1 summarises results per application.</w:t>
      </w:r>
    </w:p>
    <w:tbl>
      <w:tblPr>
        <w:tblStyle w:val="TableGrid"/>
        <w:tblW w:w="0" w:type="auto"/>
        <w:jc w:val="center"/>
        <w:tblLook w:val="04A0" w:firstRow="1" w:lastRow="0" w:firstColumn="1" w:lastColumn="0" w:noHBand="0" w:noVBand="1"/>
      </w:tblPr>
      <w:tblGrid>
        <w:gridCol w:w="2087"/>
        <w:gridCol w:w="2045"/>
        <w:gridCol w:w="2054"/>
        <w:gridCol w:w="2670"/>
      </w:tblGrid>
      <w:tr w:rsidR="000216F0">
        <w:trPr>
          <w:jc w:val="center"/>
        </w:trPr>
        <w:tc>
          <w:tcPr>
            <w:tcW w:w="2160" w:type="dxa"/>
            <w:shd w:val="clear" w:color="auto" w:fill="D1FAE5"/>
          </w:tcPr>
          <w:p w:rsidR="000216F0" w:rsidRDefault="0030472D">
            <w:r>
              <w:rPr>
                <w:rFonts w:eastAsia="Times New Roman"/>
                <w:b/>
                <w:sz w:val="20"/>
              </w:rPr>
              <w:t>Application</w:t>
            </w:r>
          </w:p>
        </w:tc>
        <w:tc>
          <w:tcPr>
            <w:tcW w:w="2160" w:type="dxa"/>
            <w:shd w:val="clear" w:color="auto" w:fill="D1FAE5"/>
          </w:tcPr>
          <w:p w:rsidR="000216F0" w:rsidRDefault="0030472D">
            <w:r>
              <w:rPr>
                <w:rFonts w:eastAsia="Times New Roman"/>
                <w:b/>
                <w:sz w:val="20"/>
              </w:rPr>
              <w:t>Tests</w:t>
            </w:r>
          </w:p>
        </w:tc>
        <w:tc>
          <w:tcPr>
            <w:tcW w:w="2160" w:type="dxa"/>
            <w:shd w:val="clear" w:color="auto" w:fill="D1FAE5"/>
          </w:tcPr>
          <w:p w:rsidR="000216F0" w:rsidRDefault="0030472D">
            <w:r>
              <w:rPr>
                <w:rFonts w:eastAsia="Times New Roman"/>
                <w:b/>
                <w:sz w:val="20"/>
              </w:rPr>
              <w:t>Result</w:t>
            </w:r>
          </w:p>
        </w:tc>
        <w:tc>
          <w:tcPr>
            <w:tcW w:w="2160" w:type="dxa"/>
            <w:shd w:val="clear" w:color="auto" w:fill="D1FAE5"/>
          </w:tcPr>
          <w:p w:rsidR="000216F0" w:rsidRDefault="0030472D">
            <w:r>
              <w:rPr>
                <w:rFonts w:eastAsia="Times New Roman"/>
                <w:b/>
                <w:sz w:val="20"/>
              </w:rPr>
              <w:t>Primary coverage focus</w:t>
            </w:r>
          </w:p>
        </w:tc>
      </w:tr>
      <w:tr w:rsidR="000216F0">
        <w:trPr>
          <w:jc w:val="center"/>
        </w:trPr>
        <w:tc>
          <w:tcPr>
            <w:tcW w:w="2160" w:type="dxa"/>
          </w:tcPr>
          <w:p w:rsidR="000216F0" w:rsidRDefault="0030472D">
            <w:r>
              <w:rPr>
                <w:rFonts w:eastAsia="Times New Roman"/>
                <w:sz w:val="19"/>
              </w:rPr>
              <w:t>accounts</w:t>
            </w:r>
          </w:p>
        </w:tc>
        <w:tc>
          <w:tcPr>
            <w:tcW w:w="2160" w:type="dxa"/>
          </w:tcPr>
          <w:p w:rsidR="000216F0" w:rsidRDefault="0030472D">
            <w:r>
              <w:rPr>
                <w:rFonts w:eastAsia="Times New Roman"/>
                <w:sz w:val="19"/>
              </w:rPr>
              <w:t>14</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 xml:space="preserve">OTP issuance/expiry/lockout, signup and login wizards, </w:t>
            </w:r>
            <w:r>
              <w:rPr>
                <w:rFonts w:eastAsia="Times New Roman"/>
                <w:sz w:val="19"/>
              </w:rPr>
              <w:lastRenderedPageBreak/>
              <w:t>permission gating</w:t>
            </w:r>
          </w:p>
        </w:tc>
      </w:tr>
      <w:tr w:rsidR="000216F0">
        <w:trPr>
          <w:jc w:val="center"/>
        </w:trPr>
        <w:tc>
          <w:tcPr>
            <w:tcW w:w="2160" w:type="dxa"/>
          </w:tcPr>
          <w:p w:rsidR="000216F0" w:rsidRDefault="0030472D">
            <w:r>
              <w:rPr>
                <w:rFonts w:eastAsia="Times New Roman"/>
                <w:sz w:val="19"/>
              </w:rPr>
              <w:t>advisory</w:t>
            </w:r>
          </w:p>
        </w:tc>
        <w:tc>
          <w:tcPr>
            <w:tcW w:w="2160" w:type="dxa"/>
          </w:tcPr>
          <w:p w:rsidR="000216F0" w:rsidRDefault="0030472D">
            <w:r>
              <w:rPr>
                <w:rFonts w:eastAsia="Times New Roman"/>
                <w:sz w:val="19"/>
              </w:rPr>
              <w:t>17</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Haversine distance ranking, crop-suitability seed-data integrity, view access</w:t>
            </w:r>
          </w:p>
        </w:tc>
      </w:tr>
      <w:tr w:rsidR="000216F0">
        <w:trPr>
          <w:jc w:val="center"/>
        </w:trPr>
        <w:tc>
          <w:tcPr>
            <w:tcW w:w="2160" w:type="dxa"/>
          </w:tcPr>
          <w:p w:rsidR="000216F0" w:rsidRDefault="0030472D">
            <w:r>
              <w:rPr>
                <w:rFonts w:eastAsia="Times New Roman"/>
                <w:sz w:val="19"/>
              </w:rPr>
              <w:t>analysis</w:t>
            </w:r>
          </w:p>
        </w:tc>
        <w:tc>
          <w:tcPr>
            <w:tcW w:w="2160" w:type="dxa"/>
          </w:tcPr>
          <w:p w:rsidR="000216F0" w:rsidRDefault="0030472D">
            <w:r>
              <w:rPr>
                <w:rFonts w:eastAsia="Times New Roman"/>
                <w:sz w:val="19"/>
              </w:rPr>
              <w:t>3</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 xml:space="preserve">Milk-yield prediction </w:t>
            </w:r>
            <w:r>
              <w:rPr>
                <w:rFonts w:eastAsia="Times New Roman"/>
                <w:sz w:val="19"/>
              </w:rPr>
              <w:t>(lightest coverage relative to subsystem complexity)</w:t>
            </w:r>
          </w:p>
        </w:tc>
      </w:tr>
      <w:tr w:rsidR="000216F0">
        <w:trPr>
          <w:jc w:val="center"/>
        </w:trPr>
        <w:tc>
          <w:tcPr>
            <w:tcW w:w="2160" w:type="dxa"/>
          </w:tcPr>
          <w:p w:rsidR="000216F0" w:rsidRDefault="0030472D">
            <w:r>
              <w:rPr>
                <w:rFonts w:eastAsia="Times New Roman"/>
                <w:sz w:val="19"/>
              </w:rPr>
              <w:t>core</w:t>
            </w:r>
          </w:p>
        </w:tc>
        <w:tc>
          <w:tcPr>
            <w:tcW w:w="2160" w:type="dxa"/>
          </w:tcPr>
          <w:p w:rsidR="000216F0" w:rsidRDefault="0030472D">
            <w:r>
              <w:rPr>
                <w:rFonts w:eastAsia="Times New Roman"/>
                <w:sz w:val="19"/>
              </w:rPr>
              <w:t>9</w:t>
            </w:r>
          </w:p>
        </w:tc>
        <w:tc>
          <w:tcPr>
            <w:tcW w:w="2160" w:type="dxa"/>
          </w:tcPr>
          <w:p w:rsidR="000216F0" w:rsidRDefault="0030472D">
            <w:r>
              <w:rPr>
                <w:rFonts w:eastAsia="Times New Roman"/>
                <w:sz w:val="19"/>
              </w:rPr>
              <w:t>1 failing</w:t>
            </w:r>
          </w:p>
        </w:tc>
        <w:tc>
          <w:tcPr>
            <w:tcW w:w="2160" w:type="dxa"/>
          </w:tcPr>
          <w:p w:rsidR="000216F0" w:rsidRDefault="0030472D">
            <w:r>
              <w:rPr>
                <w:rFonts w:eastAsia="Times New Roman"/>
                <w:sz w:val="19"/>
              </w:rPr>
              <w:t>Landing page, public demo-mode account seeding and access restriction</w:t>
            </w:r>
          </w:p>
        </w:tc>
      </w:tr>
      <w:tr w:rsidR="000216F0">
        <w:trPr>
          <w:jc w:val="center"/>
        </w:trPr>
        <w:tc>
          <w:tcPr>
            <w:tcW w:w="2160" w:type="dxa"/>
          </w:tcPr>
          <w:p w:rsidR="000216F0" w:rsidRDefault="0030472D">
            <w:r>
              <w:rPr>
                <w:rFonts w:eastAsia="Times New Roman"/>
                <w:sz w:val="19"/>
              </w:rPr>
              <w:t>cows</w:t>
            </w:r>
          </w:p>
        </w:tc>
        <w:tc>
          <w:tcPr>
            <w:tcW w:w="2160" w:type="dxa"/>
          </w:tcPr>
          <w:p w:rsidR="000216F0" w:rsidRDefault="0030472D">
            <w:r>
              <w:rPr>
                <w:rFonts w:eastAsia="Times New Roman"/>
                <w:sz w:val="19"/>
              </w:rPr>
              <w:t>26</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Herd registry CRUD, records, computed reproduction/calving properties, permissions</w:t>
            </w:r>
          </w:p>
        </w:tc>
      </w:tr>
      <w:tr w:rsidR="000216F0">
        <w:trPr>
          <w:jc w:val="center"/>
        </w:trPr>
        <w:tc>
          <w:tcPr>
            <w:tcW w:w="2160" w:type="dxa"/>
          </w:tcPr>
          <w:p w:rsidR="000216F0" w:rsidRDefault="0030472D">
            <w:r>
              <w:rPr>
                <w:rFonts w:eastAsia="Times New Roman"/>
                <w:sz w:val="19"/>
              </w:rPr>
              <w:t>creditscor</w:t>
            </w:r>
            <w:r>
              <w:rPr>
                <w:rFonts w:eastAsia="Times New Roman"/>
                <w:sz w:val="19"/>
              </w:rPr>
              <w:t>e</w:t>
            </w:r>
          </w:p>
        </w:tc>
        <w:tc>
          <w:tcPr>
            <w:tcW w:w="2160" w:type="dxa"/>
          </w:tcPr>
          <w:p w:rsidR="000216F0" w:rsidRDefault="0030472D">
            <w:r>
              <w:rPr>
                <w:rFonts w:eastAsia="Times New Roman"/>
                <w:sz w:val="19"/>
              </w:rPr>
              <w:t>29</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Feature computation, imputation, provisional fallback, determinism, tier-monotonicity, independent explainability re-implementation, Hedera resilience, partner-API consent/enumeration-resistance</w:t>
            </w:r>
          </w:p>
        </w:tc>
      </w:tr>
      <w:tr w:rsidR="000216F0">
        <w:trPr>
          <w:jc w:val="center"/>
        </w:trPr>
        <w:tc>
          <w:tcPr>
            <w:tcW w:w="2160" w:type="dxa"/>
          </w:tcPr>
          <w:p w:rsidR="000216F0" w:rsidRDefault="0030472D">
            <w:r>
              <w:rPr>
                <w:rFonts w:eastAsia="Times New Roman"/>
                <w:sz w:val="19"/>
              </w:rPr>
              <w:t>crops</w:t>
            </w:r>
          </w:p>
        </w:tc>
        <w:tc>
          <w:tcPr>
            <w:tcW w:w="2160" w:type="dxa"/>
          </w:tcPr>
          <w:p w:rsidR="000216F0" w:rsidRDefault="0030472D">
            <w:r>
              <w:rPr>
                <w:rFonts w:eastAsia="Times New Roman"/>
                <w:sz w:val="19"/>
              </w:rPr>
              <w:t>14</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 xml:space="preserve">Crop </w:t>
            </w:r>
            <w:r>
              <w:rPr>
                <w:rFonts w:eastAsia="Times New Roman"/>
                <w:sz w:val="19"/>
              </w:rPr>
              <w:t>lifecycle, activities, GeoMap field-boundary integration</w:t>
            </w:r>
          </w:p>
        </w:tc>
      </w:tr>
      <w:tr w:rsidR="000216F0">
        <w:trPr>
          <w:jc w:val="center"/>
        </w:trPr>
        <w:tc>
          <w:tcPr>
            <w:tcW w:w="2160" w:type="dxa"/>
          </w:tcPr>
          <w:p w:rsidR="000216F0" w:rsidRDefault="0030472D">
            <w:r>
              <w:rPr>
                <w:rFonts w:eastAsia="Times New Roman"/>
                <w:sz w:val="19"/>
              </w:rPr>
              <w:t>farms</w:t>
            </w:r>
          </w:p>
        </w:tc>
        <w:tc>
          <w:tcPr>
            <w:tcW w:w="2160" w:type="dxa"/>
          </w:tcPr>
          <w:p w:rsidR="000216F0" w:rsidRDefault="0030472D">
            <w:r>
              <w:rPr>
                <w:rFonts w:eastAsia="Times New Roman"/>
                <w:sz w:val="19"/>
              </w:rPr>
              <w:t>4</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Multi-tenancy and role-permission framework</w:t>
            </w:r>
          </w:p>
        </w:tc>
      </w:tr>
      <w:tr w:rsidR="000216F0">
        <w:trPr>
          <w:jc w:val="center"/>
        </w:trPr>
        <w:tc>
          <w:tcPr>
            <w:tcW w:w="2160" w:type="dxa"/>
          </w:tcPr>
          <w:p w:rsidR="000216F0" w:rsidRDefault="0030472D">
            <w:r>
              <w:rPr>
                <w:rFonts w:eastAsia="Times New Roman"/>
                <w:sz w:val="19"/>
              </w:rPr>
              <w:t>finance</w:t>
            </w:r>
          </w:p>
        </w:tc>
        <w:tc>
          <w:tcPr>
            <w:tcW w:w="2160" w:type="dxa"/>
          </w:tcPr>
          <w:p w:rsidR="000216F0" w:rsidRDefault="0030472D">
            <w:r>
              <w:rPr>
                <w:rFonts w:eastAsia="Times New Roman"/>
                <w:sz w:val="19"/>
              </w:rPr>
              <w:t>10</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Transaction ledger, category taxonomy</w:t>
            </w:r>
          </w:p>
        </w:tc>
      </w:tr>
      <w:tr w:rsidR="000216F0">
        <w:trPr>
          <w:jc w:val="center"/>
        </w:trPr>
        <w:tc>
          <w:tcPr>
            <w:tcW w:w="2160" w:type="dxa"/>
          </w:tcPr>
          <w:p w:rsidR="000216F0" w:rsidRDefault="0030472D">
            <w:r>
              <w:rPr>
                <w:rFonts w:eastAsia="Times New Roman"/>
                <w:sz w:val="19"/>
              </w:rPr>
              <w:t>geomap</w:t>
            </w:r>
          </w:p>
        </w:tc>
        <w:tc>
          <w:tcPr>
            <w:tcW w:w="2160" w:type="dxa"/>
          </w:tcPr>
          <w:p w:rsidR="000216F0" w:rsidRDefault="0030472D">
            <w:r>
              <w:rPr>
                <w:rFonts w:eastAsia="Times New Roman"/>
                <w:sz w:val="19"/>
              </w:rPr>
              <w:t>8</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Geodesic area/perimeter calculation, parcel CRUD a</w:t>
            </w:r>
            <w:r>
              <w:rPr>
                <w:rFonts w:eastAsia="Times New Roman"/>
                <w:sz w:val="19"/>
              </w:rPr>
              <w:t>nd permissions</w:t>
            </w:r>
          </w:p>
        </w:tc>
      </w:tr>
      <w:tr w:rsidR="000216F0">
        <w:trPr>
          <w:jc w:val="center"/>
        </w:trPr>
        <w:tc>
          <w:tcPr>
            <w:tcW w:w="2160" w:type="dxa"/>
          </w:tcPr>
          <w:p w:rsidR="000216F0" w:rsidRDefault="0030472D">
            <w:r>
              <w:rPr>
                <w:rFonts w:eastAsia="Times New Roman"/>
                <w:sz w:val="19"/>
              </w:rPr>
              <w:t>insights</w:t>
            </w:r>
          </w:p>
        </w:tc>
        <w:tc>
          <w:tcPr>
            <w:tcW w:w="2160" w:type="dxa"/>
          </w:tcPr>
          <w:p w:rsidR="000216F0" w:rsidRDefault="0030472D">
            <w:r>
              <w:rPr>
                <w:rFonts w:eastAsia="Times New Roman"/>
                <w:sz w:val="19"/>
              </w:rPr>
              <w:t>17</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 xml:space="preserve">All six rule-based insight </w:t>
            </w:r>
            <w:r>
              <w:rPr>
                <w:rFonts w:eastAsia="Times New Roman"/>
                <w:sz w:val="19"/>
              </w:rPr>
              <w:lastRenderedPageBreak/>
              <w:t>detectors' threshold behaviour</w:t>
            </w:r>
          </w:p>
        </w:tc>
      </w:tr>
      <w:tr w:rsidR="000216F0">
        <w:trPr>
          <w:jc w:val="center"/>
        </w:trPr>
        <w:tc>
          <w:tcPr>
            <w:tcW w:w="2160" w:type="dxa"/>
          </w:tcPr>
          <w:p w:rsidR="000216F0" w:rsidRDefault="0030472D">
            <w:r>
              <w:rPr>
                <w:rFonts w:eastAsia="Times New Roman"/>
                <w:sz w:val="19"/>
              </w:rPr>
              <w:t>inventory</w:t>
            </w:r>
          </w:p>
        </w:tc>
        <w:tc>
          <w:tcPr>
            <w:tcW w:w="2160" w:type="dxa"/>
          </w:tcPr>
          <w:p w:rsidR="000216F0" w:rsidRDefault="0030472D">
            <w:r>
              <w:rPr>
                <w:rFonts w:eastAsia="Times New Roman"/>
                <w:sz w:val="19"/>
              </w:rPr>
              <w:t>9</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Concurrency-safe stock movement application and reversal</w:t>
            </w:r>
          </w:p>
        </w:tc>
      </w:tr>
      <w:tr w:rsidR="000216F0">
        <w:trPr>
          <w:jc w:val="center"/>
        </w:trPr>
        <w:tc>
          <w:tcPr>
            <w:tcW w:w="2160" w:type="dxa"/>
          </w:tcPr>
          <w:p w:rsidR="000216F0" w:rsidRDefault="0030472D">
            <w:r>
              <w:rPr>
                <w:rFonts w:eastAsia="Times New Roman"/>
                <w:sz w:val="19"/>
              </w:rPr>
              <w:t>notifications</w:t>
            </w:r>
          </w:p>
        </w:tc>
        <w:tc>
          <w:tcPr>
            <w:tcW w:w="2160" w:type="dxa"/>
          </w:tcPr>
          <w:p w:rsidR="000216F0" w:rsidRDefault="0030472D">
            <w:r>
              <w:rPr>
                <w:rFonts w:eastAsia="Times New Roman"/>
                <w:sz w:val="19"/>
              </w:rPr>
              <w:t>16</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 xml:space="preserve">Multi-channel dispatch logic, WhatsApp </w:t>
            </w:r>
            <w:r>
              <w:rPr>
                <w:rFonts w:eastAsia="Times New Roman"/>
                <w:sz w:val="19"/>
              </w:rPr>
              <w:t>payload/auth, push subscription handling, resilience</w:t>
            </w:r>
          </w:p>
        </w:tc>
      </w:tr>
      <w:tr w:rsidR="000216F0">
        <w:trPr>
          <w:jc w:val="center"/>
        </w:trPr>
        <w:tc>
          <w:tcPr>
            <w:tcW w:w="2160" w:type="dxa"/>
          </w:tcPr>
          <w:p w:rsidR="000216F0" w:rsidRDefault="0030472D">
            <w:r>
              <w:rPr>
                <w:rFonts w:eastAsia="Times New Roman"/>
                <w:sz w:val="19"/>
              </w:rPr>
              <w:t>tasks</w:t>
            </w:r>
          </w:p>
        </w:tc>
        <w:tc>
          <w:tcPr>
            <w:tcW w:w="2160" w:type="dxa"/>
          </w:tcPr>
          <w:p w:rsidR="000216F0" w:rsidRDefault="0030472D">
            <w:r>
              <w:rPr>
                <w:rFonts w:eastAsia="Times New Roman"/>
                <w:sz w:val="19"/>
              </w:rPr>
              <w:t>8</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Recurrence, assignment, permissions</w:t>
            </w:r>
          </w:p>
        </w:tc>
      </w:tr>
      <w:tr w:rsidR="000216F0">
        <w:trPr>
          <w:jc w:val="center"/>
        </w:trPr>
        <w:tc>
          <w:tcPr>
            <w:tcW w:w="2160" w:type="dxa"/>
          </w:tcPr>
          <w:p w:rsidR="000216F0" w:rsidRDefault="0030472D">
            <w:r>
              <w:rPr>
                <w:rFonts w:eastAsia="Times New Roman"/>
                <w:sz w:val="19"/>
              </w:rPr>
              <w:t>weather</w:t>
            </w:r>
          </w:p>
        </w:tc>
        <w:tc>
          <w:tcPr>
            <w:tcW w:w="2160" w:type="dxa"/>
          </w:tcPr>
          <w:p w:rsidR="000216F0" w:rsidRDefault="0030472D">
            <w:r>
              <w:rPr>
                <w:rFonts w:eastAsia="Times New Roman"/>
                <w:sz w:val="19"/>
              </w:rPr>
              <w:t>14</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Advisory rule logic, geocoding resilience, forecast retrieval</w:t>
            </w:r>
          </w:p>
        </w:tc>
      </w:tr>
      <w:tr w:rsidR="000216F0">
        <w:trPr>
          <w:jc w:val="center"/>
        </w:trPr>
        <w:tc>
          <w:tcPr>
            <w:tcW w:w="2160" w:type="dxa"/>
          </w:tcPr>
          <w:p w:rsidR="000216F0" w:rsidRDefault="0030472D">
            <w:r>
              <w:rPr>
                <w:rFonts w:eastAsia="Times New Roman"/>
                <w:sz w:val="19"/>
              </w:rPr>
              <w:t>website</w:t>
            </w:r>
          </w:p>
        </w:tc>
        <w:tc>
          <w:tcPr>
            <w:tcW w:w="2160" w:type="dxa"/>
          </w:tcPr>
          <w:p w:rsidR="000216F0" w:rsidRDefault="0030472D">
            <w:r>
              <w:rPr>
                <w:rFonts w:eastAsia="Times New Roman"/>
                <w:sz w:val="19"/>
              </w:rPr>
              <w:t>31</w:t>
            </w:r>
          </w:p>
        </w:tc>
        <w:tc>
          <w:tcPr>
            <w:tcW w:w="2160" w:type="dxa"/>
          </w:tcPr>
          <w:p w:rsidR="000216F0" w:rsidRDefault="0030472D">
            <w:r>
              <w:rPr>
                <w:rFonts w:eastAsia="Times New Roman"/>
                <w:sz w:val="19"/>
              </w:rPr>
              <w:t>All passing</w:t>
            </w:r>
          </w:p>
        </w:tc>
        <w:tc>
          <w:tcPr>
            <w:tcW w:w="2160" w:type="dxa"/>
          </w:tcPr>
          <w:p w:rsidR="000216F0" w:rsidRDefault="0030472D">
            <w:r>
              <w:rPr>
                <w:rFonts w:eastAsia="Times New Roman"/>
                <w:sz w:val="19"/>
              </w:rPr>
              <w:t xml:space="preserve">Slug </w:t>
            </w:r>
            <w:r>
              <w:rPr>
                <w:rFonts w:eastAsia="Times New Roman"/>
                <w:sz w:val="19"/>
              </w:rPr>
              <w:t>generation/collision/reservation, publish-gating, CMS and order-flow permissions</w:t>
            </w:r>
          </w:p>
        </w:tc>
      </w:tr>
      <w:tr w:rsidR="000216F0">
        <w:trPr>
          <w:jc w:val="center"/>
        </w:trPr>
        <w:tc>
          <w:tcPr>
            <w:tcW w:w="2160" w:type="dxa"/>
          </w:tcPr>
          <w:p w:rsidR="000216F0" w:rsidRDefault="0030472D">
            <w:r>
              <w:rPr>
                <w:rFonts w:eastAsia="Times New Roman"/>
                <w:sz w:val="19"/>
              </w:rPr>
              <w:t>blockchain</w:t>
            </w:r>
          </w:p>
        </w:tc>
        <w:tc>
          <w:tcPr>
            <w:tcW w:w="2160" w:type="dxa"/>
          </w:tcPr>
          <w:p w:rsidR="000216F0" w:rsidRDefault="0030472D">
            <w:r>
              <w:rPr>
                <w:rFonts w:eastAsia="Times New Roman"/>
                <w:sz w:val="19"/>
              </w:rPr>
              <w:t>0</w:t>
            </w:r>
          </w:p>
        </w:tc>
        <w:tc>
          <w:tcPr>
            <w:tcW w:w="2160" w:type="dxa"/>
          </w:tcPr>
          <w:p w:rsidR="000216F0" w:rsidRDefault="0030472D">
            <w:r>
              <w:rPr>
                <w:rFonts w:eastAsia="Times New Roman"/>
                <w:sz w:val="19"/>
              </w:rPr>
              <w:t>No test file</w:t>
            </w:r>
          </w:p>
        </w:tc>
        <w:tc>
          <w:tcPr>
            <w:tcW w:w="2160" w:type="dxa"/>
          </w:tcPr>
          <w:p w:rsidR="000216F0" w:rsidRDefault="0030472D">
            <w:r>
              <w:rPr>
                <w:rFonts w:eastAsia="Times New Roman"/>
                <w:sz w:val="19"/>
              </w:rPr>
              <w:t>—</w:t>
            </w:r>
          </w:p>
        </w:tc>
      </w:tr>
    </w:tbl>
    <w:p w:rsidR="000216F0" w:rsidRDefault="000216F0">
      <w:pPr>
        <w:spacing w:after="40"/>
      </w:pPr>
    </w:p>
    <w:p w:rsidR="000216F0" w:rsidRDefault="0030472D">
      <w:pPr>
        <w:spacing w:before="80" w:after="280"/>
        <w:jc w:val="center"/>
      </w:pPr>
      <w:r>
        <w:rPr>
          <w:rFonts w:eastAsia="Times New Roman"/>
          <w:b/>
          <w:i/>
          <w:sz w:val="21"/>
        </w:rPr>
        <w:t>Table 6.1: Automated test results by application (230 tests total, 229 passing, 1 failing, 0 errors)</w:t>
      </w:r>
    </w:p>
    <w:p w:rsidR="000216F0" w:rsidRDefault="0030472D">
      <w:pPr>
        <w:pStyle w:val="Heading2"/>
        <w:spacing w:before="320" w:after="160"/>
      </w:pPr>
      <w:bookmarkStart w:id="92" w:name="_Toc240737140"/>
      <w:r>
        <w:rPr>
          <w:rFonts w:ascii="Times New Roman" w:eastAsia="Times New Roman" w:hAnsi="Times New Roman"/>
          <w:color w:val="1E3A5F"/>
          <w:sz w:val="28"/>
        </w:rPr>
        <w:t>6.4 Explainability and Determinism Verifica</w:t>
      </w:r>
      <w:r>
        <w:rPr>
          <w:rFonts w:ascii="Times New Roman" w:eastAsia="Times New Roman" w:hAnsi="Times New Roman"/>
          <w:color w:val="1E3A5F"/>
          <w:sz w:val="28"/>
        </w:rPr>
        <w:t>tion</w:t>
      </w:r>
      <w:bookmarkEnd w:id="92"/>
    </w:p>
    <w:p w:rsidR="000216F0" w:rsidRDefault="0030472D">
      <w:pPr>
        <w:jc w:val="both"/>
      </w:pPr>
      <w:r>
        <w:rPr>
          <w:rFonts w:eastAsia="Times New Roman"/>
        </w:rPr>
        <w:t>Two properties central to FarmIQ's distinguishing claims — that its explanations are exact, and that its scoring is deterministic — were specifically verified rather than assumed. The credit-scoring test suite includes `ExplainabilityTests.test_popula</w:t>
      </w:r>
      <w:r>
        <w:rPr>
          <w:rFonts w:eastAsia="Times New Roman"/>
        </w:rPr>
        <w:t>tion_contributions_sum_exactly_to_pc1`, which independently re-implements the PCA contribution calculation from first principles, separately from the production `creditscore.explain` module, and asserts that the two implementations agree exactly — a materi</w:t>
      </w:r>
      <w:r>
        <w:rPr>
          <w:rFonts w:eastAsia="Times New Roman"/>
        </w:rPr>
        <w:t>ally stronger check than a unit test that merely calls the production function and trusts its own arithmetic. The suite additionally verifies tier-monotonicity (farms with better simulated operational quality land in better tiers on average across repeated</w:t>
      </w:r>
      <w:r>
        <w:rPr>
          <w:rFonts w:eastAsia="Times New Roman"/>
        </w:rPr>
        <w:t xml:space="preserve"> simulated populations), determinism (recomputing an unchanged </w:t>
      </w:r>
      <w:r>
        <w:rPr>
          <w:rFonts w:eastAsia="Times New Roman"/>
        </w:rPr>
        <w:lastRenderedPageBreak/>
        <w:t>population produces identical scores and tiers, confirming the fixed `random_state` used for both `PCA` and `KMeans` behaves as intended), and correct handling of a crop-only farm whose missing</w:t>
      </w:r>
      <w:r>
        <w:rPr>
          <w:rFonts w:eastAsia="Times New Roman"/>
        </w:rPr>
        <w:t xml:space="preserve"> production features are imputed from the population median rather than defaulted to zero or causing a crash.</w:t>
      </w:r>
    </w:p>
    <w:p w:rsidR="000216F0" w:rsidRDefault="0030472D">
      <w:pPr>
        <w:pStyle w:val="Heading2"/>
        <w:spacing w:before="320" w:after="160"/>
      </w:pPr>
      <w:bookmarkStart w:id="93" w:name="_Toc240737141"/>
      <w:r>
        <w:rPr>
          <w:rFonts w:ascii="Times New Roman" w:eastAsia="Times New Roman" w:hAnsi="Times New Roman"/>
          <w:color w:val="1E3A5F"/>
          <w:sz w:val="28"/>
        </w:rPr>
        <w:t>6.5 Resilience and Graceful-Degradation Testing</w:t>
      </w:r>
      <w:bookmarkEnd w:id="93"/>
    </w:p>
    <w:p w:rsidR="000216F0" w:rsidRDefault="0030472D">
      <w:pPr>
        <w:jc w:val="both"/>
      </w:pPr>
      <w:r>
        <w:rPr>
          <w:rFonts w:eastAsia="Times New Roman"/>
        </w:rPr>
        <w:t>The test run surfaced direct, observable evidence of the best-effort, non-blocking integration pat</w:t>
      </w:r>
      <w:r>
        <w:rPr>
          <w:rFonts w:eastAsia="Times New Roman"/>
        </w:rPr>
        <w:t>tern described in Section 4.4.6 and Section 5.7–5.8: several tests deliberately exercise a third-party service failure and assert the surrounding operation still succeeds. `notifications.tests.SendWhatsappMessageTests.test_request_failure_is_swallowed` moc</w:t>
      </w:r>
      <w:r>
        <w:rPr>
          <w:rFonts w:eastAsia="Times New Roman"/>
        </w:rPr>
        <w:t>ks a `RequestException` from the WhatsApp send call and confirms it is logged and swallowed rather than propagated. `weather.tests.GeocodeFarmLocationTests.test_geocode_failure_is_swallowed` confirms the same for a failed geocoding request, and `weather.te</w:t>
      </w:r>
      <w:r>
        <w:rPr>
          <w:rFonts w:eastAsia="Times New Roman"/>
        </w:rPr>
        <w:t>sts.RefreshViewTests.test_refresh_without_coordinates_shows_error_not_crash` confirms the corresponding view degrades to a user-facing message rather than an unhandled exception. Independently of these dedicated tests, the wider suite run against an unconf</w:t>
      </w:r>
      <w:r>
        <w:rPr>
          <w:rFonts w:eastAsia="Times New Roman"/>
        </w:rPr>
        <w:t>igured Hedera client produced repeated `"Failed to anchor hash on credit_score_topic_id"` log warnings during ordinary demo-farm seeding and credit-score tests — an unprompted, incidental demonstration, across many unrelated tests, that the platform's core</w:t>
      </w:r>
      <w:r>
        <w:rPr>
          <w:rFonts w:eastAsia="Times New Roman"/>
        </w:rPr>
        <w:t xml:space="preserve"> record-keeping and scoring functionality proceeds normally even when every Hedera anchoring attempt in the run fails, consistent with the resilience property claimed in Section 4.4.6 and Section 5.7.</w:t>
      </w:r>
    </w:p>
    <w:p w:rsidR="000216F0" w:rsidRDefault="0030472D">
      <w:pPr>
        <w:pStyle w:val="Heading2"/>
        <w:spacing w:before="320" w:after="160"/>
      </w:pPr>
      <w:bookmarkStart w:id="94" w:name="_Toc240737142"/>
      <w:r>
        <w:rPr>
          <w:rFonts w:ascii="Times New Roman" w:eastAsia="Times New Roman" w:hAnsi="Times New Roman"/>
          <w:color w:val="1E3A5F"/>
          <w:sz w:val="28"/>
        </w:rPr>
        <w:t>6.6 The One Observed Failure and Coverage Gaps</w:t>
      </w:r>
      <w:bookmarkEnd w:id="94"/>
    </w:p>
    <w:p w:rsidR="000216F0" w:rsidRDefault="0030472D">
      <w:pPr>
        <w:jc w:val="both"/>
      </w:pPr>
      <w:r>
        <w:rPr>
          <w:rFonts w:eastAsia="Times New Roman"/>
        </w:rPr>
        <w:t>The sing</w:t>
      </w:r>
      <w:r>
        <w:rPr>
          <w:rFonts w:eastAsia="Times New Roman"/>
        </w:rPr>
        <w:t>le failing test, `core.tests.DemoModeMiddlewareTests.test_login_form_submission_is_not_blocked_by_demo_mode`, asserted an HTTP 200 response from a login-form submission under the platform's public demo-mode middleware and instead received a 302 redirect. G</w:t>
      </w:r>
      <w:r>
        <w:rPr>
          <w:rFonts w:eastAsia="Times New Roman"/>
        </w:rPr>
        <w:t xml:space="preserve">iven this </w:t>
      </w:r>
      <w:r>
        <w:rPr>
          <w:rFonts w:eastAsia="Times New Roman"/>
        </w:rPr>
        <w:lastRenderedPageBreak/>
        <w:t>codebase's own documented convention that a successful create or edit action responds with a redirect while a rejected form re-renders with a 200 status (Section 5.9), this specific failure is most plausibly a mismatch between the test's expectat</w:t>
      </w:r>
      <w:r>
        <w:rPr>
          <w:rFonts w:eastAsia="Times New Roman"/>
        </w:rPr>
        <w:t>ion and the login flow's redirect-on-success behaviour under the demo-mode middleware's session-handling, rather than evidence of a functional defect affecting a real user; it is reported here as an open item rather than root-caused further, since doing so</w:t>
      </w:r>
      <w:r>
        <w:rPr>
          <w:rFonts w:eastAsia="Times New Roman"/>
        </w:rPr>
        <w:t xml:space="preserve"> was outside this evaluation's scope.</w:t>
      </w:r>
    </w:p>
    <w:p w:rsidR="000216F0" w:rsidRDefault="0030472D">
      <w:pPr>
        <w:jc w:val="both"/>
      </w:pPr>
      <w:r>
        <w:rPr>
          <w:rFonts w:eastAsia="Times New Roman"/>
        </w:rPr>
        <w:t>Test coverage across the codebase is genuinely uneven, and this study reports that honestly rather than overstating uniform reliability. `creditscore` (29 tests) and `website` (31 tests) carry the deepest coverage of a</w:t>
      </w:r>
      <w:r>
        <w:rPr>
          <w:rFonts w:eastAsia="Times New Roman"/>
        </w:rPr>
        <w:t>ny single application — appropriate, in the credit-scoring engine's case, given its centrality to this study's core contribution. By contrast, `analysis` — the milk-yield prediction engine, the other of FarmIQ's two machine learning subsystems — has only 3</w:t>
      </w:r>
      <w:r>
        <w:rPr>
          <w:rFonts w:eastAsia="Times New Roman"/>
        </w:rPr>
        <w:t xml:space="preserve"> tests, materially thinner than its algorithmic complexity would justify, and `blockchain`, despite implementing every Hedera mint and anchor operation in the platform, has no dedicated test file at all; its behaviour is currently exercised only indirectly</w:t>
      </w:r>
      <w:r>
        <w:rPr>
          <w:rFonts w:eastAsia="Times New Roman"/>
        </w:rPr>
        <w:t>, through the resilience assertions in `creditscore`, `analysis`, and `finance` that mock or tolerate its failure. Closing both gaps — particularly `blockchain`, given its direct role in the credit-scoring engine's tamper-evidence guarantee — is identified</w:t>
      </w:r>
      <w:r>
        <w:rPr>
          <w:rFonts w:eastAsia="Times New Roman"/>
        </w:rPr>
        <w:t xml:space="preserve"> as a priority in Section 7.5's recommendations for future work, ahead of any production use of the credit-scoring API by a real external data partner.</w:t>
      </w:r>
    </w:p>
    <w:p w:rsidR="000216F0" w:rsidRDefault="0030472D">
      <w:pPr>
        <w:pStyle w:val="Heading2"/>
        <w:spacing w:before="320" w:after="160"/>
      </w:pPr>
      <w:bookmarkStart w:id="95" w:name="_Toc240737143"/>
      <w:r>
        <w:rPr>
          <w:rFonts w:ascii="Times New Roman" w:eastAsia="Times New Roman" w:hAnsi="Times New Roman"/>
          <w:color w:val="1E3A5F"/>
          <w:sz w:val="28"/>
        </w:rPr>
        <w:t>6.7 Evaluation Scope and What Was Not Assessed</w:t>
      </w:r>
      <w:bookmarkEnd w:id="95"/>
    </w:p>
    <w:p w:rsidR="000216F0" w:rsidRDefault="0030472D">
      <w:pPr>
        <w:jc w:val="both"/>
      </w:pPr>
      <w:r>
        <w:rPr>
          <w:rFonts w:eastAsia="Times New Roman"/>
        </w:rPr>
        <w:t xml:space="preserve">Consistent with the limitations stated in Section 1.7.2, </w:t>
      </w:r>
      <w:r>
        <w:rPr>
          <w:rFonts w:eastAsia="Times New Roman"/>
        </w:rPr>
        <w:t>this evaluation did not include a held-out accuracy benchmark for the milk-yield predictor (no independently-labelled test set exists beyond a farm's own subsequent records), a validation of the credit-scoring engine's tiers against real loan-repayment out</w:t>
      </w:r>
      <w:r>
        <w:rPr>
          <w:rFonts w:eastAsia="Times New Roman"/>
        </w:rPr>
        <w:t xml:space="preserve">comes (none exist, by the platform's own design premise), or formal field-based user acceptance testing across farms beyond the Miginon Farm pilot. These remain necessary next steps, discussed in Section 7.5, and are </w:t>
      </w:r>
      <w:r>
        <w:rPr>
          <w:rFonts w:eastAsia="Times New Roman"/>
        </w:rPr>
        <w:lastRenderedPageBreak/>
        <w:t>distinct from the correctness, determin</w:t>
      </w:r>
      <w:r>
        <w:rPr>
          <w:rFonts w:eastAsia="Times New Roman"/>
        </w:rPr>
        <w:t>ism, and resilience properties this chapter did verify.</w:t>
      </w:r>
    </w:p>
    <w:p w:rsidR="000216F0" w:rsidRDefault="0030472D">
      <w:pPr>
        <w:pStyle w:val="Heading1"/>
        <w:pageBreakBefore/>
        <w:spacing w:before="80" w:after="200"/>
      </w:pPr>
      <w:bookmarkStart w:id="96" w:name="_Toc240737144"/>
      <w:r>
        <w:rPr>
          <w:rFonts w:ascii="Times New Roman" w:eastAsia="Times New Roman" w:hAnsi="Times New Roman"/>
          <w:color w:val="047857"/>
          <w:sz w:val="36"/>
        </w:rPr>
        <w:lastRenderedPageBreak/>
        <w:t>Chapter 7: Conclusion and Recommendations</w:t>
      </w:r>
      <w:bookmarkEnd w:id="96"/>
    </w:p>
    <w:p w:rsidR="000216F0" w:rsidRDefault="0030472D">
      <w:pPr>
        <w:pStyle w:val="Heading2"/>
        <w:spacing w:before="320" w:after="160"/>
      </w:pPr>
      <w:bookmarkStart w:id="97" w:name="_Toc240737145"/>
      <w:r>
        <w:rPr>
          <w:rFonts w:ascii="Times New Roman" w:eastAsia="Times New Roman" w:hAnsi="Times New Roman"/>
          <w:color w:val="1E3A5F"/>
          <w:sz w:val="28"/>
        </w:rPr>
        <w:t>7.1 Summary of the Study</w:t>
      </w:r>
      <w:bookmarkEnd w:id="97"/>
    </w:p>
    <w:p w:rsidR="000216F0" w:rsidRDefault="0030472D">
      <w:pPr>
        <w:jc w:val="both"/>
      </w:pPr>
      <w:r>
        <w:rPr>
          <w:rFonts w:eastAsia="Times New Roman"/>
        </w:rPr>
        <w:t xml:space="preserve">This study set out to design, develop, and evaluate FarmIQ, a Progressive Web Application integrating machine </w:t>
      </w:r>
      <w:r>
        <w:rPr>
          <w:rFonts w:eastAsia="Times New Roman"/>
        </w:rPr>
        <w:t xml:space="preserve">learning-based production forecasting, blockchain-anchored data integrity and tokenised incentives, and an unsupervised, explainable alternative credit-scoring engine, for smallholder farmers who are routinely excluded from formal credit not because their </w:t>
      </w:r>
      <w:r>
        <w:rPr>
          <w:rFonts w:eastAsia="Times New Roman"/>
        </w:rPr>
        <w:t>farms are unviable, but because no verifiable digital record of their operation exists for a lender to assess. Chapter 1 established this problem and derived seven specific objectives from it. Chapter 2 reviewed the literature underlying each of FarmIQ's t</w:t>
      </w:r>
      <w:r>
        <w:rPr>
          <w:rFonts w:eastAsia="Times New Roman"/>
        </w:rPr>
        <w:t>echnical components — alternative credit scoring, unsupervised machine learning, explainable AI, production forecasting, blockchain traceability, tokenised incentives, and low-connectivity digital accessibility — and identified an integration gap: while ea</w:t>
      </w:r>
      <w:r>
        <w:rPr>
          <w:rFonts w:eastAsia="Times New Roman"/>
        </w:rPr>
        <w:t>ch technique is individually validated, no documented system combines a genuinely label-free, population-relative credit score with exact closed-form explainability, blockchain-anchored trust, and low-connectivity delivery around a single smallholder farm'</w:t>
      </w:r>
      <w:r>
        <w:rPr>
          <w:rFonts w:eastAsia="Times New Roman"/>
        </w:rPr>
        <w:t>s own routine records. Chapter 3 described the iterative, feature-driven methodology by which FarmIQ's seventeen applications were developed, evidenced directly by its own migration history. Chapter 4 presented the system's functional and non-functional re</w:t>
      </w:r>
      <w:r>
        <w:rPr>
          <w:rFonts w:eastAsia="Times New Roman"/>
        </w:rPr>
        <w:t>quirements and its architectural design. Chapter 5 described the resulting implementation in detail, and Chapter 6 evaluated it through the project's automated test suite and a set of documented resilience and correctness properties.</w:t>
      </w:r>
    </w:p>
    <w:p w:rsidR="000216F0" w:rsidRDefault="0030472D">
      <w:pPr>
        <w:pStyle w:val="Heading2"/>
        <w:spacing w:before="320" w:after="160"/>
      </w:pPr>
      <w:bookmarkStart w:id="98" w:name="_Toc240737146"/>
      <w:r>
        <w:rPr>
          <w:rFonts w:ascii="Times New Roman" w:eastAsia="Times New Roman" w:hAnsi="Times New Roman"/>
          <w:color w:val="1E3A5F"/>
          <w:sz w:val="28"/>
        </w:rPr>
        <w:t>7.2 Achievement of Obj</w:t>
      </w:r>
      <w:r>
        <w:rPr>
          <w:rFonts w:ascii="Times New Roman" w:eastAsia="Times New Roman" w:hAnsi="Times New Roman"/>
          <w:color w:val="1E3A5F"/>
          <w:sz w:val="28"/>
        </w:rPr>
        <w:t>ectives</w:t>
      </w:r>
      <w:bookmarkEnd w:id="98"/>
    </w:p>
    <w:p w:rsidR="000216F0" w:rsidRDefault="0030472D">
      <w:pPr>
        <w:jc w:val="both"/>
      </w:pPr>
      <w:r>
        <w:rPr>
          <w:rFonts w:eastAsia="Times New Roman"/>
        </w:rPr>
        <w:t xml:space="preserve">Objective i (analysing smallholder record-keeping, forecasting, and credit-access challenges) was addressed through the background and problem analysis in Chapter 1, grounded in Kenya-specific empirical literature on credit-access determinants and </w:t>
      </w:r>
      <w:r>
        <w:rPr>
          <w:rFonts w:eastAsia="Times New Roman"/>
        </w:rPr>
        <w:t xml:space="preserve">FMIS adoption gaps. Objective ii (examining existing systems and scoring approaches) was addressed through the literature review and comparative analysis in Chapter 2, which </w:t>
      </w:r>
      <w:r>
        <w:rPr>
          <w:rFonts w:eastAsia="Times New Roman"/>
        </w:rPr>
        <w:lastRenderedPageBreak/>
        <w:t>situated FarmIQ against agri-fintech lenders (Apollo Agriculture, Pula, Tulaa-type</w:t>
      </w:r>
      <w:r>
        <w:rPr>
          <w:rFonts w:eastAsia="Times New Roman"/>
        </w:rPr>
        <w:t xml:space="preserve"> platforms), generic commercial FMIS, and blockchain agri-traceability systems. Objective iii (a machine learning model for milk-yield prediction with interpretable explanations) was achieved through the ridge-regression pipeline described in Section 5.5, </w:t>
      </w:r>
      <w:r>
        <w:rPr>
          <w:rFonts w:eastAsia="Times New Roman"/>
        </w:rPr>
        <w:t xml:space="preserve">whose per-feature contributions are computed exactly rather than approximated. Objective iv (an unsupervised, explainable alternative credit-scoring engine requiring no historical loan data) was achieved through the PCA/K-means engine described in Section </w:t>
      </w:r>
      <w:r>
        <w:rPr>
          <w:rFonts w:eastAsia="Times New Roman"/>
        </w:rPr>
        <w:t>5.6, whose independence from any repayment-outcome label was a design requirement from the outset rather than an incidental property, and whose explanations were independently verified to sum exactly to the underlying composite score (Section 6.4). Objecti</w:t>
      </w:r>
      <w:r>
        <w:rPr>
          <w:rFonts w:eastAsia="Times New Roman"/>
        </w:rPr>
        <w:t>ve v (blockchain-anchored trust and tokenised incentives) was achieved through the Hedera integration described in Section 5.7, including NFT-based herd and harvest registration, the FIQ reward token, and hash-anchoring of predictions, transactions, and cr</w:t>
      </w:r>
      <w:r>
        <w:rPr>
          <w:rFonts w:eastAsia="Times New Roman"/>
        </w:rPr>
        <w:t>edit scores. Objective vi (an offline-capable, low-connectivity-appropriate PWA with WhatsApp delivery) was achieved through the service-worker and offline-queue implementation described in Section 5.9 and the WhatsApp Cloud API integration described in Se</w:t>
      </w:r>
      <w:r>
        <w:rPr>
          <w:rFonts w:eastAsia="Times New Roman"/>
        </w:rPr>
        <w:t>ction 5.8. Objective vii (evaluating functional correctness, explainability, and resilience) was addressed in Chapter 6.</w:t>
      </w:r>
    </w:p>
    <w:p w:rsidR="000216F0" w:rsidRDefault="0030472D">
      <w:pPr>
        <w:pStyle w:val="Heading2"/>
        <w:spacing w:before="320" w:after="160"/>
      </w:pPr>
      <w:bookmarkStart w:id="99" w:name="_Toc240737147"/>
      <w:r>
        <w:rPr>
          <w:rFonts w:ascii="Times New Roman" w:eastAsia="Times New Roman" w:hAnsi="Times New Roman"/>
          <w:color w:val="1E3A5F"/>
          <w:sz w:val="28"/>
        </w:rPr>
        <w:t>7.3 Contributions</w:t>
      </w:r>
      <w:bookmarkEnd w:id="99"/>
    </w:p>
    <w:p w:rsidR="000216F0" w:rsidRDefault="0030472D">
      <w:pPr>
        <w:jc w:val="both"/>
      </w:pPr>
      <w:r>
        <w:rPr>
          <w:rFonts w:eastAsia="Times New Roman"/>
        </w:rPr>
        <w:t>This study's primary technical contribution is the demonstration that a genuinely unsupervised, population-relative c</w:t>
      </w:r>
      <w:r>
        <w:rPr>
          <w:rFonts w:eastAsia="Times New Roman"/>
        </w:rPr>
        <w:t>redit-scoring method — standardisation, PCA-based composite scoring with sign correction, percentile ranking, and K-means-derived tiers, with a deterministic fallback below a minimum viable population — can produce a usable, exactly-explainable creditworth</w:t>
      </w:r>
      <w:r>
        <w:rPr>
          <w:rFonts w:eastAsia="Times New Roman"/>
        </w:rPr>
        <w:t>iness signal for a platform with no historical lending outcomes to train against, addressing a specific gap identified in the credit-scoring literature reviewed in Chapter 2, where even approaches described as "unsupervised" typically still depend on label</w:t>
      </w:r>
      <w:r>
        <w:rPr>
          <w:rFonts w:eastAsia="Times New Roman"/>
        </w:rPr>
        <w:t>led default data for a supervised component. A second contribution is the practical demonstration that closed-form linear explainability (for both the credit score and the yield predictor) can substitute for library-dependent approximate explanation techni</w:t>
      </w:r>
      <w:r>
        <w:rPr>
          <w:rFonts w:eastAsia="Times New Roman"/>
        </w:rPr>
        <w:t xml:space="preserve">ques such as SHAP or LIME under genuine </w:t>
      </w:r>
      <w:r>
        <w:rPr>
          <w:rFonts w:eastAsia="Times New Roman"/>
        </w:rPr>
        <w:lastRenderedPageBreak/>
        <w:t>infrastructure constraints (a serverless deployment's function-size limits), without sacrificing explanation fidelity — indeed, with the specific advantage that the explanation is provably exact rather than approxima</w:t>
      </w:r>
      <w:r>
        <w:rPr>
          <w:rFonts w:eastAsia="Times New Roman"/>
        </w:rPr>
        <w:t>ted. A third contribution is an integrated architectural pattern — the hash-diff-gated Hedera anchoring convention applied uniformly across predictions, finance transactions, and credit scores — that keeps blockchain interaction cost-proportionate to genui</w:t>
      </w:r>
      <w:r>
        <w:rPr>
          <w:rFonts w:eastAsia="Times New Roman"/>
        </w:rPr>
        <w:t>ne content change rather than to page-view volume, while remaining entirely best-effort and non-blocking with respect to the platform's core farm-management functionality.</w:t>
      </w:r>
    </w:p>
    <w:p w:rsidR="000216F0" w:rsidRDefault="0030472D">
      <w:pPr>
        <w:pStyle w:val="Heading2"/>
        <w:spacing w:before="320" w:after="160"/>
      </w:pPr>
      <w:bookmarkStart w:id="100" w:name="_Toc240737148"/>
      <w:r>
        <w:rPr>
          <w:rFonts w:ascii="Times New Roman" w:eastAsia="Times New Roman" w:hAnsi="Times New Roman"/>
          <w:color w:val="1E3A5F"/>
          <w:sz w:val="28"/>
        </w:rPr>
        <w:t>7.4 Limitations</w:t>
      </w:r>
      <w:bookmarkEnd w:id="100"/>
    </w:p>
    <w:p w:rsidR="000216F0" w:rsidRDefault="0030472D">
      <w:pPr>
        <w:jc w:val="both"/>
      </w:pPr>
      <w:r>
        <w:rPr>
          <w:rFonts w:eastAsia="Times New Roman"/>
        </w:rPr>
        <w:t>As detailed fully in Section 1.7.2, the central limitation of this s</w:t>
      </w:r>
      <w:r>
        <w:rPr>
          <w:rFonts w:eastAsia="Times New Roman"/>
        </w:rPr>
        <w:t>tudy is that the credit-scoring engine's real-world predictive validity against actual loan repayment could not be evaluated, since the platform has never issued or observed a real loan; its evaluation in this study is limited to internal consistency, dete</w:t>
      </w:r>
      <w:r>
        <w:rPr>
          <w:rFonts w:eastAsia="Times New Roman"/>
        </w:rPr>
        <w:t>rminism, and explanation-correctness verification. Both the yield-prediction and credit-scoring subsystems require a minimum volume of farm or population data before producing a full (rather than cold-start or provisional) result, and this study's evaluati</w:t>
      </w:r>
      <w:r>
        <w:rPr>
          <w:rFonts w:eastAsia="Times New Roman"/>
        </w:rPr>
        <w:t>on was conducted primarily through automated testing rather than a multi-farm field deployment, so claims about real-world usability and adoption remain provisional pending the user acceptance work identified in Section 7.5. Test coverage across the codeba</w:t>
      </w:r>
      <w:r>
        <w:rPr>
          <w:rFonts w:eastAsia="Times New Roman"/>
        </w:rPr>
        <w:t>se, while strong in the areas that matter most to the system's distinguishing claims (creditscore, in particular), is uneven overall, and this study has reported that unevenness honestly (Section 6.6) rather than overstating system-wide reliability.</w:t>
      </w:r>
    </w:p>
    <w:p w:rsidR="000216F0" w:rsidRDefault="0030472D">
      <w:pPr>
        <w:pStyle w:val="Heading2"/>
        <w:spacing w:before="320" w:after="160"/>
      </w:pPr>
      <w:bookmarkStart w:id="101" w:name="_Toc240737149"/>
      <w:r>
        <w:rPr>
          <w:rFonts w:ascii="Times New Roman" w:eastAsia="Times New Roman" w:hAnsi="Times New Roman"/>
          <w:color w:val="1E3A5F"/>
          <w:sz w:val="28"/>
        </w:rPr>
        <w:t>7.5 Re</w:t>
      </w:r>
      <w:r>
        <w:rPr>
          <w:rFonts w:ascii="Times New Roman" w:eastAsia="Times New Roman" w:hAnsi="Times New Roman"/>
          <w:color w:val="1E3A5F"/>
          <w:sz w:val="28"/>
        </w:rPr>
        <w:t>commendations for Future Work</w:t>
      </w:r>
      <w:bookmarkEnd w:id="101"/>
    </w:p>
    <w:p w:rsidR="000216F0" w:rsidRDefault="0030472D">
      <w:pPr>
        <w:jc w:val="both"/>
      </w:pPr>
      <w:r>
        <w:rPr>
          <w:rFonts w:eastAsia="Times New Roman"/>
        </w:rPr>
        <w:t>Future work should prioritise, first, a structured field pilot across multiple farms and, ideally, an actual lending partner, to begin the longitudinal work of comparing FarmIQ's credit-score tiers against real repayment outco</w:t>
      </w:r>
      <w:r>
        <w:rPr>
          <w:rFonts w:eastAsia="Times New Roman"/>
        </w:rPr>
        <w:t xml:space="preserve">mes — the single validation this study could not perform given the platform's pre-lending stage. Second, formal user acceptance testing (task completion rates, a System Usability Scale survey, and qualitative interviews </w:t>
      </w:r>
      <w:r>
        <w:rPr>
          <w:rFonts w:eastAsia="Times New Roman"/>
        </w:rPr>
        <w:lastRenderedPageBreak/>
        <w:t>with farmers, managers, supervisors,</w:t>
      </w:r>
      <w:r>
        <w:rPr>
          <w:rFonts w:eastAsia="Times New Roman"/>
        </w:rPr>
        <w:t xml:space="preserve"> and workers across varying digital literacy levels) should be conducted to substantiate usability claims currently unevaluated in this study. Third, test coverage gaps identified in Chapter 6 — particularly the blockchain integration app's absence of auto</w:t>
      </w:r>
      <w:r>
        <w:rPr>
          <w:rFonts w:eastAsia="Times New Roman"/>
        </w:rPr>
        <w:t>mated tests — should be closed before any production lending partner is granted API access, given that module's direct role in the credit-scoring engine's trust guarantees. Fourth, now that the credit-scoring engine's core methodology is implemented and in</w:t>
      </w:r>
      <w:r>
        <w:rPr>
          <w:rFonts w:eastAsia="Times New Roman"/>
        </w:rPr>
        <w:t>ternally verified, further work could explore weighting or expanding its ten features based on real usage patterns once a larger, longer-lived farm population exists on the platform, and could investigate whether a lightweight supervised layer becomes viab</w:t>
      </w:r>
      <w:r>
        <w:rPr>
          <w:rFonts w:eastAsia="Times New Roman"/>
        </w:rPr>
        <w:t>le — without displacing the unsupervised fallback that makes the system usable from a cold start — once genuine repayment-outcome data eventually exists. Finally, given the evidence in Chapter 2 that WhatsApp and similar messaging channels are what smallho</w:t>
      </w:r>
      <w:r>
        <w:rPr>
          <w:rFonts w:eastAsia="Times New Roman"/>
        </w:rPr>
        <w:t>lders already use, future work should examine two-way WhatsApp interaction (structured data entry via chat, not only outbound alerts) as a further accessibility improvement beyond the current one-way notification delivery.</w:t>
      </w:r>
    </w:p>
    <w:p w:rsidR="000216F0" w:rsidRDefault="0030472D">
      <w:pPr>
        <w:pStyle w:val="Heading2"/>
        <w:spacing w:before="320" w:after="160"/>
      </w:pPr>
      <w:bookmarkStart w:id="102" w:name="_Toc240737150"/>
      <w:r>
        <w:rPr>
          <w:rFonts w:ascii="Times New Roman" w:eastAsia="Times New Roman" w:hAnsi="Times New Roman"/>
          <w:color w:val="1E3A5F"/>
          <w:sz w:val="28"/>
        </w:rPr>
        <w:t>7.6 Conclusion</w:t>
      </w:r>
      <w:bookmarkEnd w:id="102"/>
    </w:p>
    <w:p w:rsidR="000216F0" w:rsidRDefault="0030472D">
      <w:pPr>
        <w:jc w:val="both"/>
      </w:pPr>
      <w:r>
        <w:rPr>
          <w:rFonts w:eastAsia="Times New Roman"/>
        </w:rPr>
        <w:t>FarmIQ demonstrate</w:t>
      </w:r>
      <w:r>
        <w:rPr>
          <w:rFonts w:eastAsia="Times New Roman"/>
        </w:rPr>
        <w:t>s that the routine records a smallholder farm already needs to keep — milk yields, feeding, crop activity, finances, tasks — can be made to do more than support day-to-day operations: the same records can simultaneously train an explainable production fore</w:t>
      </w:r>
      <w:r>
        <w:rPr>
          <w:rFonts w:eastAsia="Times New Roman"/>
        </w:rPr>
        <w:t xml:space="preserve">cast, earn a blockchain-anchored reward, and build the evidentiary basis of an alternative, unsupervised credit signal computed without any loan-repayment history the farm or the platform does not yet have. In integrating these previously separate strands </w:t>
      </w:r>
      <w:r>
        <w:rPr>
          <w:rFonts w:eastAsia="Times New Roman"/>
        </w:rPr>
        <w:t>of research and practice — alternative credit scoring, unsupervised machine learning, explainable AI, agricultural production forecasting, blockchain traceability, tokenised incentives, and low-connectivity digital accessibility — around a single, low-fric</w:t>
      </w:r>
      <w:r>
        <w:rPr>
          <w:rFonts w:eastAsia="Times New Roman"/>
        </w:rPr>
        <w:t>tion PWA built for Kenyan smallholder and mixed dairy/crop farming, this study addresses a genuine integration gap identified in the existing literature, while being explicit about what remains unproven: real-world predictive validity against actual lendin</w:t>
      </w:r>
      <w:r>
        <w:rPr>
          <w:rFonts w:eastAsia="Times New Roman"/>
        </w:rPr>
        <w:t>g outcomes, which only a genuine lending partnership and the passage of time can ultimately establish.</w:t>
      </w:r>
    </w:p>
    <w:p w:rsidR="000216F0" w:rsidRDefault="0030472D">
      <w:pPr>
        <w:pStyle w:val="Heading1"/>
        <w:pageBreakBefore/>
        <w:spacing w:before="80" w:after="200"/>
      </w:pPr>
      <w:bookmarkStart w:id="103" w:name="_Toc240737151"/>
      <w:r>
        <w:rPr>
          <w:rFonts w:ascii="Times New Roman" w:eastAsia="Times New Roman" w:hAnsi="Times New Roman"/>
          <w:color w:val="047857"/>
          <w:sz w:val="36"/>
        </w:rPr>
        <w:lastRenderedPageBreak/>
        <w:t>References</w:t>
      </w:r>
      <w:bookmarkEnd w:id="103"/>
    </w:p>
    <w:p w:rsidR="000216F0" w:rsidRDefault="0030472D">
      <w:pPr>
        <w:ind w:left="720" w:hanging="720"/>
      </w:pPr>
      <w:r>
        <w:rPr>
          <w:rFonts w:eastAsia="Times New Roman"/>
          <w:sz w:val="22"/>
        </w:rPr>
        <w:t xml:space="preserve">Ahsan, Z. B., &amp; Gupta, A. (2024). Gamified cryptocurrency and rewards: Consumer behaviour during uncertain earnings. </w:t>
      </w:r>
      <w:r>
        <w:rPr>
          <w:rFonts w:eastAsia="Times New Roman"/>
          <w:i/>
          <w:sz w:val="22"/>
        </w:rPr>
        <w:t>Journal of Consumer Behav</w:t>
      </w:r>
      <w:r>
        <w:rPr>
          <w:rFonts w:eastAsia="Times New Roman"/>
          <w:i/>
          <w:sz w:val="22"/>
        </w:rPr>
        <w:t>iour</w:t>
      </w:r>
      <w:r>
        <w:rPr>
          <w:rFonts w:eastAsia="Times New Roman"/>
          <w:sz w:val="22"/>
        </w:rPr>
        <w:t>. Wiley. https://onlinelibrary.wiley.com/doi/10.1002/cb.2291</w:t>
      </w:r>
    </w:p>
    <w:p w:rsidR="000216F0" w:rsidRDefault="0030472D">
      <w:pPr>
        <w:ind w:left="720" w:hanging="720"/>
      </w:pPr>
      <w:r>
        <w:rPr>
          <w:rFonts w:eastAsia="Times New Roman"/>
          <w:sz w:val="22"/>
        </w:rPr>
        <w:t xml:space="preserve">Arraiz, I., Bruhn, M., &amp; Stucchi, R. (2017). Psychometrics as a tool to improve credit information. </w:t>
      </w:r>
      <w:r>
        <w:rPr>
          <w:rFonts w:eastAsia="Times New Roman"/>
          <w:i/>
          <w:sz w:val="22"/>
        </w:rPr>
        <w:t>The World Bank Economic Review, 30</w:t>
      </w:r>
      <w:r>
        <w:rPr>
          <w:rFonts w:eastAsia="Times New Roman"/>
          <w:sz w:val="22"/>
        </w:rPr>
        <w:t>(Supplement_1), S67–S76. https://academic.oup.com/wber/ar</w:t>
      </w:r>
      <w:r>
        <w:rPr>
          <w:rFonts w:eastAsia="Times New Roman"/>
          <w:sz w:val="22"/>
        </w:rPr>
        <w:t>ticle-abstract/30/Supplement_1/S67/2897404</w:t>
      </w:r>
    </w:p>
    <w:p w:rsidR="000216F0" w:rsidRDefault="0030472D">
      <w:pPr>
        <w:ind w:left="720" w:hanging="720"/>
      </w:pPr>
      <w:r>
        <w:rPr>
          <w:rFonts w:eastAsia="Times New Roman"/>
          <w:sz w:val="22"/>
        </w:rPr>
        <w:t xml:space="preserve">Assi, Y. F., Yao, K. A., Soro, K., &amp; Asongu, S. (2025). Effect of information and communication technologies on agricultural credit in sub-Saharan Africa. </w:t>
      </w:r>
      <w:r>
        <w:rPr>
          <w:rFonts w:eastAsia="Times New Roman"/>
          <w:i/>
          <w:sz w:val="22"/>
        </w:rPr>
        <w:t>African Journal of Economic and Management Studies</w:t>
      </w:r>
      <w:r>
        <w:rPr>
          <w:rFonts w:eastAsia="Times New Roman"/>
          <w:sz w:val="22"/>
        </w:rPr>
        <w:t>. Advanc</w:t>
      </w:r>
      <w:r>
        <w:rPr>
          <w:rFonts w:eastAsia="Times New Roman"/>
          <w:sz w:val="22"/>
        </w:rPr>
        <w:t>e online publication. https://doi.org/10.1108/AJEMS-06-2025-0503</w:t>
      </w:r>
    </w:p>
    <w:p w:rsidR="000216F0" w:rsidRDefault="0030472D">
      <w:pPr>
        <w:ind w:left="720" w:hanging="720"/>
      </w:pPr>
      <w:r>
        <w:rPr>
          <w:rFonts w:eastAsia="Times New Roman"/>
          <w:sz w:val="22"/>
        </w:rPr>
        <w:t xml:space="preserve">Baird, L., Harmon, M., &amp; Madsen, P. (n.d.). </w:t>
      </w:r>
      <w:r>
        <w:rPr>
          <w:rFonts w:eastAsia="Times New Roman"/>
          <w:i/>
          <w:sz w:val="22"/>
        </w:rPr>
        <w:t>Hedera: A public hashgraph network &amp; governing council</w:t>
      </w:r>
      <w:r>
        <w:rPr>
          <w:rFonts w:eastAsia="Times New Roman"/>
          <w:sz w:val="22"/>
        </w:rPr>
        <w:t xml:space="preserve"> [Whitepaper]. Hedera. https://hedera.com/whitepaper</w:t>
      </w:r>
    </w:p>
    <w:p w:rsidR="000216F0" w:rsidRDefault="0030472D">
      <w:pPr>
        <w:ind w:left="720" w:hanging="720"/>
      </w:pPr>
      <w:r>
        <w:rPr>
          <w:rFonts w:eastAsia="Times New Roman"/>
          <w:sz w:val="22"/>
        </w:rPr>
        <w:t>Bao, W., Lianju, N., &amp; Yue, K. (2019). I</w:t>
      </w:r>
      <w:r>
        <w:rPr>
          <w:rFonts w:eastAsia="Times New Roman"/>
          <w:sz w:val="22"/>
        </w:rPr>
        <w:t xml:space="preserve">ntegration of unsupervised and supervised machine learning algorithms for credit risk assessment. </w:t>
      </w:r>
      <w:r>
        <w:rPr>
          <w:rFonts w:eastAsia="Times New Roman"/>
          <w:i/>
          <w:sz w:val="22"/>
        </w:rPr>
        <w:t>Expert Systems with Applications, 128</w:t>
      </w:r>
      <w:r>
        <w:rPr>
          <w:rFonts w:eastAsia="Times New Roman"/>
          <w:sz w:val="22"/>
        </w:rPr>
        <w:t>, 301–315. https://doi.org/10.1016/j.eswa.2019.02.033</w:t>
      </w:r>
    </w:p>
    <w:p w:rsidR="000216F0" w:rsidRDefault="0030472D">
      <w:pPr>
        <w:ind w:left="720" w:hanging="720"/>
      </w:pPr>
      <w:r>
        <w:rPr>
          <w:rFonts w:eastAsia="Times New Roman"/>
          <w:sz w:val="22"/>
        </w:rPr>
        <w:t xml:space="preserve">Bjorkegren, D., &amp; Grissen, D. (2018). </w:t>
      </w:r>
      <w:r>
        <w:rPr>
          <w:rFonts w:eastAsia="Times New Roman"/>
          <w:i/>
          <w:sz w:val="22"/>
        </w:rPr>
        <w:t>Behavior revealed in mobile p</w:t>
      </w:r>
      <w:r>
        <w:rPr>
          <w:rFonts w:eastAsia="Times New Roman"/>
          <w:i/>
          <w:sz w:val="22"/>
        </w:rPr>
        <w:t>hone usage predicts loan repayment</w:t>
      </w:r>
      <w:r>
        <w:rPr>
          <w:rFonts w:eastAsia="Times New Roman"/>
          <w:sz w:val="22"/>
        </w:rPr>
        <w:t xml:space="preserve"> (World Bank Policy Research Working Paper No. 9074). https://arxiv.org/abs/1712.05840</w:t>
      </w:r>
    </w:p>
    <w:p w:rsidR="000216F0" w:rsidRDefault="0030472D">
      <w:pPr>
        <w:ind w:left="720" w:hanging="720"/>
      </w:pPr>
      <w:r>
        <w:rPr>
          <w:rFonts w:eastAsia="Times New Roman"/>
          <w:sz w:val="22"/>
        </w:rPr>
        <w:t>Coggins, S., McCampbell, M., Sharma, A., Sharma, R., Haefele, S. M., Karki, E., Hetherington, J., Smith, J., &amp; Brown, B. (2022). How ha</w:t>
      </w:r>
      <w:r>
        <w:rPr>
          <w:rFonts w:eastAsia="Times New Roman"/>
          <w:sz w:val="22"/>
        </w:rPr>
        <w:t xml:space="preserve">ve smallholder farmers used digital extension tools? Developer and user voices from Sub-Saharan Africa, South Asia and Southeast Asia. </w:t>
      </w:r>
      <w:r>
        <w:rPr>
          <w:rFonts w:eastAsia="Times New Roman"/>
          <w:i/>
          <w:sz w:val="22"/>
        </w:rPr>
        <w:t>Global Food Security, 32</w:t>
      </w:r>
      <w:r>
        <w:rPr>
          <w:rFonts w:eastAsia="Times New Roman"/>
          <w:sz w:val="22"/>
        </w:rPr>
        <w:t>. https://pmc.ncbi.nlm.nih.gov/articles/PMC8907870/</w:t>
      </w:r>
    </w:p>
    <w:p w:rsidR="000216F0" w:rsidRDefault="0030472D">
      <w:pPr>
        <w:ind w:left="720" w:hanging="720"/>
      </w:pPr>
      <w:r>
        <w:rPr>
          <w:rFonts w:eastAsia="Times New Roman"/>
          <w:sz w:val="22"/>
        </w:rPr>
        <w:t>Demirguc-Kunt, A., Klapper, L., Singer, D., &amp;</w:t>
      </w:r>
      <w:r>
        <w:rPr>
          <w:rFonts w:eastAsia="Times New Roman"/>
          <w:sz w:val="22"/>
        </w:rPr>
        <w:t xml:space="preserve"> Ansar, S. (2022). </w:t>
      </w:r>
      <w:r>
        <w:rPr>
          <w:rFonts w:eastAsia="Times New Roman"/>
          <w:i/>
          <w:sz w:val="22"/>
        </w:rPr>
        <w:t>The Global Findex Database 2021: Financial inclusion, digital payments, and resilience in the age of COVID-19</w:t>
      </w:r>
      <w:r>
        <w:rPr>
          <w:rFonts w:eastAsia="Times New Roman"/>
          <w:sz w:val="22"/>
        </w:rPr>
        <w:t>. World Bank Publications. https://www.worldbank.org/en/publication/globalfindex</w:t>
      </w:r>
    </w:p>
    <w:p w:rsidR="000216F0" w:rsidRDefault="0030472D">
      <w:pPr>
        <w:ind w:left="720" w:hanging="720"/>
      </w:pPr>
      <w:r>
        <w:rPr>
          <w:rFonts w:eastAsia="Times New Roman"/>
          <w:sz w:val="22"/>
        </w:rPr>
        <w:t>Food and Agriculture Organization Science, Tech</w:t>
      </w:r>
      <w:r>
        <w:rPr>
          <w:rFonts w:eastAsia="Times New Roman"/>
          <w:sz w:val="22"/>
        </w:rPr>
        <w:t xml:space="preserve">nology and Innovation Portal. (n.d.). </w:t>
      </w:r>
      <w:r>
        <w:rPr>
          <w:rFonts w:eastAsia="Times New Roman"/>
          <w:i/>
          <w:sz w:val="22"/>
        </w:rPr>
        <w:t>Alternative data credit scoring platforms for smallholder farmers</w:t>
      </w:r>
      <w:r>
        <w:rPr>
          <w:rFonts w:eastAsia="Times New Roman"/>
          <w:sz w:val="22"/>
        </w:rPr>
        <w:t>. FAO. https://sti-portal.fao.org/classes/alternative-data-credit-scoring-platforms-smallholder-farmers</w:t>
      </w:r>
    </w:p>
    <w:p w:rsidR="000216F0" w:rsidRDefault="0030472D">
      <w:pPr>
        <w:ind w:left="720" w:hanging="720"/>
      </w:pPr>
      <w:r>
        <w:rPr>
          <w:rFonts w:eastAsia="Times New Roman"/>
          <w:sz w:val="22"/>
        </w:rPr>
        <w:lastRenderedPageBreak/>
        <w:t>Fountas, S., Carli, G., Sørensen, C. G., Tsiropou</w:t>
      </w:r>
      <w:r>
        <w:rPr>
          <w:rFonts w:eastAsia="Times New Roman"/>
          <w:sz w:val="22"/>
        </w:rPr>
        <w:t xml:space="preserve">los, Z., Cavalaris, C., Vatsanidou, A., Liakos, B., Canavari, M., Wiebensohn, J., &amp; Tisserye, B. (2015). Farm management information systems: Current situation and future perspectives. </w:t>
      </w:r>
      <w:r>
        <w:rPr>
          <w:rFonts w:eastAsia="Times New Roman"/>
          <w:i/>
          <w:sz w:val="22"/>
        </w:rPr>
        <w:t>Computers and Electronics in Agriculture, 115</w:t>
      </w:r>
      <w:r>
        <w:rPr>
          <w:rFonts w:eastAsia="Times New Roman"/>
          <w:sz w:val="22"/>
        </w:rPr>
        <w:t>, 40–50. https://doi.org/1</w:t>
      </w:r>
      <w:r>
        <w:rPr>
          <w:rFonts w:eastAsia="Times New Roman"/>
          <w:sz w:val="22"/>
        </w:rPr>
        <w:t>0.1016/j.compag.2015.05.011</w:t>
      </w:r>
    </w:p>
    <w:p w:rsidR="000216F0" w:rsidRDefault="0030472D">
      <w:pPr>
        <w:ind w:left="720" w:hanging="720"/>
      </w:pPr>
      <w:r>
        <w:rPr>
          <w:rFonts w:eastAsia="Times New Roman"/>
          <w:sz w:val="22"/>
        </w:rPr>
        <w:t xml:space="preserve">Friedman, N., Tan, Z. M., Haskins, M. N., Ju, W., Bailey, D., &amp; Longchamps, L. (2024). Understanding farmers' data collection practices on small-to-medium farms for the design of future farm management information systems. </w:t>
      </w:r>
      <w:r>
        <w:rPr>
          <w:rFonts w:eastAsia="Times New Roman"/>
          <w:i/>
          <w:sz w:val="22"/>
        </w:rPr>
        <w:t>Proce</w:t>
      </w:r>
      <w:r>
        <w:rPr>
          <w:rFonts w:eastAsia="Times New Roman"/>
          <w:i/>
          <w:sz w:val="22"/>
        </w:rPr>
        <w:t>edings of the ACM on Human-Computer Interaction, 8</w:t>
      </w:r>
      <w:r>
        <w:rPr>
          <w:rFonts w:eastAsia="Times New Roman"/>
          <w:sz w:val="22"/>
        </w:rPr>
        <w:t>(CSCW1). https://doi.org/10.1145/3637416</w:t>
      </w:r>
    </w:p>
    <w:p w:rsidR="000216F0" w:rsidRDefault="0030472D">
      <w:pPr>
        <w:ind w:left="720" w:hanging="720"/>
      </w:pPr>
      <w:r>
        <w:rPr>
          <w:rFonts w:eastAsia="Times New Roman"/>
          <w:sz w:val="22"/>
        </w:rPr>
        <w:t xml:space="preserve">GSMA. (2025a). </w:t>
      </w:r>
      <w:r>
        <w:rPr>
          <w:rFonts w:eastAsia="Times New Roman"/>
          <w:i/>
          <w:sz w:val="22"/>
        </w:rPr>
        <w:t>Agri DFS: Emerging business models to support the financial inclusion of smallholder farmers</w:t>
      </w:r>
      <w:r>
        <w:rPr>
          <w:rFonts w:eastAsia="Times New Roman"/>
          <w:sz w:val="22"/>
        </w:rPr>
        <w:t xml:space="preserve">. GSMA Mobile for Development. </w:t>
      </w:r>
      <w:r>
        <w:rPr>
          <w:rFonts w:eastAsia="Times New Roman"/>
          <w:sz w:val="22"/>
        </w:rPr>
        <w:t>https://www.gsma.com/solutions-and-impact/connectivity-for-good/mobile-for-development/gsma_resources/agri-dfs-emerging-business-models-to-support-the-financial-inclusion-of-smallholder-farmers/</w:t>
      </w:r>
    </w:p>
    <w:p w:rsidR="000216F0" w:rsidRDefault="0030472D">
      <w:pPr>
        <w:ind w:left="720" w:hanging="720"/>
      </w:pPr>
      <w:r>
        <w:rPr>
          <w:rFonts w:eastAsia="Times New Roman"/>
          <w:sz w:val="22"/>
        </w:rPr>
        <w:t xml:space="preserve">GSMA. (2025b). </w:t>
      </w:r>
      <w:r>
        <w:rPr>
          <w:rFonts w:eastAsia="Times New Roman"/>
          <w:i/>
          <w:sz w:val="22"/>
        </w:rPr>
        <w:t xml:space="preserve">AI-driven smallholder farmer lending in </w:t>
      </w:r>
      <w:r>
        <w:rPr>
          <w:rFonts w:eastAsia="Times New Roman"/>
          <w:i/>
          <w:sz w:val="22"/>
        </w:rPr>
        <w:t>Africa: Insights from Apollo Agriculture</w:t>
      </w:r>
      <w:r>
        <w:rPr>
          <w:rFonts w:eastAsia="Times New Roman"/>
          <w:sz w:val="22"/>
        </w:rPr>
        <w:t>. GSMA Mobile for Development. https://www.gsma.com/solutions-and-impact/connectivity-for-good/mobile-for-development/programme/agritech/ai-driven-smallholder-farmer-lending-in-africa-insights-from-apollo-agriculture</w:t>
      </w:r>
      <w:r>
        <w:rPr>
          <w:rFonts w:eastAsia="Times New Roman"/>
          <w:sz w:val="22"/>
        </w:rPr>
        <w:t>/</w:t>
      </w:r>
    </w:p>
    <w:p w:rsidR="000216F0" w:rsidRDefault="0030472D">
      <w:pPr>
        <w:ind w:left="720" w:hanging="720"/>
      </w:pPr>
      <w:r>
        <w:rPr>
          <w:rFonts w:eastAsia="Times New Roman"/>
          <w:sz w:val="22"/>
        </w:rPr>
        <w:t xml:space="preserve">GSMA &amp; IDH Farmfit. (2020). </w:t>
      </w:r>
      <w:r>
        <w:rPr>
          <w:rFonts w:eastAsia="Times New Roman"/>
          <w:i/>
          <w:sz w:val="22"/>
        </w:rPr>
        <w:t>Digital agriculture maps: 2020 state of the sector in low and middle-income countries</w:t>
      </w:r>
      <w:r>
        <w:rPr>
          <w:rFonts w:eastAsia="Times New Roman"/>
          <w:sz w:val="22"/>
        </w:rPr>
        <w:t>. GSMA. https://www.gsma.com/r/wp-content/uploads/2020/09/GSMA-Agritech-Digital-Agriculture-Maps.pdf</w:t>
      </w:r>
    </w:p>
    <w:p w:rsidR="000216F0" w:rsidRDefault="0030472D">
      <w:pPr>
        <w:ind w:left="720" w:hanging="720"/>
      </w:pPr>
      <w:r>
        <w:rPr>
          <w:rFonts w:eastAsia="Times New Roman"/>
          <w:sz w:val="22"/>
        </w:rPr>
        <w:t xml:space="preserve">Hedera. (n.d.-a). </w:t>
      </w:r>
      <w:r>
        <w:rPr>
          <w:rFonts w:eastAsia="Times New Roman"/>
          <w:i/>
          <w:sz w:val="22"/>
        </w:rPr>
        <w:t>Hedera Consensus Servi</w:t>
      </w:r>
      <w:r>
        <w:rPr>
          <w:rFonts w:eastAsia="Times New Roman"/>
          <w:i/>
          <w:sz w:val="22"/>
        </w:rPr>
        <w:t>ce</w:t>
      </w:r>
      <w:r>
        <w:rPr>
          <w:rFonts w:eastAsia="Times New Roman"/>
          <w:sz w:val="22"/>
        </w:rPr>
        <w:t>. https://hedera.com/service/consensus-service/</w:t>
      </w:r>
    </w:p>
    <w:p w:rsidR="000216F0" w:rsidRDefault="0030472D">
      <w:pPr>
        <w:ind w:left="720" w:hanging="720"/>
      </w:pPr>
      <w:r>
        <w:rPr>
          <w:rFonts w:eastAsia="Times New Roman"/>
          <w:sz w:val="22"/>
        </w:rPr>
        <w:t xml:space="preserve">Hedera. (n.d.-b). </w:t>
      </w:r>
      <w:r>
        <w:rPr>
          <w:rFonts w:eastAsia="Times New Roman"/>
          <w:i/>
          <w:sz w:val="22"/>
        </w:rPr>
        <w:t>Consensus service documentation</w:t>
      </w:r>
      <w:r>
        <w:rPr>
          <w:rFonts w:eastAsia="Times New Roman"/>
          <w:sz w:val="22"/>
        </w:rPr>
        <w:t>. https://docs.hedera.com/hedera/sdks-and-apis/sdks/consensus-service</w:t>
      </w:r>
    </w:p>
    <w:p w:rsidR="000216F0" w:rsidRDefault="0030472D">
      <w:pPr>
        <w:ind w:left="720" w:hanging="720"/>
      </w:pPr>
      <w:r>
        <w:rPr>
          <w:rFonts w:eastAsia="Times New Roman"/>
          <w:sz w:val="22"/>
        </w:rPr>
        <w:t>Hooker, J., de Medeiros, B. B., Saha, C., Abdulrahman, T., &amp; Alves, A. A. C. (2025). Ev</w:t>
      </w:r>
      <w:r>
        <w:rPr>
          <w:rFonts w:eastAsia="Times New Roman"/>
          <w:sz w:val="22"/>
        </w:rPr>
        <w:t xml:space="preserve">aluating the contribution of behavioral, milking system, and environmental data to short-term milk yield prediction in commercial dairy cows using machine learning. </w:t>
      </w:r>
      <w:r>
        <w:rPr>
          <w:rFonts w:eastAsia="Times New Roman"/>
          <w:i/>
          <w:sz w:val="22"/>
        </w:rPr>
        <w:t>Journal of Dairy Science, 108</w:t>
      </w:r>
      <w:r>
        <w:rPr>
          <w:rFonts w:eastAsia="Times New Roman"/>
          <w:sz w:val="22"/>
        </w:rPr>
        <w:t>(10). https://doi.org/10.3168/jds.2025-S0022030225006241</w:t>
      </w:r>
    </w:p>
    <w:p w:rsidR="000216F0" w:rsidRDefault="0030472D">
      <w:pPr>
        <w:ind w:left="720" w:hanging="720"/>
      </w:pPr>
      <w:r>
        <w:rPr>
          <w:rFonts w:eastAsia="Times New Roman"/>
          <w:sz w:val="22"/>
        </w:rPr>
        <w:t>IEEE.</w:t>
      </w:r>
      <w:r>
        <w:rPr>
          <w:rFonts w:eastAsia="Times New Roman"/>
          <w:sz w:val="22"/>
        </w:rPr>
        <w:t xml:space="preserve"> (2018a). Architectural pattern of progressive web and background synchronization. In </w:t>
      </w:r>
      <w:r>
        <w:rPr>
          <w:rFonts w:eastAsia="Times New Roman"/>
          <w:i/>
          <w:sz w:val="22"/>
        </w:rPr>
        <w:t>2018 IEEE Conference Proceedings</w:t>
      </w:r>
      <w:r>
        <w:rPr>
          <w:rFonts w:eastAsia="Times New Roman"/>
          <w:sz w:val="22"/>
        </w:rPr>
        <w:t>. IEEE. https://ieeexplore.ieee.org/document/8441701/</w:t>
      </w:r>
    </w:p>
    <w:p w:rsidR="000216F0" w:rsidRDefault="0030472D">
      <w:pPr>
        <w:ind w:left="720" w:hanging="720"/>
      </w:pPr>
      <w:r>
        <w:rPr>
          <w:rFonts w:eastAsia="Times New Roman"/>
          <w:sz w:val="22"/>
        </w:rPr>
        <w:lastRenderedPageBreak/>
        <w:t xml:space="preserve">IEEE. (2018b). Progressive web apps: An alternative to the native mobile apps. In </w:t>
      </w:r>
      <w:r>
        <w:rPr>
          <w:rFonts w:eastAsia="Times New Roman"/>
          <w:i/>
          <w:sz w:val="22"/>
        </w:rPr>
        <w:t>20</w:t>
      </w:r>
      <w:r>
        <w:rPr>
          <w:rFonts w:eastAsia="Times New Roman"/>
          <w:i/>
          <w:sz w:val="22"/>
        </w:rPr>
        <w:t>18 IEEE Conference Proceedings</w:t>
      </w:r>
      <w:r>
        <w:rPr>
          <w:rFonts w:eastAsia="Times New Roman"/>
          <w:sz w:val="22"/>
        </w:rPr>
        <w:t>. IEEE. https://ieeexplore.ieee.org/document/8399228/</w:t>
      </w:r>
    </w:p>
    <w:p w:rsidR="000216F0" w:rsidRDefault="0030472D">
      <w:pPr>
        <w:ind w:left="720" w:hanging="720"/>
      </w:pPr>
      <w:r>
        <w:rPr>
          <w:rFonts w:eastAsia="Times New Roman"/>
          <w:sz w:val="22"/>
        </w:rPr>
        <w:t xml:space="preserve">Information Systems Research. (2023). Token incentive and blockchain developer contribution. </w:t>
      </w:r>
      <w:r>
        <w:rPr>
          <w:rFonts w:eastAsia="Times New Roman"/>
          <w:i/>
          <w:sz w:val="22"/>
        </w:rPr>
        <w:t>Information Systems Research</w:t>
      </w:r>
      <w:r>
        <w:rPr>
          <w:rFonts w:eastAsia="Times New Roman"/>
          <w:sz w:val="22"/>
        </w:rPr>
        <w:t>. INFORMS. https://doi.org/10.1287/isre.2023.0480</w:t>
      </w:r>
    </w:p>
    <w:p w:rsidR="000216F0" w:rsidRDefault="0030472D">
      <w:pPr>
        <w:ind w:left="720" w:hanging="720"/>
      </w:pPr>
      <w:r>
        <w:rPr>
          <w:rFonts w:eastAsia="Times New Roman"/>
          <w:sz w:val="22"/>
        </w:rPr>
        <w:t>I</w:t>
      </w:r>
      <w:r>
        <w:rPr>
          <w:rFonts w:eastAsia="Times New Roman"/>
          <w:sz w:val="22"/>
        </w:rPr>
        <w:t xml:space="preserve">nternational Finance Corporation. (2023). </w:t>
      </w:r>
      <w:r>
        <w:rPr>
          <w:rFonts w:eastAsia="Times New Roman"/>
          <w:i/>
          <w:sz w:val="22"/>
        </w:rPr>
        <w:t>Market mapping: Scaling up farmer financing through AgTechs in Sub-Saharan Africa</w:t>
      </w:r>
      <w:r>
        <w:rPr>
          <w:rFonts w:eastAsia="Times New Roman"/>
          <w:sz w:val="22"/>
        </w:rPr>
        <w:t>. IFC. https://www.ifc.org/content/dam/ifc/doc/2024/scaling-up-farmer-financing-through-agtechs-in-sub-saharan-africa-ifc-2023.pdf</w:t>
      </w:r>
    </w:p>
    <w:p w:rsidR="000216F0" w:rsidRDefault="0030472D">
      <w:pPr>
        <w:ind w:left="720" w:hanging="720"/>
      </w:pPr>
      <w:r>
        <w:rPr>
          <w:rFonts w:eastAsia="Times New Roman"/>
          <w:sz w:val="22"/>
        </w:rPr>
        <w:t>Ja</w:t>
      </w:r>
      <w:r>
        <w:rPr>
          <w:rFonts w:eastAsia="Times New Roman"/>
          <w:sz w:val="22"/>
        </w:rPr>
        <w:t xml:space="preserve">in, A. K. (2010). Data clustering: 50 years beyond K-means. </w:t>
      </w:r>
      <w:r>
        <w:rPr>
          <w:rFonts w:eastAsia="Times New Roman"/>
          <w:i/>
          <w:sz w:val="22"/>
        </w:rPr>
        <w:t>Pattern Recognition Letters, 31</w:t>
      </w:r>
      <w:r>
        <w:rPr>
          <w:rFonts w:eastAsia="Times New Roman"/>
          <w:sz w:val="22"/>
        </w:rPr>
        <w:t>(8), 651–666. https://doi.org/10.1016/j.patrec.2009.09.011</w:t>
      </w:r>
    </w:p>
    <w:p w:rsidR="000216F0" w:rsidRDefault="0030472D">
      <w:pPr>
        <w:ind w:left="720" w:hanging="720"/>
      </w:pPr>
      <w:r>
        <w:rPr>
          <w:rFonts w:eastAsia="Times New Roman"/>
          <w:sz w:val="22"/>
        </w:rPr>
        <w:t xml:space="preserve">Jolliffe, I. T., &amp; Cadima, J. (2016). Principal component analysis: A review and recent developments. </w:t>
      </w:r>
      <w:r>
        <w:rPr>
          <w:rFonts w:eastAsia="Times New Roman"/>
          <w:i/>
          <w:sz w:val="22"/>
        </w:rPr>
        <w:t>Phil</w:t>
      </w:r>
      <w:r>
        <w:rPr>
          <w:rFonts w:eastAsia="Times New Roman"/>
          <w:i/>
          <w:sz w:val="22"/>
        </w:rPr>
        <w:t>osophical Transactions of the Royal Society A, 374</w:t>
      </w:r>
      <w:r>
        <w:rPr>
          <w:rFonts w:eastAsia="Times New Roman"/>
          <w:sz w:val="22"/>
        </w:rPr>
        <w:t>(2065), 20150202. https://doi.org/10.1098/rsta.2015.0202</w:t>
      </w:r>
    </w:p>
    <w:p w:rsidR="000216F0" w:rsidRDefault="0030472D">
      <w:pPr>
        <w:ind w:left="720" w:hanging="720"/>
      </w:pPr>
      <w:r>
        <w:rPr>
          <w:rFonts w:eastAsia="Times New Roman"/>
          <w:sz w:val="22"/>
        </w:rPr>
        <w:t>Journal of Dairy Science. (2022). Predicting daily milk yield for primiparous cows using data of within-herd relatives to capture genotype-by-environ</w:t>
      </w:r>
      <w:r>
        <w:rPr>
          <w:rFonts w:eastAsia="Times New Roman"/>
          <w:sz w:val="22"/>
        </w:rPr>
        <w:t xml:space="preserve">ment interactions. </w:t>
      </w:r>
      <w:r>
        <w:rPr>
          <w:rFonts w:eastAsia="Times New Roman"/>
          <w:i/>
          <w:sz w:val="22"/>
        </w:rPr>
        <w:t>Journal of Dairy Science, 105</w:t>
      </w:r>
      <w:r>
        <w:rPr>
          <w:rFonts w:eastAsia="Times New Roman"/>
          <w:sz w:val="22"/>
        </w:rPr>
        <w:t>. https://www.journalofdairyscience.org/article/S0022-0302(22)00330-7/fulltext</w:t>
      </w:r>
    </w:p>
    <w:p w:rsidR="000216F0" w:rsidRDefault="0030472D">
      <w:pPr>
        <w:ind w:left="720" w:hanging="720"/>
      </w:pPr>
      <w:r>
        <w:rPr>
          <w:rFonts w:eastAsia="Times New Roman"/>
          <w:sz w:val="22"/>
        </w:rPr>
        <w:t>Kansiime, M. K., Mugambi, I., Rware, H., Alokit, C., Aliamo, C., Zhang, F., Latzko, J., Yang, P., Karanja, D., &amp; Romney, D. (2022</w:t>
      </w:r>
      <w:r>
        <w:rPr>
          <w:rFonts w:eastAsia="Times New Roman"/>
          <w:sz w:val="22"/>
        </w:rPr>
        <w:t xml:space="preserve">). Challenges and capacity gaps in smallholder access to digital extension and advisory services in Kenya and Uganda. </w:t>
      </w:r>
      <w:r>
        <w:rPr>
          <w:rFonts w:eastAsia="Times New Roman"/>
          <w:i/>
          <w:sz w:val="22"/>
        </w:rPr>
        <w:t>Frontiers of Agricultural Science and Engineering, 9</w:t>
      </w:r>
      <w:r>
        <w:rPr>
          <w:rFonts w:eastAsia="Times New Roman"/>
          <w:sz w:val="22"/>
        </w:rPr>
        <w:t>(4). https://doi.org/10.15302/J-FASE-2021423</w:t>
      </w:r>
    </w:p>
    <w:p w:rsidR="000216F0" w:rsidRDefault="0030472D">
      <w:pPr>
        <w:ind w:left="720" w:hanging="720"/>
      </w:pPr>
      <w:r>
        <w:rPr>
          <w:rFonts w:eastAsia="Times New Roman"/>
          <w:sz w:val="22"/>
        </w:rPr>
        <w:t xml:space="preserve">Kiplimo, J. C., Ngenoh, E., Koech, W., &amp; </w:t>
      </w:r>
      <w:r>
        <w:rPr>
          <w:rFonts w:eastAsia="Times New Roman"/>
          <w:sz w:val="22"/>
        </w:rPr>
        <w:t xml:space="preserve">Bett, J. K. (2015). Determinants of access to credit financial services by smallholder farmers in Kenya. </w:t>
      </w:r>
      <w:r>
        <w:rPr>
          <w:rFonts w:eastAsia="Times New Roman"/>
          <w:i/>
          <w:sz w:val="22"/>
        </w:rPr>
        <w:t>Journal of Development and Agricultural Economics, 7</w:t>
      </w:r>
      <w:r>
        <w:rPr>
          <w:rFonts w:eastAsia="Times New Roman"/>
          <w:sz w:val="22"/>
        </w:rPr>
        <w:t>(9), 303–313. https://academicjournals.org/journal/JDAE/article-abstract/202861454984</w:t>
      </w:r>
    </w:p>
    <w:p w:rsidR="000216F0" w:rsidRDefault="0030472D">
      <w:pPr>
        <w:ind w:left="720" w:hanging="720"/>
      </w:pPr>
      <w:r>
        <w:rPr>
          <w:rFonts w:eastAsia="Times New Roman"/>
          <w:sz w:val="22"/>
        </w:rPr>
        <w:t xml:space="preserve">Lundberg, S. </w:t>
      </w:r>
      <w:r>
        <w:rPr>
          <w:rFonts w:eastAsia="Times New Roman"/>
          <w:sz w:val="22"/>
        </w:rPr>
        <w:t xml:space="preserve">M., &amp; Lee, S.-I. (2017). A unified approach to interpreting model predictions. In </w:t>
      </w:r>
      <w:r>
        <w:rPr>
          <w:rFonts w:eastAsia="Times New Roman"/>
          <w:i/>
          <w:sz w:val="22"/>
        </w:rPr>
        <w:t>Advances in Neural Information Processing Systems 30 (NeurIPS 2017)</w:t>
      </w:r>
      <w:r>
        <w:rPr>
          <w:rFonts w:eastAsia="Times New Roman"/>
          <w:sz w:val="22"/>
        </w:rPr>
        <w:t>. https://proceedings.neurips.cc/paper_files/paper/2017/hash/8a20a8621978632d76c43dfd28b67767-Abstract.html</w:t>
      </w:r>
    </w:p>
    <w:p w:rsidR="000216F0" w:rsidRDefault="0030472D">
      <w:pPr>
        <w:ind w:left="720" w:hanging="720"/>
      </w:pPr>
      <w:r>
        <w:rPr>
          <w:rFonts w:eastAsia="Times New Roman"/>
          <w:sz w:val="22"/>
        </w:rPr>
        <w:lastRenderedPageBreak/>
        <w:t xml:space="preserve">Marchese, A., &amp; Tomarchio, O. (2022). A blockchain-based system for agri-food supply chain traceability management. </w:t>
      </w:r>
      <w:r>
        <w:rPr>
          <w:rFonts w:eastAsia="Times New Roman"/>
          <w:i/>
          <w:sz w:val="22"/>
        </w:rPr>
        <w:t>SN Computer Science, 3</w:t>
      </w:r>
      <w:r>
        <w:rPr>
          <w:rFonts w:eastAsia="Times New Roman"/>
          <w:sz w:val="22"/>
        </w:rPr>
        <w:t>(6). https://doi.org/10.1007/s42979-022-01148-3</w:t>
      </w:r>
    </w:p>
    <w:p w:rsidR="000216F0" w:rsidRDefault="0030472D">
      <w:pPr>
        <w:ind w:left="720" w:hanging="720"/>
      </w:pPr>
      <w:r>
        <w:rPr>
          <w:rFonts w:eastAsia="Times New Roman"/>
          <w:sz w:val="22"/>
        </w:rPr>
        <w:t>Mathematical Problems in Engineering. (2022). Analysis of agricultura</w:t>
      </w:r>
      <w:r>
        <w:rPr>
          <w:rFonts w:eastAsia="Times New Roman"/>
          <w:sz w:val="22"/>
        </w:rPr>
        <w:t xml:space="preserve">l products supply chain traceability system based on Internet of Things and blockchain. </w:t>
      </w:r>
      <w:r>
        <w:rPr>
          <w:rFonts w:eastAsia="Times New Roman"/>
          <w:i/>
          <w:sz w:val="22"/>
        </w:rPr>
        <w:t>Mathematical Problems in Engineering, 2022</w:t>
      </w:r>
      <w:r>
        <w:rPr>
          <w:rFonts w:eastAsia="Times New Roman"/>
          <w:sz w:val="22"/>
        </w:rPr>
        <w:t>, Article 3162871. https://doi.org/10.1155/2022/3162871</w:t>
      </w:r>
    </w:p>
    <w:p w:rsidR="000216F0" w:rsidRDefault="0030472D">
      <w:pPr>
        <w:ind w:left="720" w:hanging="720"/>
      </w:pPr>
      <w:r>
        <w:rPr>
          <w:rFonts w:eastAsia="Times New Roman"/>
          <w:sz w:val="22"/>
        </w:rPr>
        <w:t>Miljkovic, T., &amp; Wang, P. (2024). A dimension reduction assisted credi</w:t>
      </w:r>
      <w:r>
        <w:rPr>
          <w:rFonts w:eastAsia="Times New Roman"/>
          <w:sz w:val="22"/>
        </w:rPr>
        <w:t xml:space="preserve">t scoring method for big data with categorical features. </w:t>
      </w:r>
      <w:r>
        <w:rPr>
          <w:rFonts w:eastAsia="Times New Roman"/>
          <w:i/>
          <w:sz w:val="22"/>
        </w:rPr>
        <w:t>Financial Innovation, 11</w:t>
      </w:r>
      <w:r>
        <w:rPr>
          <w:rFonts w:eastAsia="Times New Roman"/>
          <w:sz w:val="22"/>
        </w:rPr>
        <w:t>(1), 1–30. https://doi.org/10.1186/s40854-024-00689-1</w:t>
      </w:r>
    </w:p>
    <w:p w:rsidR="000216F0" w:rsidRDefault="0030472D">
      <w:pPr>
        <w:ind w:left="720" w:hanging="720"/>
      </w:pPr>
      <w:r>
        <w:rPr>
          <w:rFonts w:eastAsia="Times New Roman"/>
          <w:sz w:val="22"/>
        </w:rPr>
        <w:t>Nallakaruppan, M. K., Balusamy, B., Shri, M. L., Malathi, V., &amp; Bhattacharyya, S. (2024). An explainable AI framework for</w:t>
      </w:r>
      <w:r>
        <w:rPr>
          <w:rFonts w:eastAsia="Times New Roman"/>
          <w:sz w:val="22"/>
        </w:rPr>
        <w:t xml:space="preserve"> credit evaluation and analysis. </w:t>
      </w:r>
      <w:r>
        <w:rPr>
          <w:rFonts w:eastAsia="Times New Roman"/>
          <w:i/>
          <w:sz w:val="22"/>
        </w:rPr>
        <w:t>Applied Soft Computing</w:t>
      </w:r>
      <w:r>
        <w:rPr>
          <w:rFonts w:eastAsia="Times New Roman"/>
          <w:sz w:val="22"/>
        </w:rPr>
        <w:t>, Article 111307. https://doi.org/10.1016/j.asoc.2024.111307</w:t>
      </w:r>
    </w:p>
    <w:p w:rsidR="000216F0" w:rsidRDefault="0030472D">
      <w:pPr>
        <w:ind w:left="720" w:hanging="720"/>
      </w:pPr>
      <w:r>
        <w:rPr>
          <w:rFonts w:eastAsia="Times New Roman"/>
          <w:sz w:val="22"/>
        </w:rPr>
        <w:t>Neural Computing and Applications. (2024). Streamlit-based enhancing crop recommendation systems with advanced explainable artificial intell</w:t>
      </w:r>
      <w:r>
        <w:rPr>
          <w:rFonts w:eastAsia="Times New Roman"/>
          <w:sz w:val="22"/>
        </w:rPr>
        <w:t xml:space="preserve">igence for smart farming. </w:t>
      </w:r>
      <w:r>
        <w:rPr>
          <w:rFonts w:eastAsia="Times New Roman"/>
          <w:i/>
          <w:sz w:val="22"/>
        </w:rPr>
        <w:t>Neural Computing and Applications</w:t>
      </w:r>
      <w:r>
        <w:rPr>
          <w:rFonts w:eastAsia="Times New Roman"/>
          <w:sz w:val="22"/>
        </w:rPr>
        <w:t>. Springer. https://doi.org/10.1007/s00521-024-10208-z</w:t>
      </w:r>
    </w:p>
    <w:p w:rsidR="000216F0" w:rsidRDefault="0030472D">
      <w:pPr>
        <w:ind w:left="720" w:hanging="720"/>
      </w:pPr>
      <w:r>
        <w:rPr>
          <w:rFonts w:eastAsia="Times New Roman"/>
          <w:sz w:val="22"/>
        </w:rPr>
        <w:t>Okello, S., Mose, G. N., &amp; Ngigi, M. (2026). Analysis of current landscape and emerging trends in digital agricultural extension services amon</w:t>
      </w:r>
      <w:r>
        <w:rPr>
          <w:rFonts w:eastAsia="Times New Roman"/>
          <w:sz w:val="22"/>
        </w:rPr>
        <w:t xml:space="preserve">g smallholder farmers in Kenya. </w:t>
      </w:r>
      <w:r>
        <w:rPr>
          <w:rFonts w:eastAsia="Times New Roman"/>
          <w:i/>
          <w:sz w:val="22"/>
        </w:rPr>
        <w:t>East African Journal of Agriculture and Biotechnology, 9</w:t>
      </w:r>
      <w:r>
        <w:rPr>
          <w:rFonts w:eastAsia="Times New Roman"/>
          <w:sz w:val="22"/>
        </w:rPr>
        <w:t>(2). https://journals.eanso.org/index.php/eajab/article/view/5430</w:t>
      </w:r>
    </w:p>
    <w:p w:rsidR="000216F0" w:rsidRDefault="0030472D">
      <w:pPr>
        <w:ind w:left="720" w:hanging="720"/>
      </w:pPr>
      <w:r>
        <w:rPr>
          <w:rFonts w:eastAsia="Times New Roman"/>
          <w:sz w:val="22"/>
        </w:rPr>
        <w:t xml:space="preserve">Pandey, S. R., Nguyen, L. D., &amp; Popovski, P. (2022). </w:t>
      </w:r>
      <w:r>
        <w:rPr>
          <w:rFonts w:eastAsia="Times New Roman"/>
          <w:i/>
          <w:sz w:val="22"/>
        </w:rPr>
        <w:t>FedToken: Tokenized incentives for data contribut</w:t>
      </w:r>
      <w:r>
        <w:rPr>
          <w:rFonts w:eastAsia="Times New Roman"/>
          <w:i/>
          <w:sz w:val="22"/>
        </w:rPr>
        <w:t>ion in federated learning</w:t>
      </w:r>
      <w:r>
        <w:rPr>
          <w:rFonts w:eastAsia="Times New Roman"/>
          <w:sz w:val="22"/>
        </w:rPr>
        <w:t xml:space="preserve"> (arXiv:2209.09775). arXiv. https://arxiv.org/abs/2209.09775</w:t>
      </w:r>
    </w:p>
    <w:p w:rsidR="000216F0" w:rsidRDefault="0030472D">
      <w:pPr>
        <w:ind w:left="720" w:hanging="720"/>
      </w:pPr>
      <w:r>
        <w:rPr>
          <w:rFonts w:eastAsia="Times New Roman"/>
          <w:sz w:val="22"/>
        </w:rPr>
        <w:t xml:space="preserve">Ribeiro, M. T., Singh, S., &amp; Guestrin, C. (2016). "Why should I trust you?": Explaining the predictions of any classifier. In </w:t>
      </w:r>
      <w:r>
        <w:rPr>
          <w:rFonts w:eastAsia="Times New Roman"/>
          <w:i/>
          <w:sz w:val="22"/>
        </w:rPr>
        <w:t>Proceedings of the 22nd ACM SIGKDD International Conference on Knowledge Discovery and Data Mining</w:t>
      </w:r>
      <w:r>
        <w:rPr>
          <w:rFonts w:eastAsia="Times New Roman"/>
          <w:sz w:val="22"/>
        </w:rPr>
        <w:t xml:space="preserve"> (pp. 1135–1144). ACM. https://d</w:t>
      </w:r>
      <w:r>
        <w:rPr>
          <w:rFonts w:eastAsia="Times New Roman"/>
          <w:sz w:val="22"/>
        </w:rPr>
        <w:t>oi.org/10.1145/2939672.2939778</w:t>
      </w:r>
    </w:p>
    <w:p w:rsidR="000216F0" w:rsidRDefault="0030472D">
      <w:pPr>
        <w:ind w:left="720" w:hanging="720"/>
      </w:pPr>
      <w:r>
        <w:rPr>
          <w:rFonts w:eastAsia="Times New Roman"/>
          <w:sz w:val="22"/>
        </w:rPr>
        <w:t xml:space="preserve">Savoy, C. M. (2025). </w:t>
      </w:r>
      <w:r>
        <w:rPr>
          <w:rFonts w:eastAsia="Times New Roman"/>
          <w:i/>
          <w:sz w:val="22"/>
        </w:rPr>
        <w:t>Access to finance for smallholder farmers</w:t>
      </w:r>
      <w:r>
        <w:rPr>
          <w:rFonts w:eastAsia="Times New Roman"/>
          <w:sz w:val="22"/>
        </w:rPr>
        <w:t>. Center for Strategic and International Studies, Project on Prosperity and Development. https://www.csis.org/analysis/access-finance-smallholder-farmers</w:t>
      </w:r>
    </w:p>
    <w:p w:rsidR="000216F0" w:rsidRDefault="0030472D">
      <w:pPr>
        <w:ind w:left="720" w:hanging="720"/>
      </w:pPr>
      <w:r>
        <w:rPr>
          <w:rFonts w:eastAsia="Times New Roman"/>
          <w:sz w:val="22"/>
        </w:rPr>
        <w:lastRenderedPageBreak/>
        <w:t xml:space="preserve">Shitaye, </w:t>
      </w:r>
      <w:r>
        <w:rPr>
          <w:rFonts w:eastAsia="Times New Roman"/>
          <w:sz w:val="22"/>
        </w:rPr>
        <w:t xml:space="preserve">Z., Embyale, M. A., Nega, T. A., Gidelew, G. E., &amp; Mohammed, M. (2026). Artificial intelligence in East African agriculture: A systematic review of applications, adoption, and implications for smallholder farmers. </w:t>
      </w:r>
      <w:r>
        <w:rPr>
          <w:rFonts w:eastAsia="Times New Roman"/>
          <w:i/>
          <w:sz w:val="22"/>
        </w:rPr>
        <w:t>The Scientific World Journal, 2026</w:t>
      </w:r>
      <w:r>
        <w:rPr>
          <w:rFonts w:eastAsia="Times New Roman"/>
          <w:sz w:val="22"/>
        </w:rPr>
        <w:t>, Articl</w:t>
      </w:r>
      <w:r>
        <w:rPr>
          <w:rFonts w:eastAsia="Times New Roman"/>
          <w:sz w:val="22"/>
        </w:rPr>
        <w:t>e 5128133. https://pmc.ncbi.nlm.nih.gov/articles/PMC13277772/</w:t>
      </w:r>
    </w:p>
    <w:p w:rsidR="000216F0" w:rsidRDefault="0030472D">
      <w:pPr>
        <w:ind w:left="720" w:hanging="720"/>
      </w:pPr>
      <w:r>
        <w:rPr>
          <w:rFonts w:eastAsia="Times New Roman"/>
          <w:sz w:val="22"/>
        </w:rPr>
        <w:t xml:space="preserve">Simumba, N., Okami, S., Kodaka, A., &amp; Kohtake, N. (2018). Alternative scoring factors using non-financial data for credit decisions in agricultural microfinance. In </w:t>
      </w:r>
      <w:r>
        <w:rPr>
          <w:rFonts w:eastAsia="Times New Roman"/>
          <w:i/>
          <w:sz w:val="22"/>
        </w:rPr>
        <w:t>Proceedings of the 4th IEEE I</w:t>
      </w:r>
      <w:r>
        <w:rPr>
          <w:rFonts w:eastAsia="Times New Roman"/>
          <w:i/>
          <w:sz w:val="22"/>
        </w:rPr>
        <w:t>nternational Symposium on Systems Engineering (ISSE 2018)</w:t>
      </w:r>
      <w:r>
        <w:rPr>
          <w:rFonts w:eastAsia="Times New Roman"/>
          <w:sz w:val="22"/>
        </w:rPr>
        <w:t>. IEEE. https://doi.org/10.1109/SysEng.2018.8544442</w:t>
      </w:r>
    </w:p>
    <w:p w:rsidR="000216F0" w:rsidRDefault="0030472D">
      <w:pPr>
        <w:ind w:left="720" w:hanging="720"/>
      </w:pPr>
      <w:r>
        <w:rPr>
          <w:rFonts w:eastAsia="Times New Roman"/>
          <w:sz w:val="22"/>
        </w:rPr>
        <w:t xml:space="preserve">Springer. (2025). Predictive modeling and factor analysis for crop yield using SHAP-based explainable AI. In </w:t>
      </w:r>
      <w:r>
        <w:rPr>
          <w:rFonts w:eastAsia="Times New Roman"/>
          <w:i/>
          <w:sz w:val="22"/>
        </w:rPr>
        <w:t>Springer Nature book series</w:t>
      </w:r>
      <w:r>
        <w:rPr>
          <w:rFonts w:eastAsia="Times New Roman"/>
          <w:sz w:val="22"/>
        </w:rPr>
        <w:t>. https://d</w:t>
      </w:r>
      <w:r>
        <w:rPr>
          <w:rFonts w:eastAsia="Times New Roman"/>
          <w:sz w:val="22"/>
        </w:rPr>
        <w:t>oi.org/10.1007/978-3-032-22292-3_18</w:t>
      </w:r>
    </w:p>
    <w:p w:rsidR="000216F0" w:rsidRDefault="0030472D">
      <w:pPr>
        <w:ind w:left="720" w:hanging="720"/>
      </w:pPr>
      <w:r>
        <w:rPr>
          <w:rFonts w:eastAsia="Times New Roman"/>
          <w:sz w:val="22"/>
        </w:rPr>
        <w:t xml:space="preserve">United Nations Development Programme. (2021). </w:t>
      </w:r>
      <w:r>
        <w:rPr>
          <w:rFonts w:eastAsia="Times New Roman"/>
          <w:i/>
          <w:sz w:val="22"/>
        </w:rPr>
        <w:t>Blockchain for agri-food traceability</w:t>
      </w:r>
      <w:r>
        <w:rPr>
          <w:rFonts w:eastAsia="Times New Roman"/>
          <w:sz w:val="22"/>
        </w:rPr>
        <w:t>. UNDP. https://www.undp.org/sites/g/files/zskgke326/files/2021-11/UNDP-Blockchain-for-Agri-Food-Traceability.pdf</w:t>
      </w:r>
    </w:p>
    <w:sectPr w:rsidR="000216F0"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F0"/>
    <w:rsid w:val="00034616"/>
    <w:rsid w:val="0006063C"/>
    <w:rsid w:val="0015074B"/>
    <w:rsid w:val="0029639D"/>
    <w:rsid w:val="0030472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4C7E9"/>
  <w14:defaultImageDpi w14:val="300"/>
  <w15:docId w15:val="{1B9D9537-F217-4663-9683-5FCFEE90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472D"/>
    <w:pPr>
      <w:spacing w:after="100"/>
    </w:pPr>
  </w:style>
  <w:style w:type="paragraph" w:styleId="TOC2">
    <w:name w:val="toc 2"/>
    <w:basedOn w:val="Normal"/>
    <w:next w:val="Normal"/>
    <w:autoRedefine/>
    <w:uiPriority w:val="39"/>
    <w:unhideWhenUsed/>
    <w:rsid w:val="0030472D"/>
    <w:pPr>
      <w:spacing w:after="100"/>
      <w:ind w:left="240"/>
    </w:pPr>
  </w:style>
  <w:style w:type="paragraph" w:styleId="TOC3">
    <w:name w:val="toc 3"/>
    <w:basedOn w:val="Normal"/>
    <w:next w:val="Normal"/>
    <w:autoRedefine/>
    <w:uiPriority w:val="39"/>
    <w:unhideWhenUsed/>
    <w:rsid w:val="0030472D"/>
    <w:pPr>
      <w:spacing w:after="100"/>
      <w:ind w:left="480"/>
    </w:pPr>
  </w:style>
  <w:style w:type="paragraph" w:styleId="TOC4">
    <w:name w:val="toc 4"/>
    <w:basedOn w:val="Normal"/>
    <w:next w:val="Normal"/>
    <w:autoRedefine/>
    <w:uiPriority w:val="39"/>
    <w:unhideWhenUsed/>
    <w:rsid w:val="0030472D"/>
    <w:pPr>
      <w:spacing w:after="100" w:line="259" w:lineRule="auto"/>
      <w:ind w:left="660"/>
    </w:pPr>
    <w:rPr>
      <w:rFonts w:asciiTheme="minorHAnsi" w:hAnsiTheme="minorHAnsi"/>
      <w:sz w:val="22"/>
    </w:rPr>
  </w:style>
  <w:style w:type="paragraph" w:styleId="TOC5">
    <w:name w:val="toc 5"/>
    <w:basedOn w:val="Normal"/>
    <w:next w:val="Normal"/>
    <w:autoRedefine/>
    <w:uiPriority w:val="39"/>
    <w:unhideWhenUsed/>
    <w:rsid w:val="0030472D"/>
    <w:pPr>
      <w:spacing w:after="100" w:line="259" w:lineRule="auto"/>
      <w:ind w:left="880"/>
    </w:pPr>
    <w:rPr>
      <w:rFonts w:asciiTheme="minorHAnsi" w:hAnsiTheme="minorHAnsi"/>
      <w:sz w:val="22"/>
    </w:rPr>
  </w:style>
  <w:style w:type="paragraph" w:styleId="TOC6">
    <w:name w:val="toc 6"/>
    <w:basedOn w:val="Normal"/>
    <w:next w:val="Normal"/>
    <w:autoRedefine/>
    <w:uiPriority w:val="39"/>
    <w:unhideWhenUsed/>
    <w:rsid w:val="0030472D"/>
    <w:pPr>
      <w:spacing w:after="100" w:line="259" w:lineRule="auto"/>
      <w:ind w:left="1100"/>
    </w:pPr>
    <w:rPr>
      <w:rFonts w:asciiTheme="minorHAnsi" w:hAnsiTheme="minorHAnsi"/>
      <w:sz w:val="22"/>
    </w:rPr>
  </w:style>
  <w:style w:type="paragraph" w:styleId="TOC7">
    <w:name w:val="toc 7"/>
    <w:basedOn w:val="Normal"/>
    <w:next w:val="Normal"/>
    <w:autoRedefine/>
    <w:uiPriority w:val="39"/>
    <w:unhideWhenUsed/>
    <w:rsid w:val="0030472D"/>
    <w:pPr>
      <w:spacing w:after="100" w:line="259" w:lineRule="auto"/>
      <w:ind w:left="1320"/>
    </w:pPr>
    <w:rPr>
      <w:rFonts w:asciiTheme="minorHAnsi" w:hAnsiTheme="minorHAnsi"/>
      <w:sz w:val="22"/>
    </w:rPr>
  </w:style>
  <w:style w:type="paragraph" w:styleId="TOC8">
    <w:name w:val="toc 8"/>
    <w:basedOn w:val="Normal"/>
    <w:next w:val="Normal"/>
    <w:autoRedefine/>
    <w:uiPriority w:val="39"/>
    <w:unhideWhenUsed/>
    <w:rsid w:val="0030472D"/>
    <w:pPr>
      <w:spacing w:after="100" w:line="259" w:lineRule="auto"/>
      <w:ind w:left="1540"/>
    </w:pPr>
    <w:rPr>
      <w:rFonts w:asciiTheme="minorHAnsi" w:hAnsiTheme="minorHAnsi"/>
      <w:sz w:val="22"/>
    </w:rPr>
  </w:style>
  <w:style w:type="paragraph" w:styleId="TOC9">
    <w:name w:val="toc 9"/>
    <w:basedOn w:val="Normal"/>
    <w:next w:val="Normal"/>
    <w:autoRedefine/>
    <w:uiPriority w:val="39"/>
    <w:unhideWhenUsed/>
    <w:rsid w:val="0030472D"/>
    <w:pPr>
      <w:spacing w:after="100" w:line="259" w:lineRule="auto"/>
      <w:ind w:left="1760"/>
    </w:pPr>
    <w:rPr>
      <w:rFonts w:asciiTheme="minorHAnsi" w:hAnsiTheme="minorHAnsi"/>
      <w:sz w:val="22"/>
    </w:rPr>
  </w:style>
  <w:style w:type="character" w:styleId="Hyperlink">
    <w:name w:val="Hyperlink"/>
    <w:basedOn w:val="DefaultParagraphFont"/>
    <w:uiPriority w:val="99"/>
    <w:unhideWhenUsed/>
    <w:rsid w:val="0030472D"/>
    <w:rPr>
      <w:color w:val="0000FF" w:themeColor="hyperlink"/>
      <w:u w:val="single"/>
    </w:rPr>
  </w:style>
  <w:style w:type="character" w:styleId="UnresolvedMention">
    <w:name w:val="Unresolved Mention"/>
    <w:basedOn w:val="DefaultParagraphFont"/>
    <w:uiPriority w:val="99"/>
    <w:semiHidden/>
    <w:unhideWhenUsed/>
    <w:rsid w:val="0030472D"/>
    <w:rPr>
      <w:color w:val="605E5C"/>
      <w:shd w:val="clear" w:color="auto" w:fill="E1DFDD"/>
    </w:rPr>
  </w:style>
  <w:style w:type="paragraph" w:styleId="BalloonText">
    <w:name w:val="Balloon Text"/>
    <w:basedOn w:val="Normal"/>
    <w:link w:val="BalloonTextChar"/>
    <w:uiPriority w:val="99"/>
    <w:semiHidden/>
    <w:unhideWhenUsed/>
    <w:rsid w:val="003047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72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5FC4D-B070-467D-B697-B43DAF5C9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96</Pages>
  <Words>27246</Words>
  <Characters>155308</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 Charles Keter</cp:lastModifiedBy>
  <cp:revision>2</cp:revision>
  <dcterms:created xsi:type="dcterms:W3CDTF">2013-12-23T23:15:00Z</dcterms:created>
  <dcterms:modified xsi:type="dcterms:W3CDTF">2026-09-19T16:03:00Z</dcterms:modified>
  <cp:category/>
</cp:coreProperties>
</file>