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48"/>
        </w:rPr>
        <w:t>Farmsky Multi-App System</w:t>
        <w:br/>
        <w:t>Architecture &amp; Security Review</w:t>
      </w:r>
    </w:p>
    <w:p>
      <w:pPr>
        <w:jc w:val="center"/>
      </w:pPr>
      <w:r>
        <w:rPr>
          <w:i/>
          <w:color w:val="555555"/>
          <w:sz w:val="24"/>
        </w:rPr>
        <w:t>Duplicate / Conflicting Functionality Audit + Security Gap Assessment with Recommendations</w:t>
      </w:r>
    </w:p>
    <w:p>
      <w:pPr>
        <w:jc w:val="center"/>
      </w:pPr>
      <w:r>
        <w:rPr>
          <w:sz w:val="20"/>
        </w:rPr>
        <w:t>Scope: Equipment (farm-sky-webapp) · Feed (feed) · Nia (input)</w:t>
        <w:br/>
      </w:r>
      <w:r>
        <w:rPr>
          <w:sz w:val="20"/>
        </w:rPr>
        <w:t>Prepared for: Farmsky Ventures Ops  ·  Document type: Findings &amp; Remediation Backlog</w:t>
      </w:r>
    </w:p>
    <w:p/>
    <w:p>
      <w:pPr>
        <w:jc w:val="center"/>
      </w:pPr>
      <w:r>
        <w:rPr>
          <w:b/>
        </w:rPr>
        <w:t xml:space="preserve">Severity legend:  </w:t>
      </w:r>
      <w:r>
        <w:rPr>
          <w:b/>
          <w:color w:val="C01A1A"/>
        </w:rPr>
        <w:t xml:space="preserve">High   </w:t>
      </w:r>
      <w:r>
        <w:rPr>
          <w:b/>
          <w:color w:val="B45309"/>
        </w:rPr>
        <w:t xml:space="preserve">Medium   </w:t>
      </w:r>
      <w:r>
        <w:rPr>
          <w:b/>
          <w:color w:val="8A6D00"/>
        </w:rPr>
        <w:t xml:space="preserve">Low   </w:t>
      </w:r>
    </w:p>
    <w:p>
      <w:r>
        <w:br w:type="page"/>
      </w:r>
    </w:p>
    <w:p>
      <w:pPr>
        <w:pStyle w:val="Heading1"/>
      </w:pPr>
      <w:r>
        <w:rPr>
          <w:color w:val="0F766E"/>
        </w:rPr>
        <w:t>0. Executive Summary</w:t>
      </w:r>
    </w:p>
    <w:p>
      <w:pPr>
        <w:spacing w:after="120"/>
      </w:pPr>
      <w:r>
        <w:rPr>
          <w:b w:val="0"/>
          <w:i w:val="0"/>
          <w:sz w:val="21"/>
        </w:rPr>
        <w:t>The three apps began as a single codebase and were forked into a central host (Equipment) plus two satellites (Feed, Nia). Over successive feature rounds the forks drifted: the same capability is now implemented under different file names, with different internal sizes, and occasionally with subtly different behaviour. This review flags:</w:t>
      </w:r>
    </w:p>
    <w:p>
      <w:pPr>
        <w:pStyle w:val="ListBullet"/>
      </w:pPr>
      <w:r>
        <w:t>9 duplicate / parallel / redundant mechanisms (architectural redundancy, state-desync risk, maintenance cost).</w:t>
      </w:r>
    </w:p>
    <w:p>
      <w:pPr>
        <w:pStyle w:val="ListBullet"/>
      </w:pPr>
      <w:r>
        <w:t>4 conflicting / confusing / opposite-function patterns (ambiguous source of truth, dual code paths).</w:t>
      </w:r>
    </w:p>
    <w:p>
      <w:pPr>
        <w:pStyle w:val="ListBullet"/>
      </w:pPr>
      <w:r>
        <w:t>8 security gaps / risks / exposures (High to Low severity).</w:t>
      </w:r>
    </w:p>
    <w:p>
      <w:pPr>
        <w:spacing w:after="120"/>
      </w:pPr>
      <w:r>
        <w:rPr>
          <w:b w:val="0"/>
          <w:i/>
          <w:sz w:val="21"/>
        </w:rPr>
        <w:t>Each finding carries a concrete recommendation. Section 5 proposes a phased consolidation plan that reduces complexity while preserving zero-regression guarantees.</w:t>
      </w:r>
    </w:p>
    <w:p>
      <w:pPr>
        <w:pStyle w:val="Heading1"/>
      </w:pPr>
      <w:r>
        <w:rPr>
          <w:color w:val="0F766E"/>
        </w:rPr>
        <w:t>1. System Topology (as-built)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296"/>
            <w:shd w:val="clear" w:fill="0F766E"/>
          </w:tcPr>
          <w:p>
            <w:r/>
            <w:r>
              <w:rPr>
                <w:b/>
                <w:color w:val="FFFFFF"/>
                <w:sz w:val="19"/>
              </w:rPr>
              <w:t>App</w:t>
            </w:r>
          </w:p>
        </w:tc>
        <w:tc>
          <w:tcPr>
            <w:tcW w:type="dxa" w:w="2160"/>
            <w:shd w:val="clear" w:fill="0F766E"/>
          </w:tcPr>
          <w:p>
            <w:r/>
            <w:r>
              <w:rPr>
                <w:b/>
                <w:color w:val="FFFFFF"/>
                <w:sz w:val="19"/>
              </w:rPr>
              <w:t>Repo</w:t>
            </w:r>
          </w:p>
        </w:tc>
        <w:tc>
          <w:tcPr>
            <w:tcW w:type="dxa" w:w="2592"/>
            <w:shd w:val="clear" w:fill="0F766E"/>
          </w:tcPr>
          <w:p>
            <w:r/>
            <w:r>
              <w:rPr>
                <w:b/>
                <w:color w:val="FFFFFF"/>
                <w:sz w:val="19"/>
              </w:rPr>
              <w:t>Role</w:t>
            </w:r>
          </w:p>
        </w:tc>
        <w:tc>
          <w:tcPr>
            <w:tcW w:type="dxa" w:w="2448"/>
            <w:shd w:val="clear" w:fill="0F766E"/>
          </w:tcPr>
          <w:p>
            <w:r/>
            <w:r>
              <w:rPr>
                <w:b/>
                <w:color w:val="FFFFFF"/>
                <w:sz w:val="19"/>
              </w:rPr>
              <w:t>Payment posture</w:t>
            </w:r>
          </w:p>
        </w:tc>
        <w:tc>
          <w:tcPr>
            <w:tcW w:type="dxa" w:w="1872"/>
            <w:shd w:val="clear" w:fill="0F766E"/>
          </w:tcPr>
          <w:p>
            <w:r/>
            <w:r>
              <w:rPr>
                <w:b/>
                <w:color w:val="FFFFFF"/>
                <w:sz w:val="19"/>
              </w:rPr>
              <w:t>Lines (index / app.js)</w:t>
            </w:r>
          </w:p>
        </w:tc>
      </w:tr>
      <w:tr>
        <w:tc>
          <w:tcPr>
            <w:tcW w:type="dxa" w:w="1296"/>
          </w:tcPr>
          <w:p>
            <w:r/>
            <w:r>
              <w:rPr>
                <w:sz w:val="18"/>
              </w:rPr>
              <w:t>Equipment</w:t>
            </w:r>
          </w:p>
        </w:tc>
        <w:tc>
          <w:tcPr>
            <w:tcW w:type="dxa" w:w="2160"/>
          </w:tcPr>
          <w:p>
            <w:r/>
            <w:r>
              <w:rPr>
                <w:sz w:val="18"/>
              </w:rPr>
              <w:t>farm-sky-webapp</w:t>
            </w:r>
          </w:p>
        </w:tc>
        <w:tc>
          <w:tcPr>
            <w:tcW w:type="dxa" w:w="2592"/>
          </w:tcPr>
          <w:p>
            <w:r/>
            <w:r>
              <w:rPr>
                <w:sz w:val="18"/>
              </w:rPr>
              <w:t>Central HOST + own marketplace</w:t>
            </w:r>
          </w:p>
        </w:tc>
        <w:tc>
          <w:tcPr>
            <w:tcW w:type="dxa" w:w="2448"/>
          </w:tcPr>
          <w:p>
            <w:r/>
            <w:r>
              <w:rPr>
                <w:sz w:val="18"/>
              </w:rPr>
              <w:t>Hosts gateway; also a tenant</w:t>
            </w:r>
          </w:p>
        </w:tc>
        <w:tc>
          <w:tcPr>
            <w:tcW w:type="dxa" w:w="1872"/>
          </w:tcPr>
          <w:p>
            <w:r/>
            <w:r>
              <w:rPr>
                <w:sz w:val="18"/>
              </w:rPr>
              <w:t>8356 / 8091</w:t>
            </w:r>
          </w:p>
        </w:tc>
      </w:tr>
      <w:tr>
        <w:tc>
          <w:tcPr>
            <w:tcW w:type="dxa" w:w="1296"/>
          </w:tcPr>
          <w:p>
            <w:r/>
            <w:r>
              <w:rPr>
                <w:sz w:val="18"/>
              </w:rPr>
              <w:t>Feed</w:t>
            </w:r>
          </w:p>
        </w:tc>
        <w:tc>
          <w:tcPr>
            <w:tcW w:type="dxa" w:w="2160"/>
          </w:tcPr>
          <w:p>
            <w:r/>
            <w:r>
              <w:rPr>
                <w:sz w:val="18"/>
              </w:rPr>
              <w:t>feed</w:t>
            </w:r>
          </w:p>
        </w:tc>
        <w:tc>
          <w:tcPr>
            <w:tcW w:type="dxa" w:w="2592"/>
          </w:tcPr>
          <w:p>
            <w:r/>
            <w:r>
              <w:rPr>
                <w:sz w:val="18"/>
              </w:rPr>
              <w:t>Livestock satellite (tenant)</w:t>
            </w:r>
          </w:p>
        </w:tc>
        <w:tc>
          <w:tcPr>
            <w:tcW w:type="dxa" w:w="2448"/>
          </w:tcPr>
          <w:p>
            <w:r/>
            <w:r>
              <w:rPr>
                <w:sz w:val="18"/>
              </w:rPr>
              <w:t>Routes to Equipment gateway</w:t>
            </w:r>
          </w:p>
        </w:tc>
        <w:tc>
          <w:tcPr>
            <w:tcW w:type="dxa" w:w="1872"/>
          </w:tcPr>
          <w:p>
            <w:r/>
            <w:r>
              <w:rPr>
                <w:sz w:val="18"/>
              </w:rPr>
              <w:t>8297 / 8083</w:t>
            </w:r>
          </w:p>
        </w:tc>
      </w:tr>
      <w:tr>
        <w:tc>
          <w:tcPr>
            <w:tcW w:type="dxa" w:w="1296"/>
          </w:tcPr>
          <w:p>
            <w:r/>
            <w:r>
              <w:rPr>
                <w:sz w:val="18"/>
              </w:rPr>
              <w:t>Nia</w:t>
            </w:r>
          </w:p>
        </w:tc>
        <w:tc>
          <w:tcPr>
            <w:tcW w:type="dxa" w:w="2160"/>
          </w:tcPr>
          <w:p>
            <w:r/>
            <w:r>
              <w:rPr>
                <w:sz w:val="18"/>
              </w:rPr>
              <w:t>input</w:t>
            </w:r>
          </w:p>
        </w:tc>
        <w:tc>
          <w:tcPr>
            <w:tcW w:type="dxa" w:w="2592"/>
          </w:tcPr>
          <w:p>
            <w:r/>
            <w:r>
              <w:rPr>
                <w:sz w:val="18"/>
              </w:rPr>
              <w:t>Crop/horticulture satellite</w:t>
            </w:r>
          </w:p>
        </w:tc>
        <w:tc>
          <w:tcPr>
            <w:tcW w:type="dxa" w:w="2448"/>
          </w:tcPr>
          <w:p>
            <w:r/>
            <w:r>
              <w:rPr>
                <w:sz w:val="18"/>
              </w:rPr>
              <w:t>Routes to Equipment gateway</w:t>
            </w:r>
          </w:p>
        </w:tc>
        <w:tc>
          <w:tcPr>
            <w:tcW w:type="dxa" w:w="1872"/>
          </w:tcPr>
          <w:p>
            <w:r/>
            <w:r>
              <w:rPr>
                <w:sz w:val="18"/>
              </w:rPr>
              <w:t>6440 / 5712</w:t>
            </w:r>
          </w:p>
        </w:tc>
      </w:tr>
    </w:tbl>
    <w:p>
      <w:pPr>
        <w:spacing w:after="120"/>
      </w:pPr>
      <w:r>
        <w:rPr>
          <w:b w:val="0"/>
          <w:i w:val="0"/>
          <w:sz w:val="21"/>
        </w:rPr>
      </w:r>
    </w:p>
    <w:p>
      <w:pPr>
        <w:spacing w:after="120"/>
      </w:pPr>
      <w:r>
        <w:rPr>
          <w:b w:val="0"/>
          <w:i w:val="0"/>
          <w:sz w:val="21"/>
        </w:rPr>
        <w:t>All three share: Hono + TypeScript backend, dual build (dist-node/server.js authoritative + dist/_worker.js for Cloudflare), PostgreSQL with FORCE RLS, feature_flags lifecycle (sandbox -&gt; testing -&gt; live), and a vanilla-JS SPA (frontend/static/app.js).</w:t>
      </w:r>
    </w:p>
    <w:p>
      <w:pPr>
        <w:pStyle w:val="Heading1"/>
      </w:pPr>
      <w:r>
        <w:rPr>
          <w:color w:val="0F766E"/>
        </w:rPr>
        <w:t>2. Duplicate / Parallel / Redundant Functionalities</w:t>
      </w:r>
    </w:p>
    <w:p>
      <w:pPr>
        <w:pStyle w:val="Heading2"/>
      </w:pPr>
      <w:r>
        <w:rPr>
          <w:color w:val="C01A1A"/>
        </w:rPr>
        <w:t>2.1 Payment-gateway module: three divergent copies of the same host</w:t>
      </w:r>
    </w:p>
    <w:p>
      <w:pPr>
        <w:spacing w:after="120"/>
      </w:pPr>
      <w:r>
        <w:rPr>
          <w:b w:val="0"/>
          <w:i w:val="0"/>
          <w:sz w:val="21"/>
        </w:rPr>
        <w:t>The central gateway logic exists in differently-named, differently-sized files in each repo despite implementing the same functions (candidateSecrets, genRef, loadClient, loadMarketplace, setTenantScope, verifyIpn, settleCallback, notifyOriginApp, ...):</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40"/>
            <w:shd w:val="clear" w:fill="0F766E"/>
          </w:tcPr>
          <w:p>
            <w:r/>
            <w:r>
              <w:rPr>
                <w:b/>
                <w:color w:val="FFFFFF"/>
                <w:sz w:val="19"/>
              </w:rPr>
              <w:t>App</w:t>
            </w:r>
          </w:p>
        </w:tc>
        <w:tc>
          <w:tcPr>
            <w:tcW w:type="dxa" w:w="2592"/>
            <w:shd w:val="clear" w:fill="0F766E"/>
          </w:tcPr>
          <w:p>
            <w:r/>
            <w:r>
              <w:rPr>
                <w:b/>
                <w:color w:val="FFFFFF"/>
                <w:sz w:val="19"/>
              </w:rPr>
              <w:t>Host-gateway file</w:t>
            </w:r>
          </w:p>
        </w:tc>
        <w:tc>
          <w:tcPr>
            <w:tcW w:type="dxa" w:w="1008"/>
            <w:shd w:val="clear" w:fill="0F766E"/>
          </w:tcPr>
          <w:p>
            <w:r/>
            <w:r>
              <w:rPr>
                <w:b/>
                <w:color w:val="FFFFFF"/>
                <w:sz w:val="19"/>
              </w:rPr>
              <w:t>Size</w:t>
            </w:r>
          </w:p>
        </w:tc>
        <w:tc>
          <w:tcPr>
            <w:tcW w:type="dxa" w:w="2448"/>
            <w:shd w:val="clear" w:fill="0F766E"/>
          </w:tcPr>
          <w:p>
            <w:r/>
            <w:r>
              <w:rPr>
                <w:b/>
                <w:color w:val="FFFFFF"/>
                <w:sz w:val="19"/>
              </w:rPr>
              <w:t>Shared helper</w:t>
            </w:r>
          </w:p>
        </w:tc>
        <w:tc>
          <w:tcPr>
            <w:tcW w:type="dxa" w:w="2448"/>
            <w:shd w:val="clear" w:fill="0F766E"/>
          </w:tcPr>
          <w:p>
            <w:r/>
            <w:r>
              <w:rPr>
                <w:b/>
                <w:color w:val="FFFFFF"/>
                <w:sz w:val="19"/>
              </w:rPr>
              <w:t>Client file</w:t>
            </w:r>
          </w:p>
        </w:tc>
      </w:tr>
      <w:tr>
        <w:tc>
          <w:tcPr>
            <w:tcW w:type="dxa" w:w="1440"/>
          </w:tcPr>
          <w:p>
            <w:r/>
            <w:r>
              <w:rPr>
                <w:sz w:val="18"/>
              </w:rPr>
              <w:t>Equipment</w:t>
            </w:r>
          </w:p>
        </w:tc>
        <w:tc>
          <w:tcPr>
            <w:tcW w:type="dxa" w:w="2592"/>
          </w:tcPr>
          <w:p>
            <w:r/>
            <w:r>
              <w:rPr>
                <w:sz w:val="18"/>
              </w:rPr>
              <w:t>payment-gateway.ts</w:t>
            </w:r>
          </w:p>
        </w:tc>
        <w:tc>
          <w:tcPr>
            <w:tcW w:type="dxa" w:w="1008"/>
          </w:tcPr>
          <w:p>
            <w:r/>
            <w:r>
              <w:rPr>
                <w:sz w:val="18"/>
              </w:rPr>
              <w:t>72 KB</w:t>
            </w:r>
          </w:p>
        </w:tc>
        <w:tc>
          <w:tcPr>
            <w:tcW w:type="dxa" w:w="2448"/>
          </w:tcPr>
          <w:p>
            <w:r/>
            <w:r>
              <w:rPr>
                <w:sz w:val="18"/>
              </w:rPr>
              <w:t>payments-shared.ts</w:t>
            </w:r>
          </w:p>
        </w:tc>
        <w:tc>
          <w:tcPr>
            <w:tcW w:type="dxa" w:w="2448"/>
          </w:tcPr>
          <w:p>
            <w:r/>
            <w:r>
              <w:rPr>
                <w:sz w:val="18"/>
              </w:rPr>
              <w:t>(none)</w:t>
            </w:r>
          </w:p>
        </w:tc>
      </w:tr>
      <w:tr>
        <w:tc>
          <w:tcPr>
            <w:tcW w:type="dxa" w:w="1440"/>
          </w:tcPr>
          <w:p>
            <w:r/>
            <w:r>
              <w:rPr>
                <w:sz w:val="18"/>
              </w:rPr>
              <w:t>Feed</w:t>
            </w:r>
          </w:p>
        </w:tc>
        <w:tc>
          <w:tcPr>
            <w:tcW w:type="dxa" w:w="2592"/>
          </w:tcPr>
          <w:p>
            <w:r/>
            <w:r>
              <w:rPr>
                <w:sz w:val="18"/>
              </w:rPr>
              <w:t>payment-gateway-host.ts</w:t>
            </w:r>
          </w:p>
        </w:tc>
        <w:tc>
          <w:tcPr>
            <w:tcW w:type="dxa" w:w="1008"/>
          </w:tcPr>
          <w:p>
            <w:r/>
            <w:r>
              <w:rPr>
                <w:sz w:val="18"/>
              </w:rPr>
              <w:t>68 KB</w:t>
            </w:r>
          </w:p>
        </w:tc>
        <w:tc>
          <w:tcPr>
            <w:tcW w:type="dxa" w:w="2448"/>
          </w:tcPr>
          <w:p>
            <w:r/>
            <w:r>
              <w:rPr>
                <w:sz w:val="18"/>
              </w:rPr>
              <w:t>payment-gateway-shared.ts</w:t>
            </w:r>
          </w:p>
        </w:tc>
        <w:tc>
          <w:tcPr>
            <w:tcW w:type="dxa" w:w="2448"/>
          </w:tcPr>
          <w:p>
            <w:r/>
            <w:r>
              <w:rPr>
                <w:sz w:val="18"/>
              </w:rPr>
              <w:t>payment-gateway-client.ts</w:t>
            </w:r>
          </w:p>
        </w:tc>
      </w:tr>
      <w:tr>
        <w:tc>
          <w:tcPr>
            <w:tcW w:type="dxa" w:w="1440"/>
          </w:tcPr>
          <w:p>
            <w:r/>
            <w:r>
              <w:rPr>
                <w:sz w:val="18"/>
              </w:rPr>
              <w:t>Nia</w:t>
            </w:r>
          </w:p>
        </w:tc>
        <w:tc>
          <w:tcPr>
            <w:tcW w:type="dxa" w:w="2592"/>
          </w:tcPr>
          <w:p>
            <w:r/>
            <w:r>
              <w:rPr>
                <w:sz w:val="18"/>
              </w:rPr>
              <w:t>payment-gateway.ts</w:t>
            </w:r>
          </w:p>
        </w:tc>
        <w:tc>
          <w:tcPr>
            <w:tcW w:type="dxa" w:w="1008"/>
          </w:tcPr>
          <w:p>
            <w:r/>
            <w:r>
              <w:rPr>
                <w:sz w:val="18"/>
              </w:rPr>
              <w:t>47 KB</w:t>
            </w:r>
          </w:p>
        </w:tc>
        <w:tc>
          <w:tcPr>
            <w:tcW w:type="dxa" w:w="2448"/>
          </w:tcPr>
          <w:p>
            <w:r/>
            <w:r>
              <w:rPr>
                <w:sz w:val="18"/>
              </w:rPr>
              <w:t>payments-shared.ts</w:t>
            </w:r>
          </w:p>
        </w:tc>
        <w:tc>
          <w:tcPr>
            <w:tcW w:type="dxa" w:w="2448"/>
          </w:tcPr>
          <w:p>
            <w:r/>
            <w:r>
              <w:rPr>
                <w:sz w:val="18"/>
              </w:rPr>
              <w:t>payments-client.ts</w:t>
            </w:r>
          </w:p>
        </w:tc>
      </w:tr>
    </w:tbl>
    <w:p>
      <w:pPr>
        <w:spacing w:after="120"/>
      </w:pPr>
      <w:r>
        <w:rPr>
          <w:b w:val="0"/>
          <w:i w:val="0"/>
          <w:sz w:val="21"/>
        </w:rPr>
      </w:r>
    </w:p>
    <w:p>
      <w:r>
        <w:rPr>
          <w:b/>
          <w:color w:val="C01A1A"/>
        </w:rPr>
        <w:t xml:space="preserve">[High] </w:t>
      </w:r>
      <w:r>
        <w:rPr>
          <w:b/>
        </w:rPr>
        <w:t xml:space="preserve">Risk: </w:t>
      </w:r>
      <w:r>
        <w:t>High architectural redundancy. A fix to IPN verification or settlement must be hand-ported to 3 files with 3 different names and 3 different internal states -&gt; high risk of STATE DESYNCHRONIZATION. Satellites arguably should not carry a 47-68 KB host gateway at all.</w:t>
      </w:r>
    </w:p>
    <w:p>
      <w:r>
        <w:rPr>
          <w:b/>
        </w:rPr>
        <w:t xml:space="preserve">Recommendation: </w:t>
      </w:r>
      <w:r>
        <w:t>Extract ONE canonical @farmsky/payment-gateway (host) + ONE @farmsky/payment-client (tenant) package. Satellites import the client only. If a monorepo is not viable short-term, adopt identical file names enforced by a CI diff gate.</w:t>
      </w:r>
    </w:p>
    <w:p>
      <w:pPr>
        <w:pStyle w:val="Heading2"/>
      </w:pPr>
      <w:r>
        <w:rPr>
          <w:color w:val="C01A1A"/>
        </w:rPr>
        <w:t>2.2 wallet-gateway.ts re-implements gateway primitives</w:t>
      </w:r>
    </w:p>
    <w:p>
      <w:pPr>
        <w:spacing w:after="120"/>
      </w:pPr>
      <w:r>
        <w:rPr>
          <w:b w:val="0"/>
          <w:i w:val="0"/>
          <w:sz w:val="21"/>
        </w:rPr>
        <w:t>wallet-gateway.ts (Equipment &amp; Feed, ~24 KB; ABSENT in Nia) redefines genRef, loadClient, candidateSecrets, auditSecurity and authenticate — functions that already exist in payment-gateway.ts. Two independent copies of the HMAC auth path now exist in the same repo.</w:t>
      </w:r>
    </w:p>
    <w:p>
      <w:r>
        <w:rPr>
          <w:b/>
          <w:color w:val="C01A1A"/>
        </w:rPr>
        <w:t xml:space="preserve">[High] </w:t>
      </w:r>
      <w:r>
        <w:rPr>
          <w:b/>
        </w:rPr>
        <w:t xml:space="preserve">Risk: </w:t>
      </w:r>
      <w:r>
        <w:t>An auth/signing change applied to the payment gateway but not the wallet gateway creates an auth-logic split-brain. Nia lacking the file means wallet features silently differ by app.</w:t>
      </w:r>
    </w:p>
    <w:p>
      <w:r>
        <w:rPr>
          <w:b/>
        </w:rPr>
        <w:t xml:space="preserve">Recommendation: </w:t>
      </w:r>
      <w:r>
        <w:t>Factor shared auth/signing primitives into one internal module imported by both gateways; make Nia wallet posture explicit (add module, or document wallets unsupported on Nia).</w:t>
      </w:r>
    </w:p>
    <w:p>
      <w:pPr>
        <w:pStyle w:val="Heading2"/>
      </w:pPr>
      <w:r>
        <w:rPr>
          <w:color w:val="B45309"/>
        </w:rPr>
        <w:t>2.3 Dual checkout endpoint aliases (/api/murabaha/* vs /api/checkout/*)</w:t>
      </w:r>
    </w:p>
    <w:p>
      <w:pPr>
        <w:spacing w:after="120"/>
      </w:pPr>
      <w:r>
        <w:rPr>
          <w:b w:val="0"/>
          <w:i w:val="0"/>
          <w:sz w:val="21"/>
        </w:rPr>
        <w:t>Both legacy /api/murabaha/{quote,apply,apply-bundle} and newer /api/checkout/{quote,apply,quote-bundle,kyc-check} are registered to the same handlers — but the aliasing is inconsistent: Equipment &amp; Feed register BOTH /api/checkout/apply and /api/murabaha/apply; Nia registers ONLY /api/murabaha/apply (no /api/checkout/apply alias).</w:t>
      </w:r>
    </w:p>
    <w:p>
      <w:r>
        <w:rPr>
          <w:b/>
          <w:color w:val="B45309"/>
        </w:rPr>
        <w:t xml:space="preserve">[Medium] </w:t>
      </w:r>
      <w:r>
        <w:rPr>
          <w:b/>
        </w:rPr>
        <w:t xml:space="preserve">Risk: </w:t>
      </w:r>
      <w:r>
        <w:t>A client coded against /api/checkout/apply works on Equipment/Feed but 404s on Nia. Two public names for one behaviour doubles documentation &amp; test surface.</w:t>
      </w:r>
    </w:p>
    <w:p>
      <w:r>
        <w:rPr>
          <w:b/>
        </w:rPr>
        <w:t xml:space="preserve">Recommendation: </w:t>
      </w:r>
      <w:r>
        <w:t>Pick ONE canonical namespace (/api/checkout/*), make legacy names thin redirects (or register the identical alias set in all three), schedule legacy for deprecation.</w:t>
      </w:r>
    </w:p>
    <w:p>
      <w:pPr>
        <w:pStyle w:val="Heading2"/>
      </w:pPr>
      <w:r>
        <w:rPr>
          <w:color w:val="B45309"/>
        </w:rPr>
        <w:t>2.4 financingQuote() has drifted across apps</w:t>
      </w:r>
    </w:p>
    <w:p>
      <w:pPr>
        <w:spacing w:after="120"/>
      </w:pPr>
      <w:r>
        <w:rPr>
          <w:b w:val="0"/>
          <w:i w:val="0"/>
          <w:sz w:val="21"/>
        </w:rPr>
        <w:t>The single most important money function differs by app: Equipment 146 lines (tenure + interest + PAYGO), Feed 106 lines (Murabaha, charge-free), Nia 85 lines (interest, no tenure). Each was edited independently during the cart/checkout overhaul.</w:t>
      </w:r>
    </w:p>
    <w:p>
      <w:r>
        <w:rPr>
          <w:b/>
          <w:color w:val="B45309"/>
        </w:rPr>
        <w:t xml:space="preserve">[Medium] </w:t>
      </w:r>
      <w:r>
        <w:rPr>
          <w:b/>
        </w:rPr>
        <w:t xml:space="preserve">Risk: </w:t>
      </w:r>
      <w:r>
        <w:t>The "one source of truth for price" is actually THREE sources. A rounding/deposit rule corrected in one app can silently differ in another, re-introducing the cart-vs-contract bug class already fixed once.</w:t>
      </w:r>
    </w:p>
    <w:p>
      <w:r>
        <w:rPr>
          <w:b/>
        </w:rPr>
        <w:t xml:space="preserve">Recommendation: </w:t>
      </w:r>
      <w:r>
        <w:t>Promote financingQuote + computeProcessingFee + requiredNum into a shared pricing module with a shared unit-test vector set run in all three CIs. Per-app policy becomes a config flag, not a forked function body.</w:t>
      </w:r>
    </w:p>
    <w:p>
      <w:pPr>
        <w:pStyle w:val="Heading2"/>
      </w:pPr>
      <w:r>
        <w:rPr>
          <w:color w:val="B45309"/>
        </w:rPr>
        <w:t>2.5 buni.ts (KCB Bank gateway) drift</w:t>
      </w:r>
    </w:p>
    <w:p>
      <w:pPr>
        <w:spacing w:after="120"/>
      </w:pPr>
      <w:r>
        <w:rPr>
          <w:b w:val="0"/>
          <w:i w:val="0"/>
          <w:sz w:val="21"/>
        </w:rPr>
        <w:t>buni.ts is 367 lines in Equipment &amp; Feed but only 91 lines in Nia — Nia carries a stripped/older KCB integration.</w:t>
      </w:r>
    </w:p>
    <w:p>
      <w:r>
        <w:rPr>
          <w:b/>
          <w:color w:val="B45309"/>
        </w:rPr>
        <w:t xml:space="preserve">[Medium] </w:t>
      </w:r>
      <w:r>
        <w:rPr>
          <w:b/>
        </w:rPr>
        <w:t xml:space="preserve">Risk: </w:t>
      </w:r>
      <w:r>
        <w:t>KCB payments behave/fail differently on Nia vs others; a KCB bugfix lands in 2 of 3 apps.</w:t>
      </w:r>
    </w:p>
    <w:p>
      <w:r>
        <w:rPr>
          <w:b/>
        </w:rPr>
        <w:t xml:space="preserve">Recommendation: </w:t>
      </w:r>
      <w:r>
        <w:t>Converge to the 367-line canonical buni.ts (or the shared package from 2.1); delete the divergent copy.</w:t>
      </w:r>
    </w:p>
    <w:p>
      <w:pPr>
        <w:pStyle w:val="Heading2"/>
      </w:pPr>
      <w:r>
        <w:rPr>
          <w:color w:val="B45309"/>
        </w:rPr>
        <w:t>2.6 Parallel configuration mechanisms (env-var vs DB app_settings)</w:t>
      </w:r>
    </w:p>
    <w:p>
      <w:pPr>
        <w:spacing w:after="120"/>
      </w:pPr>
      <w:r>
        <w:rPr>
          <w:b w:val="0"/>
          <w:i w:val="0"/>
          <w:sz w:val="21"/>
        </w:rPr>
        <w:t>Configuration is read from TWO parallel stores: 547 c.env.* reads (deployment env vars) AND a DB app_settings table via getSetting/setSetting. Several values (processing fee, feature availability, payment creds) can be influenced by BOTH, with implicit precedence.</w:t>
      </w:r>
    </w:p>
    <w:p>
      <w:r>
        <w:rPr>
          <w:b/>
          <w:color w:val="B45309"/>
        </w:rPr>
        <w:t xml:space="preserve">[Medium] </w:t>
      </w:r>
      <w:r>
        <w:rPr>
          <w:b/>
        </w:rPr>
        <w:t xml:space="preserve">Risk: </w:t>
      </w:r>
      <w:r>
        <w:t>Exactly the "parallel configuration mechanism -&gt; high redundancy + state desync" pattern. An operator changing a DB setting may be silently overridden by an env var (or vice-versa) with no visible precedence.</w:t>
      </w:r>
    </w:p>
    <w:p>
      <w:r>
        <w:rPr>
          <w:b/>
        </w:rPr>
        <w:t xml:space="preserve">Recommendation: </w:t>
      </w:r>
      <w:r>
        <w:t>Define a single config-resolution contract (e.g. env var is the hard floor; DB setting may narrow but never widen; precedence logged). Centralize reads behind one resolveConfig(key) helper and document the precedence table.</w:t>
      </w:r>
    </w:p>
    <w:p>
      <w:pPr>
        <w:pStyle w:val="Heading2"/>
      </w:pPr>
      <w:r>
        <w:rPr>
          <w:color w:val="8A6D00"/>
        </w:rPr>
        <w:t>2.7 Processing-fee computed/normalized in multiple spots</w:t>
      </w:r>
    </w:p>
    <w:p>
      <w:pPr>
        <w:spacing w:after="120"/>
      </w:pPr>
      <w:r>
        <w:rPr>
          <w:b w:val="0"/>
          <w:i w:val="0"/>
          <w:sz w:val="21"/>
        </w:rPr>
        <w:t>DEFAULT_PROCESSING_FEE, normalizeProcessingFee, computeProcessingFee plus inline getSetting(c,"processing_fee",...) calls appear at several call sites per app (and in all 3). Recommendation: single getProcessingFeeConfig(c) accessor (subsumed by 2.4's shared module).</w:t>
      </w:r>
    </w:p>
    <w:p>
      <w:pPr>
        <w:pStyle w:val="Heading2"/>
      </w:pPr>
      <w:r>
        <w:rPr>
          <w:color w:val="8A6D00"/>
        </w:rPr>
        <w:t>2.8 Inconsistent backend/middleware/ presence</w:t>
      </w:r>
    </w:p>
    <w:p>
      <w:pPr>
        <w:spacing w:after="120"/>
      </w:pPr>
      <w:r>
        <w:rPr>
          <w:b w:val="0"/>
          <w:i w:val="0"/>
          <w:sz w:val="21"/>
        </w:rPr>
        <w:t>Equipment and Nia have backend/middleware/auth.ts; Feed has no middleware directory (auth is inline). Recommendation: standardize the middleware location across all three.</w:t>
      </w:r>
    </w:p>
    <w:p>
      <w:pPr>
        <w:pStyle w:val="Heading2"/>
      </w:pPr>
      <w:r>
        <w:rPr>
          <w:color w:val="8A6D00"/>
        </w:rPr>
        <w:t>2.9 RLS-context helpers: withAdminContext (pooled) vs runAsAdmin (pinned)</w:t>
      </w:r>
    </w:p>
    <w:p>
      <w:pPr>
        <w:spacing w:after="120"/>
      </w:pPr>
      <w:r>
        <w:rPr>
          <w:b w:val="0"/>
          <w:i w:val="0"/>
          <w:sz w:val="21"/>
        </w:rPr>
        <w:t>Two mechanisms set the admin DB context: the older pooled withAdminContext (sets a GUC then issues a separate pooled query — racy under load) and the newer runAsAdmin (pins one connection — correct). Both remain in use (~107 context-related lines in Equipment alone).</w:t>
      </w:r>
    </w:p>
    <w:p>
      <w:r>
        <w:rPr>
          <w:b/>
          <w:color w:val="8A6D00"/>
        </w:rPr>
        <w:t xml:space="preserve">[Low] </w:t>
      </w:r>
      <w:r>
        <w:rPr>
          <w:b/>
        </w:rPr>
        <w:t xml:space="preserve">Risk: </w:t>
      </w:r>
      <w:r>
        <w:t>The pooled variant can route the follow-up query to a connection that never saw the GUC -&gt; intermittent RLS denials. Two patterns invite using the wrong one.</w:t>
      </w:r>
    </w:p>
    <w:p>
      <w:r>
        <w:rPr>
          <w:b/>
        </w:rPr>
        <w:t xml:space="preserve">Recommendation: </w:t>
      </w:r>
      <w:r>
        <w:t>Migrate all privileged writes to runAsAdmin; keep withAdminContext only for benign read paths or replace entirely. Add a lint rule forbidding pool.query inside a withAdminContext block.</w:t>
      </w:r>
    </w:p>
    <w:p>
      <w:pPr>
        <w:pStyle w:val="Heading1"/>
      </w:pPr>
      <w:r>
        <w:rPr>
          <w:color w:val="0F766E"/>
        </w:rPr>
        <w:t>3. Conflicting / Confusing / Opposite-Function Patterns</w:t>
      </w:r>
    </w:p>
    <w:p>
      <w:pPr>
        <w:pStyle w:val="Heading2"/>
      </w:pPr>
      <w:r>
        <w:rPr>
          <w:color w:val="B45309"/>
        </w:rPr>
        <w:t>3.1 Cross-marketplace checkout is "always CASH" while in-app financing exists</w:t>
      </w:r>
    </w:p>
    <w:p>
      <w:pPr>
        <w:spacing w:after="120"/>
      </w:pPr>
      <w:r>
        <w:rPr>
          <w:b w:val="0"/>
          <w:i w:val="0"/>
          <w:sz w:val="21"/>
        </w:rPr>
        <w:t>Feed's cross-marketplace path (ref XMP) forces cash only ("financing is scoped to the owning platform"), yet the same product in its home app may be financable. The SAME product can be cash-only or financable depending on which app you check out from — an opposite/confusing behaviour.</w:t>
      </w:r>
    </w:p>
    <w:p>
      <w:r>
        <w:rPr>
          <w:b/>
        </w:rPr>
        <w:t xml:space="preserve">Recommendation: </w:t>
      </w:r>
      <w:r>
        <w:t>Make the rule explicit in the UI ("cross-marketplace items are cash-only"), OR route cross-marketplace financing to the owning app's quote engine so terms stay consistent (preferred; aligns with the cross-marketplace pricing-origin rule already adopted in checkout).</w:t>
      </w:r>
    </w:p>
    <w:p>
      <w:pPr>
        <w:pStyle w:val="Heading2"/>
      </w:pPr>
      <w:r>
        <w:rPr>
          <w:color w:val="B45309"/>
        </w:rPr>
        <w:t>3.2 Two KYC gates with different trigger logic</w:t>
      </w:r>
    </w:p>
    <w:p>
      <w:pPr>
        <w:spacing w:after="120"/>
      </w:pPr>
      <w:r>
        <w:rPr>
          <w:b w:val="0"/>
          <w:i w:val="0"/>
          <w:sz w:val="21"/>
        </w:rPr>
        <w:t>KYC is enforced in checkoutApplyHandler, again in apply-bundle, and surfaced via /api/checkout/kyc-check. The "financing requires verified KYC; cash bypasses KYC" rule is re-implemented at each site (&gt;=3 places per app x 3 apps = 9 edit points).</w:t>
      </w:r>
    </w:p>
    <w:p>
      <w:r>
        <w:rPr>
          <w:b/>
        </w:rPr>
        <w:t xml:space="preserve">Recommendation: </w:t>
      </w:r>
      <w:r>
        <w:t>One assertCheckoutAllowed(customer, items) guard used by all checkout entry points.</w:t>
      </w:r>
    </w:p>
    <w:p>
      <w:pPr>
        <w:pStyle w:val="Heading2"/>
      </w:pPr>
      <w:r>
        <w:rPr>
          <w:color w:val="8A6D00"/>
        </w:rPr>
        <w:t>3.3 Four overlapping app-identity flags</w:t>
      </w:r>
    </w:p>
    <w:p>
      <w:pPr>
        <w:spacing w:after="120"/>
      </w:pPr>
      <w:r>
        <w:rPr>
          <w:b w:val="0"/>
          <w:i w:val="0"/>
          <w:sz w:val="21"/>
        </w:rPr>
        <w:t>APP_TYPE vs APP_MARKETPLACE vs product app_scope vs product source_platform vs product marketplace — overlapping notions of "which app / which marketplace" with implicit mapping. Easy to filter on the wrong dimension (a data-isolation bug waiting to happen). Recommendation: collapse to the minimum set and add one appIdentity(c) helper. See the reference table in Section 6.</w:t>
      </w:r>
    </w:p>
    <w:p>
      <w:pPr>
        <w:pStyle w:val="Heading2"/>
      </w:pPr>
      <w:r>
        <w:rPr>
          <w:color w:val="8A6D00"/>
        </w:rPr>
        <w:t>3.4 demo_otp returned in API responses</w:t>
      </w:r>
    </w:p>
    <w:p>
      <w:pPr>
        <w:spacing w:after="120"/>
      </w:pPr>
      <w:r>
        <w:rPr>
          <w:b w:val="0"/>
          <w:i w:val="0"/>
          <w:sz w:val="21"/>
        </w:rPr>
        <w:t>Several endpoints return demo_otp in JSON when SMS is simulated — confusing in production and a genuine exposure if simulation mode is ever on in prod. Recommendation: gate demo_otp behind an explicit DEMO_MODE flag that is hard-off in production builds.</w:t>
      </w:r>
    </w:p>
    <w:p>
      <w:pPr>
        <w:pStyle w:val="Heading1"/>
      </w:pPr>
      <w:r>
        <w:rPr>
          <w:color w:val="0F766E"/>
        </w:rPr>
        <w:t>4. Security Gaps, Risks &amp; Exposures</w:t>
      </w:r>
    </w:p>
    <w:p>
      <w:pPr>
        <w:pStyle w:val="Heading2"/>
      </w:pPr>
      <w:r>
        <w:rPr>
          <w:color w:val="C01A1A"/>
        </w:rPr>
        <w:t>4.1 CORS reflects any origin WITH credentials</w:t>
      </w:r>
    </w:p>
    <w:p>
      <w:pPr>
        <w:spacing w:after="120"/>
      </w:pPr>
      <w:r>
        <w:rPr>
          <w:b w:val="0"/>
          <w:i w:val="0"/>
          <w:sz w:val="21"/>
        </w:rPr>
        <w:t>app.use("/api/*", cors({ origin: (origin) =&gt; origin || "*", credentials: true, ... })) — reflecting the caller's Origin AND allowing credentials lets any website make authenticated cross-site requests with the victim's cookie session. Present in all three apps.</w:t>
      </w:r>
    </w:p>
    <w:p>
      <w:r>
        <w:rPr>
          <w:b/>
          <w:color w:val="C01A1A"/>
        </w:rPr>
        <w:t xml:space="preserve">[High] </w:t>
      </w:r>
      <w:r>
        <w:rPr>
          <w:b/>
        </w:rPr>
        <w:t xml:space="preserve">Risk: </w:t>
      </w:r>
      <w:r>
        <w:t>CSRF / cross-site credential theft against the cookie-based session.</w:t>
      </w:r>
    </w:p>
    <w:p>
      <w:r>
        <w:rPr>
          <w:b/>
        </w:rPr>
        <w:t xml:space="preserve">Recommendation: </w:t>
      </w:r>
      <w:r>
        <w:t>Replace with an explicit allow-list of known app origins (equipment/feed/nia .farmsky.africa + sandbox hosts). Never combine wildcard/reflected origin with credentials: true.</w:t>
      </w:r>
    </w:p>
    <w:p>
      <w:pPr>
        <w:pStyle w:val="Heading2"/>
      </w:pPr>
      <w:r>
        <w:rPr>
          <w:color w:val="B45309"/>
        </w:rPr>
        <w:t>4.2 OTP exposure in responses + plaintext OTP storage</w:t>
      </w:r>
    </w:p>
    <w:p>
      <w:pPr>
        <w:spacing w:after="120"/>
      </w:pPr>
      <w:r>
        <w:rPr>
          <w:b w:val="0"/>
          <w:i w:val="0"/>
          <w:sz w:val="21"/>
        </w:rPr>
        <w:t>demo_otp is returned in simulation mode, and OTP codes are stored in plaintext in otp_codes.code. Mitigations exist (5-attempt cap, 5-min expiry, single-use) but a DB read exposes live codes.</w:t>
      </w:r>
    </w:p>
    <w:p>
      <w:r>
        <w:rPr>
          <w:b/>
        </w:rPr>
        <w:t xml:space="preserve">Recommendation: </w:t>
      </w:r>
      <w:r>
        <w:t>Hash OTPs at rest (reuse the PBKDF2 util or an HMAC with a server pepper); strip demo_otp unless DEMO_MODE is explicitly enabled.</w:t>
      </w:r>
    </w:p>
    <w:p>
      <w:pPr>
        <w:pStyle w:val="Heading2"/>
      </w:pPr>
      <w:r>
        <w:rPr>
          <w:color w:val="B45309"/>
        </w:rPr>
        <w:t>4.3 HMAC "fallback secret" precedence drift</w:t>
      </w:r>
    </w:p>
    <w:p>
      <w:pPr>
        <w:spacing w:after="120"/>
      </w:pPr>
      <w:r>
        <w:rPr>
          <w:b w:val="0"/>
          <w:i w:val="0"/>
          <w:sz w:val="21"/>
        </w:rPr>
        <w:t>The gateway accepts multiple candidate secrets (candidateSecrets) and only console.warns when a request matches a fallback instead of the registered secret. A stale/rotated secret keeps working silently; rotation is not actually enforced.</w:t>
      </w:r>
    </w:p>
    <w:p>
      <w:r>
        <w:rPr>
          <w:b/>
        </w:rPr>
        <w:t xml:space="preserve">Recommendation: </w:t>
      </w:r>
      <w:r>
        <w:t>Make fallback-secret acceptance time-boxed and alarmed (metric + alert, not just a log line); fail closed once the rotation window ends.</w:t>
      </w:r>
    </w:p>
    <w:p>
      <w:pPr>
        <w:pStyle w:val="Heading2"/>
      </w:pPr>
      <w:r>
        <w:rPr>
          <w:color w:val="B45309"/>
        </w:rPr>
        <w:t>4.4 Session lifetime &amp; cookie posture</w:t>
      </w:r>
    </w:p>
    <w:p>
      <w:pPr>
        <w:spacing w:after="120"/>
      </w:pPr>
      <w:r>
        <w:rPr>
          <w:b w:val="0"/>
          <w:i w:val="0"/>
          <w:sz w:val="21"/>
        </w:rPr>
        <w:t>Sessions last 12 hours (maxAge 60*60*12) with httpOnly, sameSite Lax, secure only when HTTPS is detected at runtime. No idle timeout, no rotation on privilege change.</w:t>
      </w:r>
    </w:p>
    <w:p>
      <w:r>
        <w:rPr>
          <w:b/>
        </w:rPr>
        <w:t xml:space="preserve">Recommendation: </w:t>
      </w:r>
      <w:r>
        <w:t>Add a sliding idle timeout (30-60 min) with an absolute cap; force Secure in production regardless of runtime detection; rotate the session token on login and on role elevation.</w:t>
      </w:r>
    </w:p>
    <w:p>
      <w:pPr>
        <w:pStyle w:val="Heading2"/>
      </w:pPr>
      <w:r>
        <w:rPr>
          <w:color w:val="B45309"/>
        </w:rPr>
        <w:t>4.5 Dynamic SQL built by string concatenation</w:t>
      </w:r>
    </w:p>
    <w:p>
      <w:pPr>
        <w:spacing w:after="120"/>
      </w:pPr>
      <w:r>
        <w:rPr>
          <w:b w:val="0"/>
          <w:i w:val="0"/>
          <w:sz w:val="21"/>
        </w:rPr>
        <w:t>Several queries interpolate identifiers/clauses: SELECT COUNT(*) FROM "${t}", SELECT * FROM ${ds}, UPDATE users SET ${sets.join(", ")}, WHERE ${keyCol}=?. Values are parameterized, but table/column/dataset NAMES are concatenated. If any ${...} ever derives from user input, it is injectable.</w:t>
      </w:r>
    </w:p>
    <w:p>
      <w:r>
        <w:rPr>
          <w:b/>
        </w:rPr>
        <w:t xml:space="preserve">Recommendation: </w:t>
      </w:r>
      <w:r>
        <w:t>Whitelist every interpolated identifier against a fixed registry; never pass request-derived strings into an identifier position. Add a CI grep check for FROM ${ / SET ${.</w:t>
      </w:r>
    </w:p>
    <w:p>
      <w:pPr>
        <w:pStyle w:val="Heading2"/>
      </w:pPr>
      <w:r>
        <w:rPr>
          <w:color w:val="8A6D00"/>
        </w:rPr>
        <w:t>4.6 Randomness for receipts/scores</w:t>
      </w:r>
    </w:p>
    <w:p>
      <w:pPr>
        <w:spacing w:after="120"/>
      </w:pPr>
      <w:r>
        <w:rPr>
          <w:b w:val="0"/>
          <w:i w:val="0"/>
          <w:sz w:val="21"/>
        </w:rPr>
        <w:t>Math.random() is used for simulated receipts and the demo credit score (non-security). Session tokens correctly use crypto.randomUUID(). Recommendation: confirm all security-relevant randomness uses WebCrypto; add a lint fence so simulation helpers are never reused for secrets.</w:t>
      </w:r>
    </w:p>
    <w:p>
      <w:pPr>
        <w:pStyle w:val="Heading2"/>
      </w:pPr>
      <w:r>
        <w:rPr>
          <w:color w:val="8A6D00"/>
        </w:rPr>
        <w:t>4.7 Verbose operational logging</w:t>
      </w:r>
    </w:p>
    <w:p>
      <w:pPr>
        <w:spacing w:after="120"/>
      </w:pPr>
      <w:r>
        <w:rPr>
          <w:b w:val="0"/>
          <w:i w:val="0"/>
          <w:sz w:val="21"/>
        </w:rPr>
        <w:t>~25 console.* statements per app, some printing secret-precedence hints and client keys. Low risk but informative to an attacker with log access. Recommendation: route through a leveled logger; suppress debug/secret-hint logs in production.</w:t>
      </w:r>
    </w:p>
    <w:p>
      <w:pPr>
        <w:pStyle w:val="Heading2"/>
      </w:pPr>
      <w:r>
        <w:rPr>
          <w:color w:val="8A6D00"/>
        </w:rPr>
        <w:t>4.8 Satellite apps carry full host-gateway code (attack surface)</w:t>
      </w:r>
    </w:p>
    <w:p>
      <w:pPr>
        <w:spacing w:after="120"/>
      </w:pPr>
      <w:r>
        <w:rPr>
          <w:b w:val="0"/>
          <w:i w:val="0"/>
          <w:sz w:val="21"/>
        </w:rPr>
        <w:t>Because Feed/Nia ship a full 47-68 KB host gateway (finding 2.1), settlement/IPN endpoints may be reachable on satellites even though they should only act as tenants. Recommendation: ensure host-only routes are not mounted on satellites (or remove host code per 2.1); verify with a route inventory.</w:t>
      </w:r>
    </w:p>
    <w:p>
      <w:pPr>
        <w:pStyle w:val="Heading1"/>
      </w:pPr>
      <w:r>
        <w:rPr>
          <w:color w:val="0F766E"/>
        </w:rPr>
        <w:t>5. Consolidation Roadmap (reduce complexity, resolve conflicts)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shd w:val="clear" w:fill="0F766E"/>
          </w:tcPr>
          <w:p>
            <w:r/>
            <w:r>
              <w:rPr>
                <w:b/>
                <w:color w:val="FFFFFF"/>
                <w:sz w:val="19"/>
              </w:rPr>
              <w:t>Phase</w:t>
            </w:r>
          </w:p>
        </w:tc>
        <w:tc>
          <w:tcPr>
            <w:tcW w:type="dxa" w:w="4320"/>
            <w:shd w:val="clear" w:fill="0F766E"/>
          </w:tcPr>
          <w:p>
            <w:r/>
            <w:r>
              <w:rPr>
                <w:b/>
                <w:color w:val="FFFFFF"/>
                <w:sz w:val="19"/>
              </w:rPr>
              <w:t>Action</w:t>
            </w:r>
          </w:p>
        </w:tc>
        <w:tc>
          <w:tcPr>
            <w:tcW w:type="dxa" w:w="1872"/>
            <w:shd w:val="clear" w:fill="0F766E"/>
          </w:tcPr>
          <w:p>
            <w:r/>
            <w:r>
              <w:rPr>
                <w:b/>
                <w:color w:val="FFFFFF"/>
                <w:sz w:val="19"/>
              </w:rPr>
              <w:t>Resolves</w:t>
            </w:r>
          </w:p>
        </w:tc>
        <w:tc>
          <w:tcPr>
            <w:tcW w:type="dxa" w:w="1872"/>
            <w:shd w:val="clear" w:fill="0F766E"/>
          </w:tcPr>
          <w:p>
            <w:r/>
            <w:r>
              <w:rPr>
                <w:b/>
                <w:color w:val="FFFFFF"/>
                <w:sz w:val="19"/>
              </w:rPr>
              <w:t>Risk</w:t>
            </w:r>
          </w:p>
        </w:tc>
      </w:tr>
      <w:tr>
        <w:tc>
          <w:tcPr>
            <w:tcW w:type="dxa" w:w="1152"/>
          </w:tcPr>
          <w:p>
            <w:r/>
            <w:r>
              <w:rPr>
                <w:sz w:val="18"/>
              </w:rPr>
              <w:t>P1 (now)</w:t>
            </w:r>
          </w:p>
        </w:tc>
        <w:tc>
          <w:tcPr>
            <w:tcW w:type="dxa" w:w="4320"/>
          </w:tcPr>
          <w:p>
            <w:r/>
            <w:r>
              <w:rPr>
                <w:sz w:val="18"/>
              </w:rPr>
              <w:t>Fix CORS allow-list; gate demo_otp behind DEMO_MODE; hash OTP at rest</w:t>
            </w:r>
          </w:p>
        </w:tc>
        <w:tc>
          <w:tcPr>
            <w:tcW w:type="dxa" w:w="1872"/>
          </w:tcPr>
          <w:p>
            <w:r/>
            <w:r>
              <w:rPr>
                <w:sz w:val="18"/>
              </w:rPr>
              <w:t>4.1, 4.2, 3.4</w:t>
            </w:r>
          </w:p>
        </w:tc>
        <w:tc>
          <w:tcPr>
            <w:tcW w:type="dxa" w:w="1872"/>
          </w:tcPr>
          <w:p>
            <w:r/>
            <w:r>
              <w:rPr>
                <w:sz w:val="18"/>
              </w:rPr>
              <w:t>Low, additive</w:t>
            </w:r>
          </w:p>
        </w:tc>
      </w:tr>
      <w:tr>
        <w:tc>
          <w:tcPr>
            <w:tcW w:type="dxa" w:w="1152"/>
          </w:tcPr>
          <w:p>
            <w:r/>
            <w:r>
              <w:rPr>
                <w:sz w:val="18"/>
              </w:rPr>
              <w:t>P2</w:t>
            </w:r>
          </w:p>
        </w:tc>
        <w:tc>
          <w:tcPr>
            <w:tcW w:type="dxa" w:w="4320"/>
          </w:tcPr>
          <w:p>
            <w:r/>
            <w:r>
              <w:rPr>
                <w:sz w:val="18"/>
              </w:rPr>
              <w:t>Extract shared pricing module + shared test vectors</w:t>
            </w:r>
          </w:p>
        </w:tc>
        <w:tc>
          <w:tcPr>
            <w:tcW w:type="dxa" w:w="1872"/>
          </w:tcPr>
          <w:p>
            <w:r/>
            <w:r>
              <w:rPr>
                <w:sz w:val="18"/>
              </w:rPr>
              <w:t>2.4, 2.7</w:t>
            </w:r>
          </w:p>
        </w:tc>
        <w:tc>
          <w:tcPr>
            <w:tcW w:type="dxa" w:w="1872"/>
          </w:tcPr>
          <w:p>
            <w:r/>
            <w:r>
              <w:rPr>
                <w:sz w:val="18"/>
              </w:rPr>
              <w:t>Medium — parity tests</w:t>
            </w:r>
          </w:p>
        </w:tc>
      </w:tr>
      <w:tr>
        <w:tc>
          <w:tcPr>
            <w:tcW w:type="dxa" w:w="1152"/>
          </w:tcPr>
          <w:p>
            <w:r/>
            <w:r>
              <w:rPr>
                <w:sz w:val="18"/>
              </w:rPr>
              <w:t>P3</w:t>
            </w:r>
          </w:p>
        </w:tc>
        <w:tc>
          <w:tcPr>
            <w:tcW w:type="dxa" w:w="4320"/>
          </w:tcPr>
          <w:p>
            <w:r/>
            <w:r>
              <w:rPr>
                <w:sz w:val="18"/>
              </w:rPr>
              <w:t>Unify payment gateway: one host (Equipment) + one client (satellites); delete host code from Feed/Nia</w:t>
            </w:r>
          </w:p>
        </w:tc>
        <w:tc>
          <w:tcPr>
            <w:tcW w:type="dxa" w:w="1872"/>
          </w:tcPr>
          <w:p>
            <w:r/>
            <w:r>
              <w:rPr>
                <w:sz w:val="18"/>
              </w:rPr>
              <w:t>2.1, 2.2, 2.5, 4.8</w:t>
            </w:r>
          </w:p>
        </w:tc>
        <w:tc>
          <w:tcPr>
            <w:tcW w:type="dxa" w:w="1872"/>
          </w:tcPr>
          <w:p>
            <w:r/>
            <w:r>
              <w:rPr>
                <w:sz w:val="18"/>
              </w:rPr>
              <w:t>Medium/High — flag-gate</w:t>
            </w:r>
          </w:p>
        </w:tc>
      </w:tr>
      <w:tr>
        <w:tc>
          <w:tcPr>
            <w:tcW w:type="dxa" w:w="1152"/>
          </w:tcPr>
          <w:p>
            <w:r/>
            <w:r>
              <w:rPr>
                <w:sz w:val="18"/>
              </w:rPr>
              <w:t>P4</w:t>
            </w:r>
          </w:p>
        </w:tc>
        <w:tc>
          <w:tcPr>
            <w:tcW w:type="dxa" w:w="4320"/>
          </w:tcPr>
          <w:p>
            <w:r/>
            <w:r>
              <w:rPr>
                <w:sz w:val="18"/>
              </w:rPr>
              <w:t>Canonicalize endpoints to /api/checkout/*; alias-redirect legacy; add missing Nia alias</w:t>
            </w:r>
          </w:p>
        </w:tc>
        <w:tc>
          <w:tcPr>
            <w:tcW w:type="dxa" w:w="1872"/>
          </w:tcPr>
          <w:p>
            <w:r/>
            <w:r>
              <w:rPr>
                <w:sz w:val="18"/>
              </w:rPr>
              <w:t>2.3</w:t>
            </w:r>
          </w:p>
        </w:tc>
        <w:tc>
          <w:tcPr>
            <w:tcW w:type="dxa" w:w="1872"/>
          </w:tcPr>
          <w:p>
            <w:r/>
            <w:r>
              <w:rPr>
                <w:sz w:val="18"/>
              </w:rPr>
              <w:t>Low</w:t>
            </w:r>
          </w:p>
        </w:tc>
      </w:tr>
      <w:tr>
        <w:tc>
          <w:tcPr>
            <w:tcW w:type="dxa" w:w="1152"/>
          </w:tcPr>
          <w:p>
            <w:r/>
            <w:r>
              <w:rPr>
                <w:sz w:val="18"/>
              </w:rPr>
              <w:t>P5</w:t>
            </w:r>
          </w:p>
        </w:tc>
        <w:tc>
          <w:tcPr>
            <w:tcW w:type="dxa" w:w="4320"/>
          </w:tcPr>
          <w:p>
            <w:r/>
            <w:r>
              <w:rPr>
                <w:sz w:val="18"/>
              </w:rPr>
              <w:t>Single resolveConfig() precedence contract; single appIdentity()</w:t>
            </w:r>
          </w:p>
        </w:tc>
        <w:tc>
          <w:tcPr>
            <w:tcW w:type="dxa" w:w="1872"/>
          </w:tcPr>
          <w:p>
            <w:r/>
            <w:r>
              <w:rPr>
                <w:sz w:val="18"/>
              </w:rPr>
              <w:t>2.6, 3.3</w:t>
            </w:r>
          </w:p>
        </w:tc>
        <w:tc>
          <w:tcPr>
            <w:tcW w:type="dxa" w:w="1872"/>
          </w:tcPr>
          <w:p>
            <w:r/>
            <w:r>
              <w:rPr>
                <w:sz w:val="18"/>
              </w:rPr>
              <w:t>Low</w:t>
            </w:r>
          </w:p>
        </w:tc>
      </w:tr>
      <w:tr>
        <w:tc>
          <w:tcPr>
            <w:tcW w:type="dxa" w:w="1152"/>
          </w:tcPr>
          <w:p>
            <w:r/>
            <w:r>
              <w:rPr>
                <w:sz w:val="18"/>
              </w:rPr>
              <w:t>P6</w:t>
            </w:r>
          </w:p>
        </w:tc>
        <w:tc>
          <w:tcPr>
            <w:tcW w:type="dxa" w:w="4320"/>
          </w:tcPr>
          <w:p>
            <w:r/>
            <w:r>
              <w:rPr>
                <w:sz w:val="18"/>
              </w:rPr>
              <w:t>One assertCheckoutAllowed() KYC guard; make cross-marketplace cash-only rule explicit</w:t>
            </w:r>
          </w:p>
        </w:tc>
        <w:tc>
          <w:tcPr>
            <w:tcW w:type="dxa" w:w="1872"/>
          </w:tcPr>
          <w:p>
            <w:r/>
            <w:r>
              <w:rPr>
                <w:sz w:val="18"/>
              </w:rPr>
              <w:t>3.1, 3.2</w:t>
            </w:r>
          </w:p>
        </w:tc>
        <w:tc>
          <w:tcPr>
            <w:tcW w:type="dxa" w:w="1872"/>
          </w:tcPr>
          <w:p>
            <w:r/>
            <w:r>
              <w:rPr>
                <w:sz w:val="18"/>
              </w:rPr>
              <w:t>Low</w:t>
            </w:r>
          </w:p>
        </w:tc>
      </w:tr>
      <w:tr>
        <w:tc>
          <w:tcPr>
            <w:tcW w:type="dxa" w:w="1152"/>
          </w:tcPr>
          <w:p>
            <w:r/>
            <w:r>
              <w:rPr>
                <w:sz w:val="18"/>
              </w:rPr>
              <w:t>P7</w:t>
            </w:r>
          </w:p>
        </w:tc>
        <w:tc>
          <w:tcPr>
            <w:tcW w:type="dxa" w:w="4320"/>
          </w:tcPr>
          <w:p>
            <w:r/>
            <w:r>
              <w:rPr>
                <w:sz w:val="18"/>
              </w:rPr>
              <w:t>Migrate privileged writes to runAsAdmin; standardize middleware dir</w:t>
            </w:r>
          </w:p>
        </w:tc>
        <w:tc>
          <w:tcPr>
            <w:tcW w:type="dxa" w:w="1872"/>
          </w:tcPr>
          <w:p>
            <w:r/>
            <w:r>
              <w:rPr>
                <w:sz w:val="18"/>
              </w:rPr>
              <w:t>2.9, 2.8</w:t>
            </w:r>
          </w:p>
        </w:tc>
        <w:tc>
          <w:tcPr>
            <w:tcW w:type="dxa" w:w="1872"/>
          </w:tcPr>
          <w:p>
            <w:r/>
            <w:r>
              <w:rPr>
                <w:sz w:val="18"/>
              </w:rPr>
              <w:t>Low</w:t>
            </w:r>
          </w:p>
        </w:tc>
      </w:tr>
      <w:tr>
        <w:tc>
          <w:tcPr>
            <w:tcW w:type="dxa" w:w="1152"/>
          </w:tcPr>
          <w:p>
            <w:r/>
            <w:r>
              <w:rPr>
                <w:sz w:val="18"/>
              </w:rPr>
              <w:t>P8</w:t>
            </w:r>
          </w:p>
        </w:tc>
        <w:tc>
          <w:tcPr>
            <w:tcW w:type="dxa" w:w="4320"/>
          </w:tcPr>
          <w:p>
            <w:r/>
            <w:r>
              <w:rPr>
                <w:sz w:val="18"/>
              </w:rPr>
              <w:t>Session hardening; SQL identifier whitelist; leveled logging</w:t>
            </w:r>
          </w:p>
        </w:tc>
        <w:tc>
          <w:tcPr>
            <w:tcW w:type="dxa" w:w="1872"/>
          </w:tcPr>
          <w:p>
            <w:r/>
            <w:r>
              <w:rPr>
                <w:sz w:val="18"/>
              </w:rPr>
              <w:t>4.4, 4.5, 4.7</w:t>
            </w:r>
          </w:p>
        </w:tc>
        <w:tc>
          <w:tcPr>
            <w:tcW w:type="dxa" w:w="1872"/>
          </w:tcPr>
          <w:p>
            <w:r/>
            <w:r>
              <w:rPr>
                <w:sz w:val="18"/>
              </w:rPr>
              <w:t>Low</w:t>
            </w:r>
          </w:p>
        </w:tc>
      </w:tr>
    </w:tbl>
    <w:p>
      <w:pPr>
        <w:spacing w:after="120"/>
      </w:pPr>
      <w:r>
        <w:rPr>
          <w:b w:val="0"/>
          <w:i w:val="0"/>
          <w:sz w:val="21"/>
        </w:rPr>
      </w:r>
    </w:p>
    <w:p>
      <w:r>
        <w:rPr>
          <w:b/>
        </w:rPr>
        <w:t xml:space="preserve">Guiding principle: </w:t>
      </w:r>
      <w:r>
        <w:t>every phase is additive-first and flag-gated — the same zero-regression discipline already used for the offtake/checkout work. No phase removes a capability until its replacement is proven at parity in all three apps.</w:t>
      </w:r>
    </w:p>
    <w:p>
      <w:pPr>
        <w:pStyle w:val="Heading1"/>
      </w:pPr>
      <w:r>
        <w:rPr>
          <w:color w:val="0F766E"/>
        </w:rPr>
        <w:t>6. Reference — App-identity dimensions (clarifies 3.3)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shd w:val="clear" w:fill="0F766E"/>
          </w:tcPr>
          <w:p>
            <w:r/>
            <w:r>
              <w:rPr>
                <w:b/>
                <w:color w:val="FFFFFF"/>
                <w:sz w:val="19"/>
              </w:rPr>
              <w:t>Dimension</w:t>
            </w:r>
          </w:p>
        </w:tc>
        <w:tc>
          <w:tcPr>
            <w:tcW w:type="dxa" w:w="1584"/>
            <w:shd w:val="clear" w:fill="0F766E"/>
          </w:tcPr>
          <w:p>
            <w:r/>
            <w:r>
              <w:rPr>
                <w:b/>
                <w:color w:val="FFFFFF"/>
                <w:sz w:val="19"/>
              </w:rPr>
              <w:t>Where set</w:t>
            </w:r>
          </w:p>
        </w:tc>
        <w:tc>
          <w:tcPr>
            <w:tcW w:type="dxa" w:w="3456"/>
            <w:shd w:val="clear" w:fill="0F766E"/>
          </w:tcPr>
          <w:p>
            <w:r/>
            <w:r>
              <w:rPr>
                <w:b/>
                <w:color w:val="FFFFFF"/>
                <w:sz w:val="19"/>
              </w:rPr>
              <w:t>Meaning</w:t>
            </w:r>
          </w:p>
        </w:tc>
        <w:tc>
          <w:tcPr>
            <w:tcW w:type="dxa" w:w="2304"/>
            <w:shd w:val="clear" w:fill="0F766E"/>
          </w:tcPr>
          <w:p>
            <w:r/>
            <w:r>
              <w:rPr>
                <w:b/>
                <w:color w:val="FFFFFF"/>
                <w:sz w:val="19"/>
              </w:rPr>
              <w:t>Example values</w:t>
            </w:r>
          </w:p>
        </w:tc>
      </w:tr>
      <w:tr>
        <w:tc>
          <w:tcPr>
            <w:tcW w:type="dxa" w:w="1872"/>
          </w:tcPr>
          <w:p>
            <w:r/>
            <w:r>
              <w:rPr>
                <w:sz w:val="18"/>
              </w:rPr>
              <w:t>APP_TYPE</w:t>
            </w:r>
          </w:p>
        </w:tc>
        <w:tc>
          <w:tcPr>
            <w:tcW w:type="dxa" w:w="1584"/>
          </w:tcPr>
          <w:p>
            <w:r/>
            <w:r>
              <w:rPr>
                <w:sz w:val="18"/>
              </w:rPr>
              <w:t>deploy env</w:t>
            </w:r>
          </w:p>
        </w:tc>
        <w:tc>
          <w:tcPr>
            <w:tcW w:type="dxa" w:w="3456"/>
          </w:tcPr>
          <w:p>
            <w:r/>
            <w:r>
              <w:rPr>
                <w:sz w:val="18"/>
              </w:rPr>
              <w:t>Coarse app family for scope filtering</w:t>
            </w:r>
          </w:p>
        </w:tc>
        <w:tc>
          <w:tcPr>
            <w:tcW w:type="dxa" w:w="2304"/>
          </w:tcPr>
          <w:p>
            <w:r/>
            <w:r>
              <w:rPr>
                <w:sz w:val="18"/>
              </w:rPr>
              <w:t>equipment, feed, input</w:t>
            </w:r>
          </w:p>
        </w:tc>
      </w:tr>
      <w:tr>
        <w:tc>
          <w:tcPr>
            <w:tcW w:type="dxa" w:w="1872"/>
          </w:tcPr>
          <w:p>
            <w:r/>
            <w:r>
              <w:rPr>
                <w:sz w:val="18"/>
              </w:rPr>
              <w:t>APP_MARKETPLACE</w:t>
            </w:r>
          </w:p>
        </w:tc>
        <w:tc>
          <w:tcPr>
            <w:tcW w:type="dxa" w:w="1584"/>
          </w:tcPr>
          <w:p>
            <w:r/>
            <w:r>
              <w:rPr>
                <w:sz w:val="18"/>
              </w:rPr>
              <w:t>deploy env</w:t>
            </w:r>
          </w:p>
        </w:tc>
        <w:tc>
          <w:tcPr>
            <w:tcW w:type="dxa" w:w="3456"/>
          </w:tcPr>
          <w:p>
            <w:r/>
            <w:r>
              <w:rPr>
                <w:sz w:val="18"/>
              </w:rPr>
              <w:t>Isolation floor for products a satellite may read</w:t>
            </w:r>
          </w:p>
        </w:tc>
        <w:tc>
          <w:tcPr>
            <w:tcW w:type="dxa" w:w="2304"/>
          </w:tcPr>
          <w:p>
            <w:r/>
            <w:r>
              <w:rPr>
                <w:sz w:val="18"/>
              </w:rPr>
              <w:t>equipment, feed, mazao</w:t>
            </w:r>
          </w:p>
        </w:tc>
      </w:tr>
      <w:tr>
        <w:tc>
          <w:tcPr>
            <w:tcW w:type="dxa" w:w="1872"/>
          </w:tcPr>
          <w:p>
            <w:r/>
            <w:r>
              <w:rPr>
                <w:sz w:val="18"/>
              </w:rPr>
              <w:t>app_scope</w:t>
            </w:r>
          </w:p>
        </w:tc>
        <w:tc>
          <w:tcPr>
            <w:tcW w:type="dxa" w:w="1584"/>
          </w:tcPr>
          <w:p>
            <w:r/>
            <w:r>
              <w:rPr>
                <w:sz w:val="18"/>
              </w:rPr>
              <w:t>product col</w:t>
            </w:r>
          </w:p>
        </w:tc>
        <w:tc>
          <w:tcPr>
            <w:tcW w:type="dxa" w:w="3456"/>
          </w:tcPr>
          <w:p>
            <w:r/>
            <w:r>
              <w:rPr>
                <w:sz w:val="18"/>
              </w:rPr>
              <w:t>Which app family may surface this product</w:t>
            </w:r>
          </w:p>
        </w:tc>
        <w:tc>
          <w:tcPr>
            <w:tcW w:type="dxa" w:w="2304"/>
          </w:tcPr>
          <w:p>
            <w:r/>
            <w:r>
              <w:rPr>
                <w:sz w:val="18"/>
              </w:rPr>
              <w:t>equipment, feed, both</w:t>
            </w:r>
          </w:p>
        </w:tc>
      </w:tr>
      <w:tr>
        <w:tc>
          <w:tcPr>
            <w:tcW w:type="dxa" w:w="1872"/>
          </w:tcPr>
          <w:p>
            <w:r/>
            <w:r>
              <w:rPr>
                <w:sz w:val="18"/>
              </w:rPr>
              <w:t>source_platform</w:t>
            </w:r>
          </w:p>
        </w:tc>
        <w:tc>
          <w:tcPr>
            <w:tcW w:type="dxa" w:w="1584"/>
          </w:tcPr>
          <w:p>
            <w:r/>
            <w:r>
              <w:rPr>
                <w:sz w:val="18"/>
              </w:rPr>
              <w:t>product col</w:t>
            </w:r>
          </w:p>
        </w:tc>
        <w:tc>
          <w:tcPr>
            <w:tcW w:type="dxa" w:w="3456"/>
          </w:tcPr>
          <w:p>
            <w:r/>
            <w:r>
              <w:rPr>
                <w:sz w:val="18"/>
              </w:rPr>
              <w:t>Which app originally listed the product</w:t>
            </w:r>
          </w:p>
        </w:tc>
        <w:tc>
          <w:tcPr>
            <w:tcW w:type="dxa" w:w="2304"/>
          </w:tcPr>
          <w:p>
            <w:r/>
            <w:r>
              <w:rPr>
                <w:sz w:val="18"/>
              </w:rPr>
              <w:t>equipment, feed, mazao, merchant</w:t>
            </w:r>
          </w:p>
        </w:tc>
      </w:tr>
      <w:tr>
        <w:tc>
          <w:tcPr>
            <w:tcW w:type="dxa" w:w="1872"/>
          </w:tcPr>
          <w:p>
            <w:r/>
            <w:r>
              <w:rPr>
                <w:sz w:val="18"/>
              </w:rPr>
              <w:t>marketplace</w:t>
            </w:r>
          </w:p>
        </w:tc>
        <w:tc>
          <w:tcPr>
            <w:tcW w:type="dxa" w:w="1584"/>
          </w:tcPr>
          <w:p>
            <w:r/>
            <w:r>
              <w:rPr>
                <w:sz w:val="18"/>
              </w:rPr>
              <w:t>product col</w:t>
            </w:r>
          </w:p>
        </w:tc>
        <w:tc>
          <w:tcPr>
            <w:tcW w:type="dxa" w:w="3456"/>
          </w:tcPr>
          <w:p>
            <w:r/>
            <w:r>
              <w:rPr>
                <w:sz w:val="18"/>
              </w:rPr>
              <w:t>Storefront section / taxonomy tab</w:t>
            </w:r>
          </w:p>
        </w:tc>
        <w:tc>
          <w:tcPr>
            <w:tcW w:type="dxa" w:w="2304"/>
          </w:tcPr>
          <w:p>
            <w:r/>
            <w:r>
              <w:rPr>
                <w:sz w:val="18"/>
              </w:rPr>
              <w:t>equipment, feeds, inputs</w:t>
            </w:r>
          </w:p>
        </w:tc>
      </w:tr>
    </w:tbl>
    <w:p/>
    <w:p>
      <w:r>
        <w:rPr>
          <w:i/>
          <w:color w:val="555555"/>
          <w:sz w:val="18"/>
        </w:rPr>
        <w:t>Generated by the Farmsky cross-app architecture &amp; security review. Documentation only — changes no runtime behaviour. Mirrored verbatim (SYSTEM_ARCHITECTURE_REVIEW.md) into all three repositories so every team sees the same backlog.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