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Accounting Firm</w:t>
      </w:r>
      <w:r w:rsidDel="00000000" w:rsidR="00000000" w:rsidRPr="00000000">
        <w:rPr>
          <w:b w:val="1"/>
          <w:bCs w:val="1"/>
          <w:sz w:val="24"/>
          <w:szCs w:val="24"/>
          <w:rtl w:val="0"/>
        </w:rPr>
        <w:t xml:space="preserve"> </w:t>
      </w:r>
      <w:r w:rsidDel="00000000" w:rsidR="00000000" w:rsidRPr="00000000">
        <w:rPr>
          <w:b w:val="1"/>
          <w:bCs w:val="1"/>
          <w:sz w:val="32"/>
          <w:szCs w:val="32"/>
          <w:rtl w:val="0"/>
        </w:rPr>
        <w:t xml:space="preserve">Audit &amp; Compliance Analytics Judgment Criteria</w:t>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Audit &amp; Compliance Analytics dashboard is designed to provide a comprehensive, data-driven view of an organisation's internal audit health, regulatory compliance posture, and control environment across multiple financial years. By integrating data across audit findings, internal controls, compliance filings, journal entry anomalies, SOX / ICFR testing, Benford's Law analytics, and engagement tracking, the dashboard tells a compelling story of audit risk, penalty exposure, control effectiveness, and fraud indicators — enabling evidence-based decisions for audit committees, compliance officers, CFOs, and risk managers.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primary objective of the dashboard is to help reviewers: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Understand how audit risk is distributed across departments, audit types, and financial years</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Track regulatory filing compliance and penalty exposure across multiple acts and responsible persons</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Evaluate internal control effectiveness and exception trends across process areas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Monitor SOX / ICFR deficiency severity and remediation progress over time</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Detect journal entry anomalies and Benford's Law deviations that signal potential fraud risk</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Measure audit engagement efficiency — budget vs actual hours, auditor utilisation, and over-budget trends</w:t>
      </w:r>
    </w:p>
    <w:p w:rsidR="00000000" w:rsidDel="00000000" w:rsidP="00000000" w:rsidRDefault="00000000" w:rsidRPr="00000000" w14:paraId="000000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Support data-driven audit planning, control remediation prioritisation, and compliance cost reduction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Participants will be evaluated using the detailed criteria below.</w:t>
      </w:r>
    </w:p>
    <w:p w:rsidR="00000000" w:rsidDel="00000000" w:rsidP="00000000" w:rsidRDefault="00000000" w:rsidRPr="00000000" w14:paraId="0000000F">
      <w:pPr>
        <w:pBdr>
          <w:bottom w:color="a0a0a0" w:space="1" w:sz="6" w:val="single"/>
        </w:pBd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32"/>
          <w:szCs w:val="32"/>
          <w:rtl w:val="0"/>
        </w:rPr>
        <w:t xml:space="preserve">1. Core Business Requirements — 40%</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the highest-weight category. Accuracy and correctness of all business answers are critical.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1.1 Accuracy (Mandatory)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All dashboard questions must be attended, correctly calculated, and validated against the source tables in the Excel file.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Evaluation focus: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Correct aggregation logic for all measures across all 7 source tables</w:t>
      </w:r>
    </w:p>
    <w:p w:rsidR="00000000" w:rsidDel="00000000" w:rsidP="00000000" w:rsidRDefault="00000000" w:rsidRPr="00000000" w14:paraId="0000001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Proper filtering behaviour — slicers must respond correctly on every page</w:t>
      </w:r>
    </w:p>
    <w:p w:rsidR="00000000" w:rsidDel="00000000" w:rsidP="00000000" w:rsidRDefault="00000000" w:rsidRPr="00000000" w14:paraId="0000001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hard-coded values; all figures must be driven by the source data</w:t>
      </w:r>
    </w:p>
    <w:p w:rsidR="00000000" w:rsidDel="00000000" w:rsidP="00000000" w:rsidRDefault="00000000" w:rsidRPr="00000000" w14:paraId="0000001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Values must reconcile with the source dataset at all granularity levels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Scoring guidance: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Fully accurate answer → Full marks</w:t>
      </w:r>
    </w:p>
    <w:p w:rsidR="00000000" w:rsidDel="00000000" w:rsidP="00000000" w:rsidRDefault="00000000" w:rsidRPr="00000000" w14:paraId="000000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Minor calculation issue → Partial marks</w:t>
      </w:r>
    </w:p>
    <w:p w:rsidR="00000000" w:rsidDel="00000000" w:rsidP="00000000" w:rsidRDefault="00000000" w:rsidRPr="00000000" w14:paraId="0000002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Incorrect logic or missing answer → Major deduction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1.2 Business Question Coverage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All challenge questions must be addressed through appropriate visuals and DAX measures.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Judges will verify: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required business question is addressed with a dedicated visual or KPI card</w:t>
      </w:r>
    </w:p>
    <w:p w:rsidR="00000000" w:rsidDel="00000000" w:rsidP="00000000" w:rsidRDefault="00000000" w:rsidRPr="00000000" w14:paraId="000000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 type matches the analytical intent of each question</w:t>
      </w:r>
    </w:p>
    <w:p w:rsidR="00000000" w:rsidDel="00000000" w:rsidP="00000000" w:rsidRDefault="00000000" w:rsidRPr="00000000" w14:paraId="000000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Supporting measures are reusable, correctly named, and logically organised</w:t>
      </w:r>
    </w:p>
    <w:p w:rsidR="00000000" w:rsidDel="00000000" w:rsidP="00000000" w:rsidRDefault="00000000" w:rsidRPr="00000000" w14:paraId="0000002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placeholder, incomplete, or irrelevant visuals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1.3 Segmentation &amp; Classification Logic</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Data must be segmented and classified correctly using DAX logic based on the actual column values in the dataset.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Evaluation criteria: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Categories are logically defined and consistently applied across all pages</w:t>
      </w:r>
    </w:p>
    <w:p w:rsidR="00000000" w:rsidDel="00000000" w:rsidP="00000000" w:rsidRDefault="00000000" w:rsidRPr="00000000" w14:paraId="0000003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Classification logic is dynamic and responds correctly to slicer context</w:t>
      </w:r>
    </w:p>
    <w:p w:rsidR="00000000" w:rsidDel="00000000" w:rsidP="00000000" w:rsidRDefault="00000000" w:rsidRPr="00000000" w14:paraId="0000003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manual tagging or hard-coded category assignments</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Status groupings, risk level groupings, and flag categories are correctly derived from source columns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Critical deduction if segmentation logic is incorrect, inconsistent, or bypasses DAX with hard-coded values.</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1.4 Trend &amp; Comparative Analysis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dashboard must accurately reflect year-over-year trends and enable meaningful comparisons across the three financial years.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Correct period-over-period and cross-dimensional comparisons across FY 2023-24, FY 2024-25, and FY 2025-26</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Trend direction is accurate and clearly communicated through appropriate chart types</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Comparisons work correctly across all applied slicer filters</w:t>
      </w:r>
    </w:p>
    <w:p w:rsidR="00000000" w:rsidDel="00000000" w:rsidP="00000000" w:rsidRDefault="00000000" w:rsidRPr="00000000" w14:paraId="000000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YoY growth rates and variance calculations use correct prior-year reference logic</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1.5 Multi-Dimensional Breakdown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Participants should demonstrate the ability to analyse data across multiple dimensions simultaneously.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Expected capabilities: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Analysis sliced by multiple attributes in combination — e.g. Financial Year + Risk Level + Department</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Rankings and distributions correctly computed at each dimension level</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dimension filters interact correctly with every visual on the page</w:t>
      </w:r>
    </w:p>
    <w:p w:rsidR="00000000" w:rsidDel="00000000" w:rsidP="00000000" w:rsidRDefault="00000000" w:rsidRPr="00000000" w14:paraId="000000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Cross-table analysis is handled correctly where multiple source tables are involved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1.6 Data Accuracy &amp; Source Alignment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All displayed values must faithfully reflect the underlying dataset loaded from the Excel source file.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Judges will verify: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Figures align with source data at all granularity levels — total, filtered, and drilled-down</w:t>
      </w:r>
    </w:p>
    <w:p w:rsidR="00000000" w:rsidDel="00000000" w:rsidP="00000000" w:rsidRDefault="00000000" w:rsidRPr="00000000" w14:paraId="0000004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Rates, percentages, and ratios are calculated using correct denominators</w:t>
      </w:r>
    </w:p>
    <w:p w:rsidR="00000000" w:rsidDel="00000000" w:rsidP="00000000" w:rsidRDefault="00000000" w:rsidRPr="00000000" w14:paraId="000000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data distortion from incorrect relationships, joins, or model errors</w:t>
      </w:r>
    </w:p>
    <w:p w:rsidR="00000000" w:rsidDel="00000000" w:rsidP="00000000" w:rsidRDefault="00000000" w:rsidRPr="00000000" w14:paraId="000000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KPI card values match the corresponding totals shown in chart visuals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1.7 Mandatory Disclaimer &amp; Branding</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following must be clearly visible on the submitted dashboard: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This dashboard is built on simulated training data for educational purposes only; values do not represent real organisational data.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Checklist: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Disclaimer visible on the main dashboard page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Disclaimer also visible in the LinkedIn result post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Proper formatting — not hidden in a tooltip or off-screen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DataBuzz organiser logo or branding used correctly</w:t>
      </w:r>
    </w:p>
    <w:p w:rsidR="00000000" w:rsidDel="00000000" w:rsidP="00000000" w:rsidRDefault="00000000" w:rsidRPr="00000000" w14:paraId="0000005B">
      <w:pPr>
        <w:pBdr>
          <w:bottom w:color="a0a0a0" w:space="1" w:sz="6" w:val="single"/>
        </w:pBd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32"/>
          <w:szCs w:val="32"/>
          <w:rtl w:val="0"/>
        </w:rPr>
        <w:t xml:space="preserve">2. Data Modelling &amp; Performance — 20%</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evaluates the technical foundation of the Power BI report — model structure, relationships, DAX quality, and performance.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2.1 Data Model Design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Strong preference for a well-structured model with clear separation of fact and dimension-type tables.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7 source tables loaded correctly with Row 1 set as headers</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Logical grouping of measures by display folder and table</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Minimal complexity — clean, efficient, and easy to navigate model</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circular dependencies or broken relationships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Consistent and meaningful naming conventions for tables, columns, and measures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2.2 Relationship Quality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Relationships between tables must be correctly defined where applicable.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Evaluation includes: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Correct cardinality and filter direction on all relationships</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Year used as a common linking key across tables where relationships are defined</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ambiguous or unintended cross-filtering paths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Bidirectional filters used only where clearly justified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2.3 DAX Best Practices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Measures should follow optimisation and maintainability standards throughout the report.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Judges will look for: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Measures preferred over calculated columns wherever possible</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 of variables (VAR / RETURN) for clarity, readability, and performance</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Reusable, well-organised measures with logical display folders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Avoidance of heavy row-by-row iteration where set-based logic is more efficient</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Correct use of CALCULATE, FILTER, ALL, ALLEXCEPT, SELECTEDVALUE, and SWITCH where needed</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Prior-year comparisons implemented using correct Financial Year string-based VAR logic</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2.4 Cross-Filtering &amp; Slicer Behaviour</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All slicers and filters must behave consistently and correctly across the entire report.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Validation includes: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broken or unresponsive visuals after any filter or slicer selection</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KPI cards and charts respond correctly to every slicer on the page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Year slicer correctly filters all visuals on every page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Drill-through context is preserved correctly when navigating between pages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2.5 Performance &amp; Responsiveness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report should feel smooth and responsive throughout all 4 pages.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Judges will check:</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Page load time is acceptable — no excessive delays on filter changes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 rendering speed does not degrade with multiple slicers active</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Overall model size and measure complexity are kept efficient</w:t>
      </w:r>
    </w:p>
    <w:p w:rsidR="00000000" w:rsidDel="00000000" w:rsidP="00000000" w:rsidRDefault="00000000" w:rsidRPr="00000000" w14:paraId="00000090">
      <w:pPr>
        <w:pBdr>
          <w:bottom w:color="a0a0a0" w:space="1" w:sz="6" w:val="single"/>
        </w:pBd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sz w:val="32"/>
          <w:szCs w:val="32"/>
          <w:rtl w:val="0"/>
        </w:rPr>
        <w:t xml:space="preserve">3. Visual Accuracy &amp; Interactivity — 20%</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Focuses on whether visuals are truthful, correctly aggregated, appropriately interactive, and visually distinguishable.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3.1 Aggregation Correctness</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Checks include: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double counting across any dimension or slicer combination</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Appropriate use of averages, sums, counts, and ratios depending on the context of each visual</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 totals match the corresponding KPI card values on the same page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Percentage and ratio calculations use correct and consistent denominators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3.2 Conditional Formatting &amp; Visual Emphasis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Key risk categories, outliers, and status flags must be visually distinguishable.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Logical and intuitive colour mapping aligned to the data story — e.g. red for Critical/High risk, green for Closed/Effective</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Consistent application of conditional formatting rules across all pages and visuals</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Sufficient contrast for accessibility — text and labels must be clearly readable</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Anomaly flags, deficiency levels, and filing statuses are clearly colour-differentiated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3.3 Chart Integrity</w:t>
      </w: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Judges will penalise: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Misleading axes, truncated scales, or distorted proportions</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Inappropriate chart type for the intended analysis — e.g. using a pie chart for trend analysis</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Overcrowded, unlabelled, or visually ambiguous charts</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Missing axis labels, titles, or data labels where they are essential for readability</w:t>
      </w:r>
    </w:p>
    <w:p w:rsidR="00000000" w:rsidDel="00000000" w:rsidP="00000000" w:rsidRDefault="00000000" w:rsidRPr="00000000" w14:paraId="000000AB">
      <w:pPr>
        <w:pBdr>
          <w:bottom w:color="a0a0a0" w:space="1" w:sz="6" w:val="single"/>
        </w:pBd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sz w:val="32"/>
          <w:szCs w:val="32"/>
          <w:rtl w:val="0"/>
        </w:rPr>
        <w:t xml:space="preserve">4. UX, Design &amp; Readability — 10%</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Focus on usability and readability for a broad, non-technical audience including audit committee members, compliance officers, and senior management.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4.1 Layout &amp; Visual Hierarchy</w:t>
      </w: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Expected flow per page:</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KPIs → Trend Visuals → Comparative Analysis → Detail Table / Matrix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Judges assess: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Logical and intuitive reading path — most critical insights visible without scrolling</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Balanced white space and well-proportioned visual layout across all 4 pages</w:t>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KPI cards placed prominently at the top of each page</w:t>
      </w:r>
    </w:p>
    <w:p w:rsidR="00000000" w:rsidDel="00000000" w:rsidP="00000000" w:rsidRDefault="00000000" w:rsidRPr="00000000" w14:paraId="000000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Slicers are clearly visible and grouped logically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4.2 Colour Strategy</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Must be: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Professional, consistent, and thematically appropriate for an audit and compliance context</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Accessible with sufficient contrast throughout — avoid low-contrast text on coloured backgrounds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Avoid: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Excessive use of colours or distracting palettes</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Using colour as the only means to distinguish critical information — always pair with labels or icons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4.3 Typography &amp; Consistency</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Consistent font family used throughout all 4 pages</w:t>
      </w:r>
    </w:p>
    <w:p w:rsidR="00000000" w:rsidDel="00000000" w:rsidP="00000000" w:rsidRDefault="00000000" w:rsidRPr="00000000" w14:paraId="000000C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Clear size hierarchy from page titles to chart labels</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Consistent alignment, spacing, and padding across all visuals</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visuals have clear, descriptive titles — no unnamed or generic chart headers</w:t>
      </w:r>
    </w:p>
    <w:p w:rsidR="00000000" w:rsidDel="00000000" w:rsidP="00000000" w:rsidRDefault="00000000" w:rsidRPr="00000000" w14:paraId="000000CA">
      <w:pPr>
        <w:rPr/>
      </w:pPr>
      <w:r w:rsidDel="00000000" w:rsidR="00000000" w:rsidRPr="00000000">
        <w:rPr>
          <w:b w:val="1"/>
          <w:bCs w:val="1"/>
          <w:rtl w:val="0"/>
        </w:rPr>
        <w:t xml:space="preserve">4.4 Usability for Non-Technical Reviewers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dashboard must be understandable without any technical or accounting background.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Judges check:</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Clear and self-explanatory labels, legends, and tooltips throughout</w:t>
      </w:r>
    </w:p>
    <w:p w:rsidR="00000000" w:rsidDel="00000000" w:rsidP="00000000" w:rsidRDefault="00000000" w:rsidRPr="00000000" w14:paraId="000000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Minimal cognitive load per page — avoid overloading a single page with too many visuals</w:t>
      </w:r>
    </w:p>
    <w:p w:rsidR="00000000" w:rsidDel="00000000" w:rsidP="00000000" w:rsidRDefault="00000000" w:rsidRPr="00000000" w14:paraId="000000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Intuitive page navigation with clearly labelled page tabs</w:t>
      </w:r>
    </w:p>
    <w:p w:rsidR="00000000" w:rsidDel="00000000" w:rsidP="00000000" w:rsidRDefault="00000000" w:rsidRPr="00000000" w14:paraId="000000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Business terminology used in labels — not column names or DAX measure names</w:t>
      </w:r>
    </w:p>
    <w:p w:rsidR="00000000" w:rsidDel="00000000" w:rsidP="00000000" w:rsidRDefault="00000000" w:rsidRPr="00000000" w14:paraId="000000D2">
      <w:pPr>
        <w:pBdr>
          <w:bottom w:color="a0a0a0" w:space="1" w:sz="6" w:val="single"/>
        </w:pBd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sz w:val="32"/>
          <w:szCs w:val="32"/>
          <w:rtl w:val="0"/>
        </w:rPr>
        <w:t xml:space="preserve">5. Add-on Analysis &amp; Advanced Insights — 10% (Bonus)</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Used to differentiate top performers. Bonus marks are awarded for insights and analytics that go beyond the required questions.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5.1 Insight Quality</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High scores for: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Actionable insights that go beyond surface-level observations — e.g. identifying repeat audit findings across 3 years</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Data-backed findings and recommendations relevant to audit committees and compliance officers</w:t>
      </w:r>
    </w:p>
    <w:p w:rsidR="00000000" w:rsidDel="00000000" w:rsidP="00000000" w:rsidRDefault="00000000" w:rsidRPr="00000000" w14:paraId="000000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Patterns and anomalies identified across multiple dimensions simultaneously</w:t>
      </w:r>
    </w:p>
    <w:p w:rsidR="00000000" w:rsidDel="00000000" w:rsidP="00000000" w:rsidRDefault="00000000" w:rsidRPr="00000000" w14:paraId="000000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Cohort or segment-level analysis that reveals meaningful risk groupings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5.2 Advanced Analytics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Bonus for:</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Outlier or anomaly detection logic built into visuals — e.g. Benford's Law deviation thresholds</w:t>
      </w:r>
    </w:p>
    <w:p w:rsidR="00000000" w:rsidDel="00000000" w:rsidP="00000000" w:rsidRDefault="00000000" w:rsidRPr="00000000" w14:paraId="000000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Predictive or forecasting trend indicators for penalty exposure or exception growth</w:t>
      </w:r>
    </w:p>
    <w:p w:rsidR="00000000" w:rsidDel="00000000" w:rsidP="00000000" w:rsidRDefault="00000000" w:rsidRPr="00000000" w14:paraId="000000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Smart or dynamic segmentation based on combined criteria across multiple tables</w:t>
      </w:r>
    </w:p>
    <w:p w:rsidR="00000000" w:rsidDel="00000000" w:rsidP="00000000" w:rsidRDefault="00000000" w:rsidRPr="00000000" w14:paraId="000000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Weighted scoring models — e.g. Weighted Deficiency Score or JE Risk Score using SUMX + SWITCH</w:t>
      </w:r>
    </w:p>
    <w:p w:rsidR="00000000" w:rsidDel="00000000" w:rsidP="00000000" w:rsidRDefault="00000000" w:rsidRPr="00000000" w14:paraId="000000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YoY growth rate measures using VAR-based prior-year Financial Year comparison logic</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5.3 Interaction with Team</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Additional advantages will be extended to participants who demonstrate active involvement on LinkedIn by regularly posting their work, engaging with fellow participants' content through likes, comments, and shares, and staying closely connected with our team. This level of participation encourages knowledge sharing, networking, and a collaborative learning environment.</w:t>
      </w:r>
    </w:p>
    <w:p w:rsidR="00000000" w:rsidDel="00000000" w:rsidP="00000000" w:rsidRDefault="00000000" w:rsidRPr="00000000" w14:paraId="000000EA">
      <w:pPr>
        <w:pBdr>
          <w:bottom w:color="a0a0a0" w:space="1" w:sz="6" w:val="single"/>
        </w:pBd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need to submit the PBIX file through the mail to Nagaraju.danthe@databuzzltd.com</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Having any questions related to the contest can contact to the email </w:t>
      </w:r>
      <w:r w:rsidDel="00000000" w:rsidR="00000000" w:rsidRPr="00000000">
        <w:rPr>
          <w:rtl w:val="0"/>
        </w:rPr>
        <w:t xml:space="preserve">chiranjeevi.kudupudi@databuzzltd.com</w:t>
      </w: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32"/>
          <w:szCs w:val="32"/>
          <w:rtl w:val="0"/>
        </w:rPr>
        <w:t xml:space="preserve">Final Suggested Weightage</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Category Weight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Core Business Requirements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   40%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Modelling &amp; Performance</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   20%</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 Accuracy &amp; Interactivity</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   20%</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UX, Design &amp; Readability</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   10%</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Add-on Insights &amp; Innovation</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   10%</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pgSz w:h="15840" w:w="12240" w:orient="portrait"/>
      <w:pgMar w:bottom="810" w:top="126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8"/>
        <w:szCs w:val="28"/>
      </w:rPr>
    </w:lvl>
    <w:lvl w:ilvl="1">
      <w:start w:val="1"/>
      <w:numFmt w:val="bullet"/>
      <w:lvlText w:val="◦"/>
      <w:lvlJc w:val="left"/>
      <w:pPr>
        <w:ind w:left="1080" w:hanging="360"/>
      </w:pPr>
      <w:rPr>
        <w:rFonts w:ascii="Courier New" w:cs="Courier New" w:eastAsia="Courier New" w:hAnsi="Courier New"/>
        <w:sz w:val="28"/>
        <w:szCs w:val="28"/>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OHltPZqbP6DuZ1pylXY20tpB+g==">CgMxLjA4AHIhMUtxN3J1QjliUktScU82SHNQTHRiNDYydEEtVG5VNkc0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