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CityCare Clinic Information Guide</w:t>
      </w:r>
    </w:p>
    <w:p>
      <w:pPr>
        <w:spacing w:after="200"/>
      </w:pPr>
      <w:r>
        <w:rPr>
          <w:color w:val="6F625C"/>
          <w:sz w:val="24"/>
        </w:rPr>
        <w:t>Clinic services, doctors, appointments, and visitor support</w:t>
      </w:r>
    </w:p>
    <w:p>
      <w:pPr>
        <w:spacing w:after="180"/>
      </w:pPr>
      <w:r>
        <w:t>This guide brings together the clinic information currently shown on the CityCare website and booking app. Use it to answer common visitor questions and explain how to contact the clinic or request an appointment.</w:t>
      </w:r>
    </w:p>
    <w:p>
      <w:pPr>
        <w:pStyle w:val="Heading1"/>
      </w:pPr>
      <w:r>
        <w:t>Clinic at a glance</w:t>
      </w:r>
    </w:p>
    <w:tbl>
      <w:tblPr>
        <w:tblW w:type="auto" w:w="0"/>
        <w:jc w:val="center"/>
        <w:tblLayout w:type="fixed"/>
        <w:tblLook w:firstColumn="1" w:firstRow="1" w:lastColumn="0" w:lastRow="0" w:noHBand="0" w:noVBand="1" w:val="04A0"/>
      </w:tblPr>
      <w:tblGrid>
        <w:gridCol w:w="2232"/>
        <w:gridCol w:w="8136"/>
      </w:tblGrid>
      <w:tr>
        <w:tc>
          <w:tcPr>
            <w:tcW w:type="dxa" w:w="5040"/>
            <w:vAlign w:val="center"/>
            <w:shd w:fill="E8F3ED"/>
          </w:tcPr>
          <w:p>
            <w:pPr>
              <w:spacing w:after="0"/>
            </w:pPr>
            <w:r/>
            <w:r>
              <w:rPr>
                <w:rFonts w:ascii="Aptos" w:hAnsi="Aptos"/>
                <w:b/>
                <w:color w:val="176B50"/>
                <w:sz w:val="18"/>
              </w:rPr>
              <w:t>Clinic</w:t>
            </w:r>
          </w:p>
        </w:tc>
        <w:tc>
          <w:tcPr>
            <w:tcW w:type="dxa" w:w="5040"/>
            <w:vAlign w:val="center"/>
            <w:shd w:fill="FBFCFA"/>
          </w:tcPr>
          <w:p>
            <w:pPr>
              <w:spacing w:after="0"/>
            </w:pPr>
            <w:r/>
            <w:r>
              <w:rPr>
                <w:rFonts w:ascii="Aptos" w:hAnsi="Aptos"/>
                <w:b w:val="0"/>
                <w:color w:val="30221D"/>
                <w:sz w:val="18"/>
              </w:rPr>
              <w:t>CityCare Clinic</w:t>
            </w:r>
          </w:p>
        </w:tc>
      </w:tr>
      <w:tr>
        <w:tc>
          <w:tcPr>
            <w:tcW w:type="dxa" w:w="5040"/>
            <w:vAlign w:val="center"/>
            <w:shd w:fill="E8F3ED"/>
          </w:tcPr>
          <w:p>
            <w:pPr>
              <w:spacing w:after="0"/>
            </w:pPr>
            <w:r/>
            <w:r>
              <w:rPr>
                <w:rFonts w:ascii="Aptos" w:hAnsi="Aptos"/>
                <w:b/>
                <w:color w:val="176B50"/>
                <w:sz w:val="18"/>
              </w:rPr>
              <w:t>Address</w:t>
            </w:r>
          </w:p>
        </w:tc>
        <w:tc>
          <w:tcPr>
            <w:tcW w:type="dxa" w:w="5040"/>
            <w:vAlign w:val="center"/>
            <w:shd w:fill="FFFFFF"/>
          </w:tcPr>
          <w:p>
            <w:pPr>
              <w:spacing w:after="0"/>
            </w:pPr>
            <w:r/>
            <w:r>
              <w:rPr>
                <w:rFonts w:ascii="Aptos" w:hAnsi="Aptos"/>
                <w:b w:val="0"/>
                <w:color w:val="30221D"/>
                <w:sz w:val="18"/>
              </w:rPr>
              <w:t>Shop No. 4, near Saeed Colony, Housing Board, Karond, Bhopal</w:t>
            </w:r>
          </w:p>
        </w:tc>
      </w:tr>
      <w:tr>
        <w:tc>
          <w:tcPr>
            <w:tcW w:type="dxa" w:w="5040"/>
            <w:vAlign w:val="center"/>
            <w:shd w:fill="E8F3ED"/>
          </w:tcPr>
          <w:p>
            <w:pPr>
              <w:spacing w:after="0"/>
            </w:pPr>
            <w:r/>
            <w:r>
              <w:rPr>
                <w:rFonts w:ascii="Aptos" w:hAnsi="Aptos"/>
                <w:b/>
                <w:color w:val="176B50"/>
                <w:sz w:val="18"/>
              </w:rPr>
              <w:t>Telephone</w:t>
            </w:r>
          </w:p>
        </w:tc>
        <w:tc>
          <w:tcPr>
            <w:tcW w:type="dxa" w:w="5040"/>
            <w:vAlign w:val="center"/>
            <w:shd w:fill="FBFCFA"/>
          </w:tcPr>
          <w:p>
            <w:pPr>
              <w:spacing w:after="0"/>
            </w:pPr>
            <w:r/>
            <w:r>
              <w:rPr>
                <w:rFonts w:ascii="Aptos" w:hAnsi="Aptos"/>
                <w:b w:val="0"/>
                <w:color w:val="30221D"/>
                <w:sz w:val="18"/>
              </w:rPr>
              <w:t>+91 87704 65561</w:t>
            </w:r>
          </w:p>
        </w:tc>
      </w:tr>
      <w:tr>
        <w:tc>
          <w:tcPr>
            <w:tcW w:type="dxa" w:w="5040"/>
            <w:vAlign w:val="center"/>
            <w:shd w:fill="E8F3ED"/>
          </w:tcPr>
          <w:p>
            <w:pPr>
              <w:spacing w:after="0"/>
            </w:pPr>
            <w:r/>
            <w:r>
              <w:rPr>
                <w:rFonts w:ascii="Aptos" w:hAnsi="Aptos"/>
                <w:b/>
                <w:color w:val="176B50"/>
                <w:sz w:val="18"/>
              </w:rPr>
              <w:t>Opening hours</w:t>
            </w:r>
          </w:p>
        </w:tc>
        <w:tc>
          <w:tcPr>
            <w:tcW w:type="dxa" w:w="5040"/>
            <w:vAlign w:val="center"/>
            <w:shd w:fill="FFFFFF"/>
          </w:tcPr>
          <w:p>
            <w:pPr>
              <w:spacing w:after="0"/>
            </w:pPr>
            <w:r/>
            <w:r>
              <w:rPr>
                <w:rFonts w:ascii="Aptos" w:hAnsi="Aptos"/>
                <w:b w:val="0"/>
                <w:color w:val="30221D"/>
                <w:sz w:val="18"/>
              </w:rPr>
              <w:t>Monday to Saturday, 9:00 AM to 8:00 PM. Sunday closed.</w:t>
            </w:r>
          </w:p>
        </w:tc>
      </w:tr>
    </w:tbl>
    <w:p>
      <w:pPr>
        <w:pStyle w:val="Heading1"/>
      </w:pPr>
      <w:r>
        <w:t>Doctors and listed consultation fees</w:t>
      </w:r>
    </w:p>
    <w:p>
      <w:pPr>
        <w:spacing w:after="120"/>
      </w:pPr>
      <w:r>
        <w:t>The following doctor details and fees are currently listed in the clinic app.</w:t>
      </w:r>
    </w:p>
    <w:tbl>
      <w:tblPr>
        <w:tblW w:type="auto" w:w="0"/>
        <w:jc w:val="center"/>
        <w:tblLayout w:type="fixed"/>
        <w:tblLook w:firstColumn="1" w:firstRow="1" w:lastColumn="0" w:lastRow="0" w:noHBand="0" w:noVBand="1" w:val="04A0"/>
      </w:tblPr>
      <w:tblGrid>
        <w:gridCol w:w="2952"/>
        <w:gridCol w:w="4176"/>
        <w:gridCol w:w="3240"/>
      </w:tblGrid>
      <w:tr>
        <w:trPr>
          <w:tblHeader w:val="true"/>
        </w:trPr>
        <w:tc>
          <w:tcPr>
            <w:tcW w:type="dxa" w:w="3360"/>
            <w:vAlign w:val="center"/>
            <w:shd w:fill="A84724"/>
          </w:tcPr>
          <w:p>
            <w:pPr>
              <w:spacing w:after="0"/>
            </w:pPr>
            <w:r/>
            <w:r>
              <w:rPr>
                <w:rFonts w:ascii="Aptos" w:hAnsi="Aptos"/>
                <w:b/>
                <w:color w:val="FFFFFF"/>
                <w:sz w:val="17"/>
              </w:rPr>
              <w:t>Doctor</w:t>
            </w:r>
          </w:p>
        </w:tc>
        <w:tc>
          <w:tcPr>
            <w:tcW w:type="dxa" w:w="3360"/>
            <w:vAlign w:val="center"/>
            <w:shd w:fill="A84724"/>
          </w:tcPr>
          <w:p>
            <w:pPr>
              <w:spacing w:after="0"/>
            </w:pPr>
            <w:r/>
            <w:r>
              <w:rPr>
                <w:rFonts w:ascii="Aptos" w:hAnsi="Aptos"/>
                <w:b/>
                <w:color w:val="FFFFFF"/>
                <w:sz w:val="17"/>
              </w:rPr>
              <w:t>Listed qualification or specialty</w:t>
            </w:r>
          </w:p>
        </w:tc>
        <w:tc>
          <w:tcPr>
            <w:tcW w:type="dxa" w:w="3360"/>
            <w:vAlign w:val="center"/>
            <w:shd w:fill="A84724"/>
          </w:tcPr>
          <w:p>
            <w:pPr>
              <w:spacing w:after="0"/>
            </w:pPr>
            <w:r/>
            <w:r>
              <w:rPr>
                <w:rFonts w:ascii="Aptos" w:hAnsi="Aptos"/>
                <w:b/>
                <w:color w:val="FFFFFF"/>
                <w:sz w:val="17"/>
              </w:rPr>
              <w:t>Consultation fee</w:t>
            </w:r>
          </w:p>
        </w:tc>
      </w:tr>
      <w:tr>
        <w:tc>
          <w:tcPr>
            <w:tcW w:type="dxa" w:w="2952"/>
            <w:vAlign w:val="center"/>
            <w:shd w:fill="FBF7F4"/>
          </w:tcPr>
          <w:p>
            <w:pPr>
              <w:spacing w:after="0"/>
            </w:pPr>
            <w:r/>
            <w:r>
              <w:rPr>
                <w:rFonts w:ascii="Aptos" w:hAnsi="Aptos"/>
                <w:b/>
                <w:color w:val="30221D"/>
                <w:sz w:val="18"/>
              </w:rPr>
              <w:t>Dr. Misbah Ambar</w:t>
            </w:r>
          </w:p>
        </w:tc>
        <w:tc>
          <w:tcPr>
            <w:tcW w:type="dxa" w:w="4176"/>
            <w:vAlign w:val="center"/>
            <w:shd w:fill="FBF7F4"/>
          </w:tcPr>
          <w:p>
            <w:pPr>
              <w:spacing w:after="0"/>
            </w:pPr>
            <w:r/>
            <w:r>
              <w:rPr>
                <w:rFonts w:ascii="Aptos" w:hAnsi="Aptos"/>
                <w:b w:val="0"/>
                <w:color w:val="30221D"/>
                <w:sz w:val="18"/>
              </w:rPr>
              <w:t>BHUMS</w:t>
            </w:r>
          </w:p>
        </w:tc>
        <w:tc>
          <w:tcPr>
            <w:tcW w:type="dxa" w:w="3240"/>
            <w:vAlign w:val="center"/>
            <w:shd w:fill="FBF7F4"/>
          </w:tcPr>
          <w:p>
            <w:pPr>
              <w:spacing w:after="0"/>
            </w:pPr>
            <w:r/>
            <w:r>
              <w:rPr>
                <w:rFonts w:ascii="Aptos" w:hAnsi="Aptos"/>
                <w:b w:val="0"/>
                <w:color w:val="30221D"/>
                <w:sz w:val="18"/>
              </w:rPr>
              <w:t>₹300</w:t>
            </w:r>
          </w:p>
        </w:tc>
      </w:tr>
      <w:tr>
        <w:tc>
          <w:tcPr>
            <w:tcW w:type="dxa" w:w="2952"/>
            <w:vAlign w:val="center"/>
            <w:shd w:fill="FFFFFF"/>
          </w:tcPr>
          <w:p>
            <w:pPr>
              <w:spacing w:after="0"/>
            </w:pPr>
            <w:r/>
            <w:r>
              <w:rPr>
                <w:rFonts w:ascii="Aptos" w:hAnsi="Aptos"/>
                <w:b/>
                <w:color w:val="30221D"/>
                <w:sz w:val="18"/>
              </w:rPr>
              <w:t>Dr. Farooq</w:t>
            </w:r>
          </w:p>
        </w:tc>
        <w:tc>
          <w:tcPr>
            <w:tcW w:type="dxa" w:w="4176"/>
            <w:vAlign w:val="center"/>
            <w:shd w:fill="FFFFFF"/>
          </w:tcPr>
          <w:p>
            <w:pPr>
              <w:spacing w:after="0"/>
            </w:pPr>
            <w:r/>
            <w:r>
              <w:rPr>
                <w:rFonts w:ascii="Aptos" w:hAnsi="Aptos"/>
                <w:b w:val="0"/>
                <w:color w:val="30221D"/>
                <w:sz w:val="18"/>
              </w:rPr>
              <w:t>MBBS</w:t>
            </w:r>
          </w:p>
        </w:tc>
        <w:tc>
          <w:tcPr>
            <w:tcW w:type="dxa" w:w="3240"/>
            <w:vAlign w:val="center"/>
            <w:shd w:fill="FFFFFF"/>
          </w:tcPr>
          <w:p>
            <w:pPr>
              <w:spacing w:after="0"/>
            </w:pPr>
            <w:r/>
            <w:r>
              <w:rPr>
                <w:rFonts w:ascii="Aptos" w:hAnsi="Aptos"/>
                <w:b w:val="0"/>
                <w:color w:val="30221D"/>
                <w:sz w:val="18"/>
              </w:rPr>
              <w:t>₹500</w:t>
            </w:r>
          </w:p>
        </w:tc>
      </w:tr>
      <w:tr>
        <w:tc>
          <w:tcPr>
            <w:tcW w:type="dxa" w:w="2952"/>
            <w:vAlign w:val="center"/>
            <w:shd w:fill="FBF7F4"/>
          </w:tcPr>
          <w:p>
            <w:pPr>
              <w:spacing w:after="0"/>
            </w:pPr>
            <w:r/>
            <w:r>
              <w:rPr>
                <w:rFonts w:ascii="Aptos" w:hAnsi="Aptos"/>
                <w:b/>
                <w:color w:val="30221D"/>
                <w:sz w:val="18"/>
              </w:rPr>
              <w:t>Dr. Arshad</w:t>
            </w:r>
          </w:p>
        </w:tc>
        <w:tc>
          <w:tcPr>
            <w:tcW w:type="dxa" w:w="4176"/>
            <w:vAlign w:val="center"/>
            <w:shd w:fill="FBF7F4"/>
          </w:tcPr>
          <w:p>
            <w:pPr>
              <w:spacing w:after="0"/>
            </w:pPr>
            <w:r/>
            <w:r>
              <w:rPr>
                <w:rFonts w:ascii="Aptos" w:hAnsi="Aptos"/>
                <w:b w:val="0"/>
                <w:color w:val="30221D"/>
                <w:sz w:val="18"/>
              </w:rPr>
              <w:t>Haddi Specialist</w:t>
            </w:r>
          </w:p>
        </w:tc>
        <w:tc>
          <w:tcPr>
            <w:tcW w:type="dxa" w:w="3240"/>
            <w:vAlign w:val="center"/>
            <w:shd w:fill="FBF7F4"/>
          </w:tcPr>
          <w:p>
            <w:pPr>
              <w:spacing w:after="0"/>
            </w:pPr>
            <w:r/>
            <w:r>
              <w:rPr>
                <w:rFonts w:ascii="Aptos" w:hAnsi="Aptos"/>
                <w:b w:val="0"/>
                <w:color w:val="30221D"/>
                <w:sz w:val="18"/>
              </w:rPr>
              <w:t>₹400</w:t>
            </w:r>
          </w:p>
        </w:tc>
      </w:tr>
    </w:tbl>
    <w:p>
      <w:pPr>
        <w:spacing w:before="80"/>
      </w:pPr>
      <w:r>
        <w:rPr>
          <w:i/>
          <w:color w:val="6F625C"/>
          <w:sz w:val="17"/>
        </w:rPr>
        <w:t>Fees are the consultation amounts listed in the app. Confirm the current fee with the clinic before the visit.</w:t>
      </w:r>
    </w:p>
    <w:p>
      <w:pPr>
        <w:pStyle w:val="Heading1"/>
      </w:pPr>
      <w:r>
        <w:t>Services listed on the website</w:t>
      </w:r>
    </w:p>
    <w:p>
      <w:pPr>
        <w:pStyle w:val="ListBullet"/>
        <w:spacing w:after="60"/>
      </w:pPr>
      <w:r>
        <w:t>Doctor consultations, with doctor details and listed consultation fees.</w:t>
      </w:r>
    </w:p>
    <w:p>
      <w:pPr>
        <w:pStyle w:val="ListBullet"/>
        <w:spacing w:after="60"/>
      </w:pPr>
      <w:r>
        <w:t>Appointment booking by doctor, date, and available time selection.</w:t>
      </w:r>
    </w:p>
    <w:p>
      <w:pPr>
        <w:pStyle w:val="ListBullet"/>
        <w:spacing w:after="60"/>
      </w:pPr>
      <w:r>
        <w:t>Clinic information, including address, phone number, and opening hours.</w:t>
      </w:r>
    </w:p>
    <w:p>
      <w:pPr>
        <w:pStyle w:val="ListBullet"/>
        <w:spacing w:after="60"/>
      </w:pPr>
      <w:r>
        <w:t>A clinic assistant for clinic questions and appointment support.</w:t>
      </w:r>
    </w:p>
    <w:p>
      <w:pPr>
        <w:pStyle w:val="Heading1"/>
      </w:pPr>
      <w:r>
        <w:t>Appointment information</w:t>
      </w:r>
    </w:p>
    <w:p>
      <w:pPr>
        <w:spacing w:after="100"/>
      </w:pPr>
      <w:r>
        <w:t>Visitors can book through the Appointments page. The form asks for the doctor, date, time, patient name, and a 10-digit mobile number. Email and reason for visit are optional. After the booking is saved, the app shows a booking reference; visitors should keep it for questions or changes.</w:t>
      </w:r>
    </w:p>
    <w:tbl>
      <w:tblPr>
        <w:tblW w:type="auto" w:w="0"/>
        <w:jc w:val="center"/>
        <w:tblLook w:firstColumn="1" w:firstRow="1" w:lastColumn="0" w:lastRow="0" w:noHBand="0" w:noVBand="1" w:val="04A0"/>
      </w:tblPr>
      <w:tblGrid>
        <w:gridCol w:w="10080"/>
      </w:tblGrid>
      <w:tr>
        <w:tc>
          <w:tcPr>
            <w:tcW w:type="dxa" w:w="10080"/>
            <w:vAlign w:val="center"/>
            <w:shd w:fill="F4E9E3"/>
          </w:tcPr>
          <w:p>
            <w:pPr>
              <w:spacing w:after="0"/>
            </w:pPr>
            <w:r/>
            <w:r>
              <w:rPr>
                <w:rFonts w:ascii="Aptos" w:hAnsi="Aptos"/>
                <w:b w:val="0"/>
                <w:color w:val="30221D"/>
                <w:sz w:val="18"/>
              </w:rPr>
              <w:t>Availability notice: appointment times in the app are sample schedule data for this prototype. They may not reflect the clinic’s live calendar. The booking form checks that a selected slot has not already been taken.</w:t>
            </w:r>
          </w:p>
        </w:tc>
      </w:tr>
    </w:tbl>
    <w:p>
      <w:pPr>
        <w:pStyle w:val="Heading2"/>
      </w:pPr>
      <w:r>
        <w:t>Sample time slots shown in the app</w:t>
      </w:r>
    </w:p>
    <w:tbl>
      <w:tblPr>
        <w:tblW w:type="auto" w:w="0"/>
        <w:jc w:val="center"/>
        <w:tblLayout w:type="fixed"/>
        <w:tblLook w:firstColumn="1" w:firstRow="1" w:lastColumn="0" w:lastRow="0" w:noHBand="0" w:noVBand="1" w:val="04A0"/>
      </w:tblPr>
      <w:tblGrid>
        <w:gridCol w:w="2592"/>
        <w:gridCol w:w="7776"/>
      </w:tblGrid>
      <w:tr>
        <w:trPr>
          <w:tblHeader w:val="true"/>
        </w:trPr>
        <w:tc>
          <w:tcPr>
            <w:tcW w:type="dxa" w:w="5040"/>
            <w:vAlign w:val="center"/>
            <w:shd w:fill="176B50"/>
          </w:tcPr>
          <w:p>
            <w:pPr>
              <w:spacing w:after="0"/>
            </w:pPr>
            <w:r/>
            <w:r>
              <w:rPr>
                <w:rFonts w:ascii="Aptos" w:hAnsi="Aptos"/>
                <w:b/>
                <w:color w:val="FFFFFF"/>
                <w:sz w:val="17"/>
              </w:rPr>
              <w:t>Doctor</w:t>
            </w:r>
          </w:p>
        </w:tc>
        <w:tc>
          <w:tcPr>
            <w:tcW w:type="dxa" w:w="5040"/>
            <w:vAlign w:val="center"/>
            <w:shd w:fill="176B50"/>
          </w:tcPr>
          <w:p>
            <w:pPr>
              <w:spacing w:after="0"/>
            </w:pPr>
            <w:r/>
            <w:r>
              <w:rPr>
                <w:rFonts w:ascii="Aptos" w:hAnsi="Aptos"/>
                <w:b/>
                <w:color w:val="FFFFFF"/>
                <w:sz w:val="17"/>
              </w:rPr>
              <w:t>Sample times</w:t>
            </w:r>
          </w:p>
        </w:tc>
      </w:tr>
      <w:tr>
        <w:tc>
          <w:tcPr>
            <w:tcW w:type="dxa" w:w="2592"/>
            <w:vAlign w:val="center"/>
            <w:shd w:fill="F6FAF7"/>
          </w:tcPr>
          <w:p>
            <w:pPr>
              <w:spacing w:after="0"/>
            </w:pPr>
            <w:r/>
            <w:r>
              <w:rPr>
                <w:rFonts w:ascii="Aptos" w:hAnsi="Aptos"/>
                <w:b w:val="0"/>
                <w:color w:val="30221D"/>
                <w:sz w:val="17"/>
              </w:rPr>
              <w:t>Dr. Misbah Ambar</w:t>
            </w:r>
          </w:p>
        </w:tc>
        <w:tc>
          <w:tcPr>
            <w:tcW w:type="dxa" w:w="7776"/>
            <w:vAlign w:val="center"/>
            <w:shd w:fill="F6FAF7"/>
          </w:tcPr>
          <w:p>
            <w:pPr>
              <w:spacing w:after="0"/>
            </w:pPr>
            <w:r/>
            <w:r>
              <w:rPr>
                <w:rFonts w:ascii="Aptos" w:hAnsi="Aptos"/>
                <w:b w:val="0"/>
                <w:color w:val="30221D"/>
                <w:sz w:val="17"/>
              </w:rPr>
              <w:t>9:30 AM, 10:15 AM, 11:00 AM, 12:30 PM, 2:30 PM, 4:00 PM, 5:30 PM</w:t>
            </w:r>
          </w:p>
        </w:tc>
      </w:tr>
      <w:tr>
        <w:tc>
          <w:tcPr>
            <w:tcW w:type="dxa" w:w="2592"/>
            <w:vAlign w:val="center"/>
            <w:shd w:fill="FFFFFF"/>
          </w:tcPr>
          <w:p>
            <w:pPr>
              <w:spacing w:after="0"/>
            </w:pPr>
            <w:r/>
            <w:r>
              <w:rPr>
                <w:rFonts w:ascii="Aptos" w:hAnsi="Aptos"/>
                <w:b w:val="0"/>
                <w:color w:val="30221D"/>
                <w:sz w:val="17"/>
              </w:rPr>
              <w:t>Dr. Farooq</w:t>
            </w:r>
          </w:p>
        </w:tc>
        <w:tc>
          <w:tcPr>
            <w:tcW w:type="dxa" w:w="7776"/>
            <w:vAlign w:val="center"/>
            <w:shd w:fill="FFFFFF"/>
          </w:tcPr>
          <w:p>
            <w:pPr>
              <w:spacing w:after="0"/>
            </w:pPr>
            <w:r/>
            <w:r>
              <w:rPr>
                <w:rFonts w:ascii="Aptos" w:hAnsi="Aptos"/>
                <w:b w:val="0"/>
                <w:color w:val="30221D"/>
                <w:sz w:val="17"/>
              </w:rPr>
              <w:t>10:00 AM, 11:30 AM, 3:00 PM, 5:30 PM</w:t>
            </w:r>
          </w:p>
        </w:tc>
      </w:tr>
      <w:tr>
        <w:tc>
          <w:tcPr>
            <w:tcW w:type="dxa" w:w="2592"/>
            <w:vAlign w:val="center"/>
            <w:shd w:fill="F6FAF7"/>
          </w:tcPr>
          <w:p>
            <w:pPr>
              <w:spacing w:after="0"/>
            </w:pPr>
            <w:r/>
            <w:r>
              <w:rPr>
                <w:rFonts w:ascii="Aptos" w:hAnsi="Aptos"/>
                <w:b w:val="0"/>
                <w:color w:val="30221D"/>
                <w:sz w:val="17"/>
              </w:rPr>
              <w:t>Dr. Arshad</w:t>
            </w:r>
          </w:p>
        </w:tc>
        <w:tc>
          <w:tcPr>
            <w:tcW w:type="dxa" w:w="7776"/>
            <w:vAlign w:val="center"/>
            <w:shd w:fill="F6FAF7"/>
          </w:tcPr>
          <w:p>
            <w:pPr>
              <w:spacing w:after="0"/>
            </w:pPr>
            <w:r/>
            <w:r>
              <w:rPr>
                <w:rFonts w:ascii="Aptos" w:hAnsi="Aptos"/>
                <w:b w:val="0"/>
                <w:color w:val="30221D"/>
                <w:sz w:val="17"/>
              </w:rPr>
              <w:t>9:00 AM, 10:30 AM, 1:30 PM, 3:30 PM, 6:00 PM</w:t>
            </w:r>
          </w:p>
        </w:tc>
      </w:tr>
    </w:tbl>
    <w:p>
      <w:pPr>
        <w:pStyle w:val="Heading1"/>
      </w:pPr>
      <w:r>
        <w:t>Changing or cancelling a booking</w:t>
      </w:r>
    </w:p>
    <w:p>
      <w:pPr>
        <w:pStyle w:val="ListBullet"/>
        <w:spacing w:after="60"/>
      </w:pPr>
      <w:r>
        <w:t>To request cancellation through the assistant, provide the booking reference and the 10-digit mobile number on the booking.</w:t>
      </w:r>
    </w:p>
    <w:p>
      <w:pPr>
        <w:pStyle w:val="ListBullet"/>
        <w:spacing w:after="60"/>
      </w:pPr>
      <w:r>
        <w:t>If a booking is already completed, the app directs the visitor to contact the clinic.</w:t>
      </w:r>
    </w:p>
    <w:p>
      <w:pPr>
        <w:pStyle w:val="ListBullet"/>
        <w:spacing w:after="60"/>
      </w:pPr>
      <w:r>
        <w:t>For booking help or a new time, call +91 87704 65561. The app does not list a separate rescheduling policy.</w:t>
      </w:r>
    </w:p>
    <w:p>
      <w:pPr>
        <w:pStyle w:val="Heading1"/>
      </w:pPr>
      <w:r>
        <w:t>Clinic assistant</w:t>
      </w:r>
    </w:p>
    <w:p>
      <w:r>
        <w:t>The assistant offers four visitor options: appointment booking, doctors and fees, clinic information, and booking management. The doctors and clinic information options use Groq-powered AI with read-only access to clinic information and sample availability. Booking and cancellation follow the app’s guided validation flow.</w:t>
      </w:r>
    </w:p>
    <w:p>
      <w:pPr>
        <w:pStyle w:val="ListBullet"/>
        <w:spacing w:after="60"/>
      </w:pPr>
      <w:r>
        <w:t>The assistant is not a medical advice service and does not diagnose or recommend treatment.</w:t>
      </w:r>
    </w:p>
    <w:p>
      <w:pPr>
        <w:pStyle w:val="ListBullet"/>
        <w:spacing w:after="60"/>
      </w:pPr>
      <w:r>
        <w:t>For urgent or emergency care, visitors should contact local emergency services.</w:t>
      </w:r>
    </w:p>
    <w:p>
      <w:pPr>
        <w:pStyle w:val="Heading1"/>
      </w:pPr>
      <w:r>
        <w:t>Information to confirm before public use</w:t>
      </w:r>
    </w:p>
    <w:p>
      <w:pPr>
        <w:spacing w:after="120"/>
      </w:pPr>
      <w:r>
        <w:t>The app does not currently provide the details below. Confirm them with the clinic and add them to the website or this guide when available.</w:t>
      </w:r>
    </w:p>
    <w:p>
      <w:pPr>
        <w:pStyle w:val="ListBullet"/>
        <w:spacing w:after="60"/>
      </w:pPr>
      <w:r>
        <w:t>Clinic email address and any additional contact channels.</w:t>
      </w:r>
    </w:p>
    <w:p>
      <w:pPr>
        <w:pStyle w:val="ListBullet"/>
        <w:spacing w:after="60"/>
      </w:pPr>
      <w:r>
        <w:t>Doctor profile details, including exact qualifications, experience, and consultation scope.</w:t>
      </w:r>
    </w:p>
    <w:p>
      <w:pPr>
        <w:pStyle w:val="ListBullet"/>
        <w:spacing w:after="60"/>
      </w:pPr>
      <w:r>
        <w:t>Whether the displayed appointment schedule is live, and how holidays or unavailable dates are handled.</w:t>
      </w:r>
    </w:p>
    <w:p>
      <w:pPr>
        <w:pStyle w:val="ListBullet"/>
        <w:spacing w:after="60"/>
      </w:pPr>
      <w:r>
        <w:t>Payment methods, arrival instructions, accessibility information, and the clinic’s cancellation or rescheduling policy.</w:t>
      </w:r>
    </w:p>
    <w:p>
      <w:pPr>
        <w:pStyle w:val="ListBullet"/>
        <w:spacing w:after="60"/>
      </w:pPr>
      <w:r>
        <w:t>A visitor privacy notice explaining how appointment contact details and optional visit reasons are used and retained.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625C"/>
        <w:sz w:val="16"/>
      </w:rPr>
      <w:t>CityCare Clinic  |  Information guide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022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A84724"/>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6B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CityCare Clinic Information Guide</dc:title>
  <dc:subject>Clinic contact details, doctors, fees, appointments, and visitor information</dc:subject>
  <dc:creator>CityCare Clinic</dc:creator>
  <cp:keywords/>
  <dc:description>generated by python-docx</dc:description>
  <cp:lastModifiedBy/>
  <cp:revision>1</cp:revision>
  <dcterms:created xsi:type="dcterms:W3CDTF">2013-12-23T23:15:00Z</dcterms:created>
  <dcterms:modified xsi:type="dcterms:W3CDTF">2013-12-23T23:15:00Z</dcterms:modified>
  <cp:category/>
</cp:coreProperties>
</file>