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3A6B" w:val="clear"/>
            <w:tcMar>
              <w:top w:type="dxa" w:w="360"/>
              <w:left w:type="dxa" w:w="400"/>
              <w:bottom w:type="dxa" w:w="360"/>
              <w:right w:type="dxa" w:w="400"/>
            </w:tcMar>
          </w:tcPr>
          <w:p>
            <w:pPr>
              <w:spacing w:before="0" w:after="80"/>
            </w:pPr>
            <w:r>
              <w:rPr>
                <w:rFonts w:ascii="Arial" w:cs="Arial" w:eastAsia="Arial" w:hAnsi="Arial"/>
                <w:b/>
                <w:bCs/>
                <w:i w:val="false"/>
                <w:iCs w:val="false"/>
                <w:color w:val="00A0D1"/>
                <w:sz w:val="18"/>
                <w:szCs w:val="18"/>
              </w:rPr>
              <w:t xml:space="preserve">DATA INTELLIGENCE &amp; STRATÉGIE</w:t>
            </w:r>
          </w:p>
          <w:p>
            <w:pPr>
              <w:spacing w:before="0" w:after="100"/>
            </w:pPr>
            <w:r>
              <w:rPr>
                <w:rFonts w:ascii="Arial" w:cs="Arial" w:eastAsia="Arial" w:hAnsi="Arial"/>
                <w:b/>
                <w:bCs/>
                <w:i w:val="false"/>
                <w:iCs w:val="false"/>
                <w:color w:val="FFFFFF"/>
                <w:sz w:val="52"/>
                <w:szCs w:val="52"/>
              </w:rPr>
              <w:t xml:space="preserve">Rapport d'Analyse Stratégique</w:t>
            </w:r>
          </w:p>
          <w:p>
            <w:pPr>
              <w:spacing w:before="0" w:after="100"/>
            </w:pPr>
            <w:r>
              <w:rPr>
                <w:rFonts w:ascii="Arial" w:cs="Arial" w:eastAsia="Arial" w:hAnsi="Arial"/>
                <w:b w:val="false"/>
                <w:bCs w:val="false"/>
                <w:i w:val="false"/>
                <w:iCs w:val="false"/>
                <w:color w:val="A8C8E8"/>
                <w:sz w:val="24"/>
                <w:szCs w:val="24"/>
              </w:rPr>
              <w:t xml:space="preserve">Dashboard de Pilotage E-Commerce &amp; Logistique</w:t>
            </w:r>
          </w:p>
          <w:p>
            <w:pPr>
              <w:pBdr>
                <w:top w:val="single" w:color="C9A84C" w:sz="4" w:space="6"/>
              </w:pBdr>
              <w:spacing w:before="100" w:after="0"/>
            </w:pPr>
            <w:r>
              <w:rPr>
                <w:rFonts w:ascii="Arial" w:cs="Arial" w:eastAsia="Arial" w:hAnsi="Arial"/>
                <w:b w:val="false"/>
                <w:bCs w:val="false"/>
                <w:i w:val="false"/>
                <w:iCs w:val="false"/>
                <w:color w:val="C9A84C"/>
                <w:sz w:val="18"/>
                <w:szCs w:val="18"/>
              </w:rPr>
              <w:t xml:space="preserve">Rapport Détaillé  ·  Mars 2026  ·  CONFIDENTIEL</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6"/>
              <w:left w:val="single" w:color="D1D5DB" w:sz="1"/>
              <w:bottom w:val="single" w:color="D1D5DB" w:sz="1"/>
              <w:right w:val="single" w:color="D1D5DB" w:sz="1"/>
            </w:tcBorders>
            <w:shd w:fill="EEF5FB" w:val="clear"/>
            <w:tcMar>
              <w:top w:type="dxa" w:w="80"/>
              <w:left w:type="dxa" w:w="120"/>
              <w:bottom w:type="dxa" w:w="80"/>
              <w:right w:type="dxa" w:w="120"/>
            </w:tcMar>
          </w:tcPr>
          <w:p>
            <w:pPr>
              <w:spacing w:before="0" w:after="10"/>
              <w:jc w:val="center"/>
            </w:pPr>
            <w:r>
              <w:rPr>
                <w:rFonts w:ascii="Arial" w:cs="Arial" w:eastAsia="Arial" w:hAnsi="Arial"/>
                <w:b/>
                <w:bCs/>
                <w:i w:val="false"/>
                <w:iCs w:val="false"/>
                <w:color w:val="2E75B6"/>
                <w:sz w:val="40"/>
                <w:szCs w:val="40"/>
              </w:rPr>
              <w:t xml:space="preserve">4</w:t>
            </w:r>
          </w:p>
          <w:p>
            <w:pPr>
              <w:spacing w:before="0" w:after="0"/>
              <w:jc w:val="center"/>
            </w:pPr>
            <w:r>
              <w:rPr>
                <w:rFonts w:ascii="Arial" w:cs="Arial" w:eastAsia="Arial" w:hAnsi="Arial"/>
                <w:b w:val="false"/>
                <w:bCs w:val="false"/>
                <w:i w:val="false"/>
                <w:iCs w:val="false"/>
                <w:color w:val="6B7280"/>
                <w:sz w:val="17"/>
                <w:szCs w:val="17"/>
              </w:rPr>
              <w:t xml:space="preserve">Villes</w:t>
            </w:r>
          </w:p>
        </w:tc>
        <w:tc>
          <w:tcPr>
            <w:tcW w:type="dxa" w:w="2340"/>
            <w:tcBorders>
              <w:top w:val="single" w:color="00A0D1" w:sz="6"/>
              <w:left w:val="single" w:color="E5E7EB" w:sz="1"/>
              <w:bottom w:val="single" w:color="D1D5DB" w:sz="1"/>
              <w:right w:val="single" w:color="D1D5DB" w:sz="1"/>
            </w:tcBorders>
            <w:shd w:fill="EEF5FB" w:val="clear"/>
            <w:tcMar>
              <w:top w:type="dxa" w:w="80"/>
              <w:left w:type="dxa" w:w="120"/>
              <w:bottom w:type="dxa" w:w="80"/>
              <w:right w:type="dxa" w:w="120"/>
            </w:tcMar>
          </w:tcPr>
          <w:p>
            <w:pPr>
              <w:spacing w:before="0" w:after="10"/>
              <w:jc w:val="center"/>
            </w:pPr>
            <w:r>
              <w:rPr>
                <w:rFonts w:ascii="Arial" w:cs="Arial" w:eastAsia="Arial" w:hAnsi="Arial"/>
                <w:b/>
                <w:bCs/>
                <w:i w:val="false"/>
                <w:iCs w:val="false"/>
                <w:color w:val="2E75B6"/>
                <w:sz w:val="40"/>
                <w:szCs w:val="40"/>
              </w:rPr>
              <w:t xml:space="preserve">2</w:t>
            </w:r>
          </w:p>
          <w:p>
            <w:pPr>
              <w:spacing w:before="0" w:after="0"/>
              <w:jc w:val="center"/>
            </w:pPr>
            <w:r>
              <w:rPr>
                <w:rFonts w:ascii="Arial" w:cs="Arial" w:eastAsia="Arial" w:hAnsi="Arial"/>
                <w:b w:val="false"/>
                <w:bCs w:val="false"/>
                <w:i w:val="false"/>
                <w:iCs w:val="false"/>
                <w:color w:val="6B7280"/>
                <w:sz w:val="17"/>
                <w:szCs w:val="17"/>
              </w:rPr>
              <w:t xml:space="preserve">Catégories</w:t>
            </w:r>
          </w:p>
        </w:tc>
        <w:tc>
          <w:tcPr>
            <w:tcW w:type="dxa" w:w="2340"/>
            <w:tcBorders>
              <w:top w:val="single" w:color="C9A84C" w:sz="6"/>
              <w:left w:val="single" w:color="E5E7EB" w:sz="1"/>
              <w:bottom w:val="single" w:color="D1D5DB" w:sz="1"/>
              <w:right w:val="single" w:color="D1D5DB" w:sz="1"/>
            </w:tcBorders>
            <w:shd w:fill="EEF5FB" w:val="clear"/>
            <w:tcMar>
              <w:top w:type="dxa" w:w="80"/>
              <w:left w:type="dxa" w:w="120"/>
              <w:bottom w:type="dxa" w:w="80"/>
              <w:right w:type="dxa" w:w="120"/>
            </w:tcMar>
          </w:tcPr>
          <w:p>
            <w:pPr>
              <w:spacing w:before="0" w:after="10"/>
              <w:jc w:val="center"/>
            </w:pPr>
            <w:r>
              <w:rPr>
                <w:rFonts w:ascii="Arial" w:cs="Arial" w:eastAsia="Arial" w:hAnsi="Arial"/>
                <w:b/>
                <w:bCs/>
                <w:i w:val="false"/>
                <w:iCs w:val="false"/>
                <w:color w:val="2E75B6"/>
                <w:sz w:val="40"/>
                <w:szCs w:val="40"/>
              </w:rPr>
              <w:t xml:space="preserve">530</w:t>
            </w:r>
          </w:p>
          <w:p>
            <w:pPr>
              <w:spacing w:before="0" w:after="0"/>
              <w:jc w:val="center"/>
            </w:pPr>
            <w:r>
              <w:rPr>
                <w:rFonts w:ascii="Arial" w:cs="Arial" w:eastAsia="Arial" w:hAnsi="Arial"/>
                <w:b w:val="false"/>
                <w:bCs w:val="false"/>
                <w:i w:val="false"/>
                <w:iCs w:val="false"/>
                <w:color w:val="6B7280"/>
                <w:sz w:val="17"/>
                <w:szCs w:val="17"/>
              </w:rPr>
              <w:t xml:space="preserve">K€</w:t>
            </w:r>
          </w:p>
        </w:tc>
        <w:tc>
          <w:tcPr>
            <w:tcW w:type="dxa" w:w="2340"/>
            <w:tcBorders>
              <w:top w:val="single" w:color="2E75B6" w:sz="6"/>
              <w:left w:val="single" w:color="E5E7EB" w:sz="1"/>
              <w:bottom w:val="single" w:color="D1D5DB" w:sz="1"/>
              <w:right w:val="single" w:color="D1D5DB" w:sz="1"/>
            </w:tcBorders>
            <w:shd w:fill="EEF5FB" w:val="clear"/>
            <w:tcMar>
              <w:top w:type="dxa" w:w="80"/>
              <w:left w:type="dxa" w:w="120"/>
              <w:bottom w:type="dxa" w:w="80"/>
              <w:right w:type="dxa" w:w="120"/>
            </w:tcMar>
          </w:tcPr>
          <w:p>
            <w:pPr>
              <w:spacing w:before="0" w:after="10"/>
              <w:jc w:val="center"/>
            </w:pPr>
            <w:r>
              <w:rPr>
                <w:rFonts w:ascii="Arial" w:cs="Arial" w:eastAsia="Arial" w:hAnsi="Arial"/>
                <w:b/>
                <w:bCs/>
                <w:i w:val="false"/>
                <w:iCs w:val="false"/>
                <w:color w:val="2E75B6"/>
                <w:sz w:val="40"/>
                <w:szCs w:val="40"/>
              </w:rPr>
              <w:t xml:space="preserve">3</w:t>
            </w:r>
          </w:p>
          <w:p>
            <w:pPr>
              <w:spacing w:before="0" w:after="0"/>
              <w:jc w:val="center"/>
            </w:pPr>
            <w:r>
              <w:rPr>
                <w:rFonts w:ascii="Arial" w:cs="Arial" w:eastAsia="Arial" w:hAnsi="Arial"/>
                <w:b w:val="false"/>
                <w:bCs w:val="false"/>
                <w:i w:val="false"/>
                <w:iCs w:val="false"/>
                <w:color w:val="6B7280"/>
                <w:sz w:val="17"/>
                <w:szCs w:val="17"/>
              </w:rPr>
              <w:t xml:space="preserve">Statuts</w:t>
            </w:r>
          </w:p>
        </w:tc>
      </w:tr>
    </w:tbl>
    <w:p>
      <w:pPr>
        <w:spacing w:before="60" w:after="0"/>
      </w:pPr>
      <w:r>
        <w:t xml:space="preserve"/>
      </w:r>
    </w:p>
    <w:p>
      <w:pPr>
        <w:pBdr>
          <w:left w:val="single" w:color="C9A84C" w:sz="18" w:space="10"/>
        </w:pBdr>
        <w:spacing w:before="140" w:after="80"/>
      </w:pPr>
      <w:r>
        <w:rPr>
          <w:rFonts w:ascii="Arial" w:cs="Arial" w:eastAsia="Arial" w:hAnsi="Arial"/>
          <w:b/>
          <w:bCs/>
          <w:i w:val="false"/>
          <w:iCs w:val="false"/>
          <w:color w:val="1B3A6B"/>
          <w:sz w:val="26"/>
          <w:szCs w:val="26"/>
        </w:rPr>
        <w:t xml:space="preserve">   Synthèse Exécutive</w:t>
      </w:r>
    </w:p>
    <w:p>
      <w:pPr>
        <w:spacing w:before="40" w:after="40"/>
        <w:jc w:val="both"/>
      </w:pPr>
      <w:r>
        <w:rPr>
          <w:rFonts w:ascii="Arial" w:cs="Arial" w:eastAsia="Arial" w:hAnsi="Arial"/>
          <w:b w:val="false"/>
          <w:bCs w:val="false"/>
          <w:i w:val="false"/>
          <w:iCs w:val="false"/>
          <w:color w:val="1A1A2E"/>
          <w:sz w:val="21"/>
          <w:szCs w:val="21"/>
        </w:rPr>
        <w:t xml:space="preserve">Le présent rapport documente le développement d'une solution de Business Intelligence visant à optimiser l'analyse de la performance commerciale et logistique d'une plateforme e-commerce. La solution agrège et structure des données issues de ventes, de catalogues produits et de répertoires clients, permettant une identification précise des disparités régionales et une surveillance proactive des indicateurs clés.</w:t>
      </w:r>
    </w:p>
    <w:p>
      <w:pPr>
        <w:spacing w:before="40" w:after="60"/>
        <w:jc w:val="both"/>
      </w:pPr>
      <w:r>
        <w:rPr>
          <w:rFonts w:ascii="Arial" w:cs="Arial" w:eastAsia="Arial" w:hAnsi="Arial"/>
          <w:b w:val="false"/>
          <w:bCs w:val="false"/>
          <w:i w:val="false"/>
          <w:iCs w:val="false"/>
          <w:color w:val="1A1A2E"/>
          <w:sz w:val="21"/>
          <w:szCs w:val="21"/>
        </w:rPr>
        <w:t xml:space="preserve">Ce projet démontre une maîtrise avancée de la modélisation de données, des processus ETL et de la visualisation interactive, alignée sur les exigences d'un pilotage opérationnel rigoureux.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8"/>
              <w:left w:val="single" w:color="D1D5DB" w:sz="1"/>
              <w:bottom w:val="single" w:color="D1D5DB" w:sz="1"/>
              <w:right w:val="single" w:color="D1D5DB" w:sz="1"/>
            </w:tcBorders>
            <w:shd w:fill="EEF5FB"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1B3A6B"/>
                <w:sz w:val="36"/>
                <w:szCs w:val="36"/>
              </w:rPr>
              <w:t xml:space="preserve">Paris</w:t>
            </w:r>
          </w:p>
          <w:p>
            <w:pPr>
              <w:spacing w:before="0" w:after="0"/>
              <w:jc w:val="center"/>
            </w:pPr>
            <w:r>
              <w:rPr>
                <w:rFonts w:ascii="Arial" w:cs="Arial" w:eastAsia="Arial" w:hAnsi="Arial"/>
                <w:b/>
                <w:bCs/>
                <w:i w:val="false"/>
                <w:iCs w:val="false"/>
                <w:color w:val="2E75B6"/>
                <w:sz w:val="19"/>
                <w:szCs w:val="19"/>
              </w:rPr>
              <w:t xml:space="preserve">Leader national</w:t>
            </w:r>
          </w:p>
          <w:p>
            <w:pPr>
              <w:spacing w:before="0" w:after="0"/>
              <w:jc w:val="center"/>
            </w:pPr>
            <w:r>
              <w:rPr>
                <w:rFonts w:ascii="Arial" w:cs="Arial" w:eastAsia="Arial" w:hAnsi="Arial"/>
                <w:b w:val="false"/>
                <w:bCs w:val="false"/>
                <w:i w:val="false"/>
                <w:iCs w:val="false"/>
                <w:color w:val="6B7280"/>
                <w:sz w:val="17"/>
                <w:szCs w:val="17"/>
              </w:rPr>
              <w:t xml:space="preserve">High-Tech + Mobilier</w:t>
            </w:r>
          </w:p>
        </w:tc>
        <w:tc>
          <w:tcPr>
            <w:tcW w:type="dxa" w:w="3120"/>
            <w:tcBorders>
              <w:top w:val="single" w:color="00A0D1" w:sz="8"/>
              <w:left w:val="single" w:color="D1D5DB" w:sz="1"/>
              <w:bottom w:val="single" w:color="D1D5DB" w:sz="1"/>
              <w:right w:val="single" w:color="D1D5DB" w:sz="1"/>
            </w:tcBorders>
            <w:shd w:fill="EEF5FB"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1B3A6B"/>
                <w:sz w:val="36"/>
                <w:szCs w:val="36"/>
              </w:rPr>
              <w:t xml:space="preserve">530 K€</w:t>
            </w:r>
          </w:p>
          <w:p>
            <w:pPr>
              <w:spacing w:before="0" w:after="0"/>
              <w:jc w:val="center"/>
            </w:pPr>
            <w:r>
              <w:rPr>
                <w:rFonts w:ascii="Arial" w:cs="Arial" w:eastAsia="Arial" w:hAnsi="Arial"/>
                <w:b/>
                <w:bCs/>
                <w:i w:val="false"/>
                <w:iCs w:val="false"/>
                <w:color w:val="2E75B6"/>
                <w:sz w:val="19"/>
                <w:szCs w:val="19"/>
              </w:rPr>
              <w:t xml:space="preserve">CA consolidé</w:t>
            </w:r>
          </w:p>
          <w:p>
            <w:pPr>
              <w:spacing w:before="0" w:after="0"/>
              <w:jc w:val="center"/>
            </w:pPr>
            <w:r>
              <w:rPr>
                <w:rFonts w:ascii="Arial" w:cs="Arial" w:eastAsia="Arial" w:hAnsi="Arial"/>
                <w:b w:val="false"/>
                <w:bCs w:val="false"/>
                <w:i w:val="false"/>
                <w:iCs w:val="false"/>
                <w:color w:val="6B7280"/>
                <w:sz w:val="17"/>
                <w:szCs w:val="17"/>
              </w:rPr>
              <w:t xml:space="preserve">4 villes analysées</w:t>
            </w:r>
          </w:p>
        </w:tc>
        <w:tc>
          <w:tcPr>
            <w:tcW w:type="dxa" w:w="3120"/>
            <w:tcBorders>
              <w:top w:val="single" w:color="C9A84C" w:sz="8"/>
              <w:left w:val="single" w:color="D1D5DB" w:sz="1"/>
              <w:bottom w:val="single" w:color="D1D5DB" w:sz="1"/>
              <w:right w:val="single" w:color="D1D5DB" w:sz="1"/>
            </w:tcBorders>
            <w:shd w:fill="EEF5FB" w:val="clear"/>
            <w:tcMar>
              <w:top w:type="dxa" w:w="100"/>
              <w:left w:type="dxa" w:w="140"/>
              <w:bottom w:type="dxa" w:w="100"/>
              <w:right w:type="dxa" w:w="140"/>
            </w:tcMar>
          </w:tcPr>
          <w:p>
            <w:pPr>
              <w:spacing w:before="0" w:after="20"/>
              <w:jc w:val="center"/>
            </w:pPr>
            <w:r>
              <w:rPr>
                <w:rFonts w:ascii="Arial" w:cs="Arial" w:eastAsia="Arial" w:hAnsi="Arial"/>
                <w:b/>
                <w:bCs/>
                <w:i w:val="false"/>
                <w:iCs w:val="false"/>
                <w:color w:val="1B3A6B"/>
                <w:sz w:val="36"/>
                <w:szCs w:val="36"/>
              </w:rPr>
              <w:t xml:space="preserve">100%</w:t>
            </w:r>
          </w:p>
          <w:p>
            <w:pPr>
              <w:spacing w:before="0" w:after="0"/>
              <w:jc w:val="center"/>
            </w:pPr>
            <w:r>
              <w:rPr>
                <w:rFonts w:ascii="Arial" w:cs="Arial" w:eastAsia="Arial" w:hAnsi="Arial"/>
                <w:b/>
                <w:bCs/>
                <w:i w:val="false"/>
                <w:iCs w:val="false"/>
                <w:color w:val="2E75B6"/>
                <w:sz w:val="19"/>
                <w:szCs w:val="19"/>
              </w:rPr>
              <w:t xml:space="preserve">Filtrage temps réel</w:t>
            </w:r>
          </w:p>
          <w:p>
            <w:pPr>
              <w:spacing w:before="0" w:after="0"/>
              <w:jc w:val="center"/>
            </w:pPr>
            <w:r>
              <w:rPr>
                <w:rFonts w:ascii="Arial" w:cs="Arial" w:eastAsia="Arial" w:hAnsi="Arial"/>
                <w:b w:val="false"/>
                <w:bCs w:val="false"/>
                <w:i w:val="false"/>
                <w:iCs w:val="false"/>
                <w:color w:val="6B7280"/>
                <w:sz w:val="17"/>
                <w:szCs w:val="17"/>
              </w:rPr>
              <w:t xml:space="preserve">Par statut commande</w:t>
            </w:r>
          </w:p>
        </w:tc>
      </w:tr>
    </w:tbl>
    <w:p>
      <w:pPr>
        <w:spacing w:before="8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1.   Contexte et Objectifs du Projet</w:t>
      </w:r>
    </w:p>
    <w:p>
      <w:pPr>
        <w:spacing w:before="40" w:after="40"/>
        <w:jc w:val="both"/>
      </w:pPr>
      <w:r>
        <w:rPr>
          <w:rFonts w:ascii="Arial" w:cs="Arial" w:eastAsia="Arial" w:hAnsi="Arial"/>
          <w:b w:val="false"/>
          <w:bCs w:val="false"/>
          <w:i w:val="false"/>
          <w:iCs w:val="false"/>
          <w:color w:val="1A1A2E"/>
          <w:sz w:val="21"/>
          <w:szCs w:val="21"/>
        </w:rPr>
        <w:t xml:space="preserve">L'objectif central était de concevoir un outil de Business Intelligence robuste, capable d'intégrer et d'analyser des données hétérogènes. Cette intégration visait le croisement d'informations provenant de trois sources fondamentales : les ventes réalisées, le catalogue de produits, et le répertoire des clients.</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Source</w:t>
            </w:r>
          </w:p>
        </w:tc>
        <w:tc>
          <w:tcPr>
            <w:tcW w:type="dxa" w:w="378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Contenu Principal</w:t>
            </w:r>
          </w:p>
        </w:tc>
        <w:tc>
          <w:tcPr>
            <w:tcW w:type="dxa" w:w="378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Utilité Analytique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Ventes</w:t>
            </w:r>
          </w:p>
        </w:tc>
        <w:tc>
          <w:tcPr>
            <w:tcW w:type="dxa" w:w="3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Montants, dates, statuts, commandes</w:t>
            </w:r>
          </w:p>
        </w:tc>
        <w:tc>
          <w:tcPr>
            <w:tcW w:type="dxa" w:w="3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Mesures de performance transactionnelle</w:t>
            </w:r>
          </w:p>
        </w:tc>
      </w:tr>
      <w:tr>
        <w:tc>
          <w:tcPr>
            <w:tcW w:type="dxa" w:w="18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Produits</w:t>
            </w:r>
          </w:p>
        </w:tc>
        <w:tc>
          <w:tcPr>
            <w:tcW w:type="dxa" w:w="378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Catégories, coûts de fabrication</w:t>
            </w:r>
          </w:p>
        </w:tc>
        <w:tc>
          <w:tcPr>
            <w:tcW w:type="dxa" w:w="378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Segmentation par offre produit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Clients</w:t>
            </w:r>
          </w:p>
        </w:tc>
        <w:tc>
          <w:tcPr>
            <w:tcW w:type="dxa" w:w="3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Villes, régions, identifiants</w:t>
            </w:r>
          </w:p>
        </w:tc>
        <w:tc>
          <w:tcPr>
            <w:tcW w:type="dxa" w:w="378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Analyse géographique &amp; comportementale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0D1" w:sz="3"/>
              <w:left w:val="single" w:color="00A0D1" w:sz="18"/>
              <w:bottom w:val="single" w:color="00A0D1" w:sz="3"/>
              <w:right w:val="single" w:color="00A0D1" w:sz="3"/>
            </w:tcBorders>
            <w:shd w:fill="D6E8F5" w:val="clear"/>
            <w:tcMar>
              <w:top w:type="dxa" w:w="80"/>
              <w:left w:type="dxa" w:w="180"/>
              <w:bottom w:type="dxa" w:w="80"/>
              <w:right w:type="dxa" w:w="180"/>
            </w:tcMar>
          </w:tcPr>
          <w:p>
            <w:pPr>
              <w:spacing w:before="0" w:after="30"/>
            </w:pPr>
            <w:r>
              <w:rPr>
                <w:rFonts w:ascii="Arial" w:cs="Arial" w:eastAsia="Arial" w:hAnsi="Arial"/>
                <w:b/>
                <w:bCs/>
                <w:i w:val="false"/>
                <w:iCs w:val="false"/>
                <w:color w:val="00A0D1"/>
                <w:sz w:val="20"/>
                <w:szCs w:val="20"/>
              </w:rPr>
              <w:t xml:space="preserve">Objectif stratégique</w:t>
            </w:r>
          </w:p>
          <w:p>
            <w:pPr>
              <w:spacing w:before="0" w:after="0"/>
              <w:jc w:val="both"/>
            </w:pPr>
            <w:r>
              <w:rPr>
                <w:rFonts w:ascii="Arial" w:cs="Arial" w:eastAsia="Arial" w:hAnsi="Arial"/>
                <w:b w:val="false"/>
                <w:bCs w:val="false"/>
                <w:i w:val="false"/>
                <w:iCs w:val="false"/>
                <w:color w:val="1A1A2E"/>
                <w:sz w:val="20"/>
                <w:szCs w:val="20"/>
              </w:rPr>
              <w:t xml:space="preserve">Évaluer la performance commerciale globale et identifier avec précision les variations régionales, offrant un levier d'action pour l'optimisation des opérations et des stratégies de marché.</w:t>
            </w:r>
          </w:p>
        </w:tc>
      </w:tr>
    </w:tbl>
    <w:p>
      <w:pPr>
        <w:spacing w:before="8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2.   Architecture et Modélisation des Données</w:t>
      </w:r>
    </w:p>
    <w:p>
      <w:pPr>
        <w:spacing w:before="40" w:after="40"/>
        <w:jc w:val="both"/>
      </w:pPr>
      <w:r>
        <w:rPr>
          <w:rFonts w:ascii="Arial" w:cs="Arial" w:eastAsia="Arial" w:hAnsi="Arial"/>
          <w:b w:val="false"/>
          <w:bCs w:val="false"/>
          <w:i w:val="false"/>
          <w:iCs w:val="false"/>
          <w:color w:val="1A1A2E"/>
          <w:sz w:val="21"/>
          <w:szCs w:val="21"/>
        </w:rPr>
        <w:t xml:space="preserve">La solution repose sur une architecture en étoile (Star Schema) conçue pour faciliter l'analyse multidimensionnelle et la propagation fluide des filtres. Le modèle est organisé autour d'une table de faits centrale reliée à deux tables de dimensions.</w:t>
      </w:r>
    </w:p>
    <w:p>
      <w:pPr>
        <w:spacing w:before="50" w:after="0"/>
      </w:pPr>
      <w:r>
        <w:t xml:space="preserve"/>
      </w:r>
    </w:p>
    <w:p>
      <w:pPr>
        <w:spacing w:before="60" w:after="60"/>
        <w:jc w:val="center"/>
      </w:pPr>
      <w:r>
        <w:drawing>
          <wp:inline distT="0" distB="0" distL="0" distR="0">
            <wp:extent cx="3048000" cy="19050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905000"/>
                    </a:xfrm>
                    <a:prstGeom prst="rect">
                      <a:avLst/>
                    </a:prstGeom>
                  </pic:spPr>
                </pic:pic>
              </a:graphicData>
            </a:graphic>
          </wp:inline>
        </w:drawing>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600"/>
        <w:gridCol w:w="900"/>
        <w:gridCol w:w="3760"/>
      </w:tblGrid>
      <w:tr>
        <w:trPr>
          <w:tblHeader/>
        </w:trPr>
        <w:tc>
          <w:tcPr>
            <w:tcW w:type="dxa" w:w="17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Type de Table</w:t>
            </w:r>
          </w:p>
        </w:tc>
        <w:tc>
          <w:tcPr>
            <w:tcW w:type="dxa" w:w="14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Nom</w:t>
            </w:r>
          </w:p>
        </w:tc>
        <w:tc>
          <w:tcPr>
            <w:tcW w:type="dxa" w:w="16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Clé de Jointure</w:t>
            </w:r>
          </w:p>
        </w:tc>
        <w:tc>
          <w:tcPr>
            <w:tcW w:type="dxa" w:w="9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Relation</w:t>
            </w:r>
          </w:p>
        </w:tc>
        <w:tc>
          <w:tcPr>
            <w:tcW w:type="dxa" w:w="376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Rôle</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Table de Faits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Ventes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Mesures : montants, dates, statuts</w:t>
            </w:r>
          </w:p>
        </w:tc>
      </w:tr>
      <w:tr>
        <w:tc>
          <w:tcPr>
            <w:tcW w:type="dxa" w:w="17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Dimension</w:t>
            </w:r>
          </w:p>
        </w:tc>
        <w:tc>
          <w:tcPr>
            <w:tcW w:type="dxa" w:w="14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Clients</w:t>
            </w:r>
          </w:p>
        </w:tc>
        <w:tc>
          <w:tcPr>
            <w:tcW w:type="dxa" w:w="16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ID_Client</w:t>
            </w:r>
          </w:p>
        </w:tc>
        <w:tc>
          <w:tcPr>
            <w:tcW w:type="dxa" w:w="9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1:N</w:t>
            </w:r>
          </w:p>
        </w:tc>
        <w:tc>
          <w:tcPr>
            <w:tcW w:type="dxa" w:w="37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Contexte géographique (ville, région)</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Dimension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Produits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ID_Produit</w:t>
            </w:r>
          </w:p>
        </w:tc>
        <w:tc>
          <w:tcPr>
            <w:tcW w:type="dxa" w:w="9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1:N</w:t>
            </w:r>
          </w:p>
        </w:tc>
        <w:tc>
          <w:tcPr>
            <w:tcW w:type="dxa" w:w="37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Contexte produit (catégorie, coût)</w:t>
            </w:r>
          </w:p>
        </w:tc>
      </w:tr>
    </w:tbl>
    <w:p>
      <w:pPr>
        <w:spacing w:before="8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3.   Traitement et Préparation des Données (ETL)</w:t>
      </w:r>
    </w:p>
    <w:p>
      <w:pPr>
        <w:spacing w:before="40" w:after="40"/>
        <w:jc w:val="both"/>
      </w:pPr>
      <w:r>
        <w:rPr>
          <w:rFonts w:ascii="Arial" w:cs="Arial" w:eastAsia="Arial" w:hAnsi="Arial"/>
          <w:b w:val="false"/>
          <w:bCs w:val="false"/>
          <w:i w:val="false"/>
          <w:iCs w:val="false"/>
          <w:color w:val="1A1A2E"/>
          <w:sz w:val="21"/>
          <w:szCs w:val="21"/>
        </w:rPr>
        <w:t xml:space="preserve">La fiabilisation des indicateurs repose sur une phase de traitement réalisée via Power Query, transformant les données brutes en un format structuré et prêt pour la modélisation.</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Action ETL</w:t>
            </w:r>
          </w:p>
        </w:tc>
        <w:tc>
          <w:tcPr>
            <w:tcW w:type="dxa" w:w="656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Normalisation des En-têtes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Promotion de la première ligne en en-têtes de colonnes — nomenclature standardisée.</w:t>
            </w:r>
          </w:p>
        </w:tc>
      </w:tr>
      <w:tr>
        <w:tc>
          <w:tcPr>
            <w:tcW w:type="dxa" w:w="28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Nettoyage des Types de Données</w:t>
            </w:r>
          </w:p>
        </w:tc>
        <w:tc>
          <w:tcPr>
            <w:tcW w:type="dxa" w:w="65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Conversion rigoureuse : valeurs textuelles, formats de date, valeurs décimales.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Vérification des Clés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Contrôle de l'intégrité des clés ID_Client et ID_Produit — zéro risque de perte.</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0D1" w:sz="3"/>
              <w:left w:val="single" w:color="00A0D1" w:sz="18"/>
              <w:bottom w:val="single" w:color="00A0D1" w:sz="3"/>
              <w:right w:val="single" w:color="00A0D1" w:sz="3"/>
            </w:tcBorders>
            <w:shd w:fill="EEF5FB" w:val="clear"/>
            <w:tcMar>
              <w:top w:type="dxa" w:w="80"/>
              <w:left w:type="dxa" w:w="180"/>
              <w:bottom w:type="dxa" w:w="80"/>
              <w:right w:type="dxa" w:w="180"/>
            </w:tcMar>
          </w:tcPr>
          <w:p>
            <w:pPr>
              <w:spacing w:before="0" w:after="30"/>
            </w:pPr>
            <w:r>
              <w:rPr>
                <w:rFonts w:ascii="Arial" w:cs="Arial" w:eastAsia="Arial" w:hAnsi="Arial"/>
                <w:b/>
                <w:bCs/>
                <w:i w:val="false"/>
                <w:iCs w:val="false"/>
                <w:color w:val="00A0D1"/>
                <w:sz w:val="20"/>
                <w:szCs w:val="20"/>
              </w:rPr>
              <w:t xml:space="preserve">Impact ETL</w:t>
            </w:r>
          </w:p>
          <w:p>
            <w:pPr>
              <w:spacing w:before="0" w:after="0"/>
              <w:jc w:val="both"/>
            </w:pPr>
            <w:r>
              <w:rPr>
                <w:rFonts w:ascii="Arial" w:cs="Arial" w:eastAsia="Arial" w:hAnsi="Arial"/>
                <w:b w:val="false"/>
                <w:bCs w:val="false"/>
                <w:i w:val="false"/>
                <w:iCs w:val="false"/>
                <w:color w:val="1A1A2E"/>
                <w:sz w:val="20"/>
                <w:szCs w:val="20"/>
              </w:rPr>
              <w:t xml:space="preserve">Ces étapes ont permis de construire une base de données fiable, réduisant les risques d'erreurs et augmentant la confiance dans les indicateurs présentés aux décideurs.</w:t>
            </w:r>
          </w:p>
        </w:tc>
      </w:tr>
    </w:tbl>
    <w:p>
      <w:pPr>
        <w:spacing w:before="8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4.   Analyses Visuelles et Interactivité du Dashboard</w:t>
      </w:r>
    </w:p>
    <w:p>
      <w:pPr>
        <w:spacing w:before="40" w:after="40"/>
        <w:jc w:val="both"/>
      </w:pPr>
      <w:r>
        <w:rPr>
          <w:rFonts w:ascii="Arial" w:cs="Arial" w:eastAsia="Arial" w:hAnsi="Arial"/>
          <w:b w:val="false"/>
          <w:bCs w:val="false"/>
          <w:i w:val="false"/>
          <w:iCs w:val="false"/>
          <w:color w:val="1A1A2E"/>
          <w:sz w:val="21"/>
          <w:szCs w:val="21"/>
        </w:rPr>
        <w:t xml:space="preserve">Le tableau de bord propose trois composants visuels interactifs, chacun répondant à un besoin métier précis pour l'exploration de la performance commerciale et logistique.</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color="FFFFFF" w:sz="0"/>
              <w:left w:val="nil" w:color="FFFFFF" w:sz="0"/>
              <w:bottom w:val="nil" w:color="FFFFFF" w:sz="0"/>
              <w:right w:val="nil" w:color="FFFFFF" w:sz="0"/>
            </w:tcBorders>
            <w:shd w:fill="1B3A6B"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01</w:t>
            </w:r>
          </w:p>
        </w:tc>
        <w:tc>
          <w:tcPr>
            <w:tcW w:type="dxa" w:w="8660"/>
            <w:tcBorders>
              <w:top w:val="single" w:color="D1D5DB" w:sz="1"/>
              <w:left w:val="single" w:color="00A0D1" w:sz="6"/>
              <w:bottom w:val="single" w:color="D1D5DB" w:sz="1"/>
              <w:right w:val="single" w:color="D1D5DB" w:sz="1"/>
            </w:tcBorders>
            <w:shd w:fill="EEF5FB" w:val="clear"/>
            <w:tcMar>
              <w:top w:type="dxa" w:w="80"/>
              <w:left w:type="dxa" w:w="160"/>
              <w:bottom w:type="dxa" w:w="80"/>
              <w:right w:type="dxa" w:w="120"/>
            </w:tcMar>
          </w:tcPr>
          <w:p>
            <w:pPr>
              <w:spacing w:before="0" w:after="20"/>
            </w:pPr>
            <w:r>
              <w:rPr>
                <w:rFonts w:ascii="Arial" w:cs="Arial" w:eastAsia="Arial" w:hAnsi="Arial"/>
                <w:b/>
                <w:bCs/>
                <w:i w:val="false"/>
                <w:iCs w:val="false"/>
                <w:color w:val="1B3A6B"/>
                <w:sz w:val="20"/>
                <w:szCs w:val="20"/>
              </w:rPr>
              <w:t xml:space="preserve">Graphique à barres</w:t>
            </w:r>
            <w:r>
              <w:rPr>
                <w:rFonts w:ascii="Arial" w:cs="Arial" w:eastAsia="Arial" w:hAnsi="Arial"/>
                <w:b w:val="false"/>
                <w:bCs w:val="false"/>
                <w:i w:val="false"/>
                <w:iCs w:val="false"/>
                <w:color w:val="6B7280"/>
                <w:sz w:val="20"/>
                <w:szCs w:val="20"/>
              </w:rPr>
              <w:t xml:space="preserve">  —  </w:t>
            </w:r>
            <w:r>
              <w:rPr>
                <w:rFonts w:ascii="Arial" w:cs="Arial" w:eastAsia="Arial" w:hAnsi="Arial"/>
                <w:b/>
                <w:bCs/>
                <w:i w:val="false"/>
                <w:iCs w:val="false"/>
                <w:color w:val="2E75B6"/>
                <w:sz w:val="20"/>
                <w:szCs w:val="20"/>
              </w:rPr>
              <w:t xml:space="preserve">Segmentation par ville et catégorie</w:t>
            </w:r>
          </w:p>
          <w:p>
            <w:pPr>
              <w:spacing w:before="0" w:after="0"/>
              <w:jc w:val="both"/>
            </w:pPr>
            <w:r>
              <w:rPr>
                <w:rFonts w:ascii="Arial" w:cs="Arial" w:eastAsia="Arial" w:hAnsi="Arial"/>
                <w:b w:val="false"/>
                <w:bCs w:val="false"/>
                <w:i w:val="false"/>
                <w:iCs w:val="false"/>
                <w:color w:val="1A1A2E"/>
                <w:sz w:val="19"/>
                <w:szCs w:val="19"/>
              </w:rPr>
              <w:t xml:space="preserve">Visualisation du chiffre d'affaires par ville, segmenté par catégorie de produits. Permet d'identifier rapidement la contribution de chaque catégorie au CA total et de comparer les performances entre localisations.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color="FFFFFF" w:sz="0"/>
              <w:left w:val="nil" w:color="FFFFFF" w:sz="0"/>
              <w:bottom w:val="nil" w:color="FFFFFF" w:sz="0"/>
              <w:right w:val="nil" w:color="FFFFFF" w:sz="0"/>
            </w:tcBorders>
            <w:shd w:fill="1B3A6B"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02</w:t>
            </w:r>
          </w:p>
        </w:tc>
        <w:tc>
          <w:tcPr>
            <w:tcW w:type="dxa" w:w="8660"/>
            <w:tcBorders>
              <w:top w:val="single" w:color="D1D5DB" w:sz="1"/>
              <w:left w:val="single" w:color="00A0D1" w:sz="6"/>
              <w:bottom w:val="single" w:color="D1D5DB" w:sz="1"/>
              <w:right w:val="single" w:color="D1D5DB" w:sz="1"/>
            </w:tcBorders>
            <w:shd w:fill="EEF5FB" w:val="clear"/>
            <w:tcMar>
              <w:top w:type="dxa" w:w="80"/>
              <w:left w:type="dxa" w:w="160"/>
              <w:bottom w:type="dxa" w:w="80"/>
              <w:right w:type="dxa" w:w="120"/>
            </w:tcMar>
          </w:tcPr>
          <w:p>
            <w:pPr>
              <w:spacing w:before="0" w:after="20"/>
            </w:pPr>
            <w:r>
              <w:rPr>
                <w:rFonts w:ascii="Arial" w:cs="Arial" w:eastAsia="Arial" w:hAnsi="Arial"/>
                <w:b/>
                <w:bCs/>
                <w:i w:val="false"/>
                <w:iCs w:val="false"/>
                <w:color w:val="1B3A6B"/>
                <w:sz w:val="20"/>
                <w:szCs w:val="20"/>
              </w:rPr>
              <w:t xml:space="preserve">Carte interactive</w:t>
            </w:r>
            <w:r>
              <w:rPr>
                <w:rFonts w:ascii="Arial" w:cs="Arial" w:eastAsia="Arial" w:hAnsi="Arial"/>
                <w:b w:val="false"/>
                <w:bCs w:val="false"/>
                <w:i w:val="false"/>
                <w:iCs w:val="false"/>
                <w:color w:val="6B7280"/>
                <w:sz w:val="20"/>
                <w:szCs w:val="20"/>
              </w:rPr>
              <w:t xml:space="preserve">  —  </w:t>
            </w:r>
            <w:r>
              <w:rPr>
                <w:rFonts w:ascii="Arial" w:cs="Arial" w:eastAsia="Arial" w:hAnsi="Arial"/>
                <w:b/>
                <w:bCs/>
                <w:i w:val="false"/>
                <w:iCs w:val="false"/>
                <w:color w:val="2E75B6"/>
                <w:sz w:val="20"/>
                <w:szCs w:val="20"/>
              </w:rPr>
              <w:t xml:space="preserve">Répartition géographique dynamique</w:t>
            </w:r>
          </w:p>
          <w:p>
            <w:pPr>
              <w:spacing w:before="0" w:after="0"/>
              <w:jc w:val="both"/>
            </w:pPr>
            <w:r>
              <w:rPr>
                <w:rFonts w:ascii="Arial" w:cs="Arial" w:eastAsia="Arial" w:hAnsi="Arial"/>
                <w:b w:val="false"/>
                <w:bCs w:val="false"/>
                <w:i w:val="false"/>
                <w:iCs w:val="false"/>
                <w:color w:val="1A1A2E"/>
                <w:sz w:val="19"/>
                <w:szCs w:val="19"/>
              </w:rPr>
              <w:t xml:space="preserve">Visualisation de la répartition géographique des points de vente et des performances associées. Couverture territoriale immédiate — Paris, Marseille, Lyon, Lille — avec filtrage croisé automatique.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il" w:color="FFFFFF" w:sz="0"/>
              <w:left w:val="nil" w:color="FFFFFF" w:sz="0"/>
              <w:bottom w:val="nil" w:color="FFFFFF" w:sz="0"/>
              <w:right w:val="nil" w:color="FFFFFF" w:sz="0"/>
            </w:tcBorders>
            <w:shd w:fill="1B3A6B"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28"/>
                <w:szCs w:val="28"/>
              </w:rPr>
              <w:t xml:space="preserve">03</w:t>
            </w:r>
          </w:p>
        </w:tc>
        <w:tc>
          <w:tcPr>
            <w:tcW w:type="dxa" w:w="8660"/>
            <w:tcBorders>
              <w:top w:val="single" w:color="D1D5DB" w:sz="1"/>
              <w:left w:val="single" w:color="00A0D1" w:sz="6"/>
              <w:bottom w:val="single" w:color="D1D5DB" w:sz="1"/>
              <w:right w:val="single" w:color="D1D5DB" w:sz="1"/>
            </w:tcBorders>
            <w:shd w:fill="EEF5FB" w:val="clear"/>
            <w:tcMar>
              <w:top w:type="dxa" w:w="80"/>
              <w:left w:type="dxa" w:w="160"/>
              <w:bottom w:type="dxa" w:w="80"/>
              <w:right w:type="dxa" w:w="120"/>
            </w:tcMar>
          </w:tcPr>
          <w:p>
            <w:pPr>
              <w:spacing w:before="0" w:after="20"/>
            </w:pPr>
            <w:r>
              <w:rPr>
                <w:rFonts w:ascii="Arial" w:cs="Arial" w:eastAsia="Arial" w:hAnsi="Arial"/>
                <w:b/>
                <w:bCs/>
                <w:i w:val="false"/>
                <w:iCs w:val="false"/>
                <w:color w:val="1B3A6B"/>
                <w:sz w:val="20"/>
                <w:szCs w:val="20"/>
              </w:rPr>
              <w:t xml:space="preserve">Slicer de statut</w:t>
            </w:r>
            <w:r>
              <w:rPr>
                <w:rFonts w:ascii="Arial" w:cs="Arial" w:eastAsia="Arial" w:hAnsi="Arial"/>
                <w:b w:val="false"/>
                <w:bCs w:val="false"/>
                <w:i w:val="false"/>
                <w:iCs w:val="false"/>
                <w:color w:val="6B7280"/>
                <w:sz w:val="20"/>
                <w:szCs w:val="20"/>
              </w:rPr>
              <w:t xml:space="preserve">  —  </w:t>
            </w:r>
            <w:r>
              <w:rPr>
                <w:rFonts w:ascii="Arial" w:cs="Arial" w:eastAsia="Arial" w:hAnsi="Arial"/>
                <w:b/>
                <w:bCs/>
                <w:i w:val="false"/>
                <w:iCs w:val="false"/>
                <w:color w:val="2E75B6"/>
                <w:sz w:val="20"/>
                <w:szCs w:val="20"/>
              </w:rPr>
              <w:t xml:space="preserve">Pilotage opérationnel en temps réel</w:t>
            </w:r>
          </w:p>
          <w:p>
            <w:pPr>
              <w:spacing w:before="0" w:after="0"/>
              <w:jc w:val="both"/>
            </w:pPr>
            <w:r>
              <w:rPr>
                <w:rFonts w:ascii="Arial" w:cs="Arial" w:eastAsia="Arial" w:hAnsi="Arial"/>
                <w:b w:val="false"/>
                <w:bCs w:val="false"/>
                <w:i w:val="false"/>
                <w:iCs w:val="false"/>
                <w:color w:val="1A1A2E"/>
                <w:sz w:val="19"/>
                <w:szCs w:val="19"/>
              </w:rPr>
              <w:t xml:space="preserve">Segment dédié au statut de commande (Livré, En retard, Annulé) permettant un filtrage instantané des données. Les gestionnaires identifient en quelques secondes les zones ou catégories impactées par des retards.</w:t>
            </w:r>
          </w:p>
        </w:tc>
      </w:tr>
    </w:tbl>
    <w:p>
      <w:pPr>
        <w:spacing w:before="70" w:after="0"/>
      </w:pPr>
      <w:r>
        <w:t xml:space="preserve"/>
      </w:r>
    </w:p>
    <w:p>
      <w:pPr>
        <w:spacing w:before="100" w:after="50"/>
      </w:pPr>
      <w:r>
        <w:rPr>
          <w:rFonts w:ascii="Arial" w:cs="Arial" w:eastAsia="Arial" w:hAnsi="Arial"/>
          <w:b/>
          <w:bCs/>
          <w:i w:val="false"/>
          <w:iCs w:val="false"/>
          <w:color w:val="2E75B6"/>
          <w:sz w:val="23"/>
          <w:szCs w:val="23"/>
        </w:rPr>
        <w:t xml:space="preserve">Aperçu du Dashboard — Vue Globale</w:t>
      </w:r>
    </w:p>
    <w:p>
      <w:pPr>
        <w:spacing w:before="60" w:after="60"/>
        <w:jc w:val="center"/>
      </w:pPr>
      <w:r>
        <w:drawing>
          <wp:inline distT="0" distB="0" distL="0" distR="0">
            <wp:extent cx="5524500" cy="28575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before="50" w:after="0"/>
      </w:pPr>
      <w:r>
        <w:t xml:space="preserve"/>
      </w:r>
    </w:p>
    <w:p>
      <w:pPr>
        <w:spacing w:before="100" w:after="50"/>
      </w:pPr>
      <w:r>
        <w:rPr>
          <w:rFonts w:ascii="Arial" w:cs="Arial" w:eastAsia="Arial" w:hAnsi="Arial"/>
          <w:b/>
          <w:bCs/>
          <w:i w:val="false"/>
          <w:iCs w:val="false"/>
          <w:color w:val="2E75B6"/>
          <w:sz w:val="23"/>
          <w:szCs w:val="23"/>
        </w:rPr>
        <w:t xml:space="preserve">Filtrage par Statut : Livré vs En Retard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il" w:color="FFFFFF" w:sz="0"/>
              <w:left w:val="nil" w:color="FFFFFF" w:sz="0"/>
              <w:bottom w:val="nil" w:color="FFFFFF" w:sz="0"/>
              <w:right w:val="nil" w:color="FFFFFF" w:sz="0"/>
            </w:tcBorders>
            <w:tcMar>
              <w:top w:type="dxa" w:w="0"/>
              <w:left w:type="dxa" w:w="0"/>
              <w:bottom w:type="dxa" w:w="0"/>
              <w:right w:type="dxa" w:w="100"/>
            </w:tcMar>
          </w:tcPr>
          <w:p>
            <w:pPr>
              <w:spacing w:before="0" w:after="30"/>
              <w:jc w:val="center"/>
            </w:pPr>
            <w:r>
              <w:rPr>
                <w:rFonts w:ascii="Arial" w:cs="Arial" w:eastAsia="Arial" w:hAnsi="Arial"/>
                <w:b/>
                <w:bCs/>
                <w:i w:val="false"/>
                <w:iCs w:val="false"/>
                <w:color w:val="10B981"/>
                <w:sz w:val="19"/>
                <w:szCs w:val="19"/>
              </w:rPr>
              <w:t xml:space="preserve">Filtre : Livré</w:t>
            </w:r>
          </w:p>
          <w:p>
            <w:pPr>
              <w:jc w:val="center"/>
            </w:pPr>
            <w:r>
              <w:drawing>
                <wp:inline distT="0" distB="0" distL="0" distR="0">
                  <wp:extent cx="2762250" cy="1524000"/>
                  <wp:effectExtent t="0" r="0" b="0" l="0"/>
                  <wp:docPr id="1" name="livre" descr="Livré" title="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1524000"/>
                          </a:xfrm>
                          <a:prstGeom prst="rect">
                            <a:avLst/>
                          </a:prstGeom>
                        </pic:spPr>
                      </pic:pic>
                    </a:graphicData>
                  </a:graphic>
                </wp:inline>
              </w:drawing>
            </w:r>
          </w:p>
        </w:tc>
        <w:tc>
          <w:tcPr>
            <w:tcW w:type="dxa" w:w="4740"/>
            <w:tcBorders>
              <w:top w:val="nil" w:color="FFFFFF" w:sz="0"/>
              <w:left w:val="nil" w:color="FFFFFF" w:sz="0"/>
              <w:bottom w:val="nil" w:color="FFFFFF" w:sz="0"/>
              <w:right w:val="nil" w:color="FFFFFF" w:sz="0"/>
            </w:tcBorders>
            <w:tcMar>
              <w:top w:type="dxa" w:w="0"/>
              <w:left w:type="dxa" w:w="100"/>
              <w:bottom w:type="dxa" w:w="0"/>
              <w:right w:type="dxa" w:w="0"/>
            </w:tcMar>
          </w:tcPr>
          <w:p>
            <w:pPr>
              <w:spacing w:before="0" w:after="30"/>
              <w:jc w:val="center"/>
            </w:pPr>
            <w:r>
              <w:rPr>
                <w:rFonts w:ascii="Arial" w:cs="Arial" w:eastAsia="Arial" w:hAnsi="Arial"/>
                <w:b/>
                <w:bCs/>
                <w:i w:val="false"/>
                <w:iCs w:val="false"/>
                <w:color w:val="D97706"/>
                <w:sz w:val="19"/>
                <w:szCs w:val="19"/>
              </w:rPr>
              <w:t xml:space="preserve">Filtre : En Retard</w:t>
            </w:r>
          </w:p>
          <w:p>
            <w:pPr>
              <w:jc w:val="center"/>
            </w:pPr>
            <w:r>
              <w:drawing>
                <wp:inline distT="0" distB="0" distL="0" distR="0">
                  <wp:extent cx="2762250" cy="1524000"/>
                  <wp:effectExtent t="0" r="0" b="0" l="0"/>
                  <wp:docPr id="1" name="retard" descr="En Retard" title="re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524000"/>
                          </a:xfrm>
                          <a:prstGeom prst="rect">
                            <a:avLst/>
                          </a:prstGeom>
                        </pic:spPr>
                      </pic:pic>
                    </a:graphicData>
                  </a:graphic>
                </wp:inline>
              </w:drawing>
            </w:r>
          </w:p>
        </w:tc>
      </w:tr>
    </w:tbl>
    <w:p>
      <w:pPr>
        <w:spacing w:before="40" w:after="0"/>
      </w:pPr>
      <w:r>
        <w:t xml:space="preserve"/>
      </w:r>
    </w:p>
    <w:p>
      <w:pPr>
        <w:spacing w:before="100" w:after="50"/>
      </w:pPr>
      <w:r>
        <w:rPr>
          <w:rFonts w:ascii="Arial" w:cs="Arial" w:eastAsia="Arial" w:hAnsi="Arial"/>
          <w:b/>
          <w:bCs/>
          <w:i w:val="false"/>
          <w:iCs w:val="false"/>
          <w:color w:val="2E75B6"/>
          <w:sz w:val="23"/>
          <w:szCs w:val="23"/>
        </w:rPr>
        <w:t xml:space="preserve">Filtre : Annulé</w:t>
      </w:r>
    </w:p>
    <w:p>
      <w:pPr>
        <w:spacing w:before="60" w:after="60"/>
        <w:jc w:val="center"/>
      </w:pPr>
      <w:r>
        <w:drawing>
          <wp:inline distT="0" distB="0" distL="0" distR="0">
            <wp:extent cx="3810000" cy="200025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000250"/>
                    </a:xfrm>
                    <a:prstGeom prst="rect">
                      <a:avLst/>
                    </a:prstGeom>
                  </pic:spPr>
                </pic:pic>
              </a:graphicData>
            </a:graphic>
          </wp:inline>
        </w:drawing>
      </w:r>
    </w:p>
    <w:p>
      <w:pPr>
        <w:spacing w:before="7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5.   Résultats Clés par Ville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rPr>
          <w:tblHeader/>
        </w:trPr>
        <w:tc>
          <w:tcPr>
            <w:tcW w:type="dxa" w:w="13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Ville</w:t>
            </w:r>
          </w:p>
        </w:tc>
        <w:tc>
          <w:tcPr>
            <w:tcW w:type="dxa" w:w="22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Catégories</w:t>
            </w:r>
          </w:p>
        </w:tc>
        <w:tc>
          <w:tcPr>
            <w:tcW w:type="dxa" w:w="12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Montant</w:t>
            </w:r>
          </w:p>
        </w:tc>
        <w:tc>
          <w:tcPr>
            <w:tcW w:type="dxa" w:w="466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Constat</w:t>
            </w:r>
          </w:p>
        </w:tc>
      </w:tr>
      <w:tr>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Paris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High-Tech + Mobilier</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360 K€</w:t>
            </w:r>
          </w:p>
        </w:tc>
        <w:tc>
          <w:tcPr>
            <w:tcW w:type="dxa" w:w="4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Dominance Mobilier (210 K€) — marché le plus diversifié</w:t>
            </w:r>
          </w:p>
        </w:tc>
      </w:tr>
      <w:tr>
        <w:tc>
          <w:tcPr>
            <w:tcW w:type="dxa" w:w="13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Marseille</w:t>
            </w:r>
          </w:p>
        </w:tc>
        <w:tc>
          <w:tcPr>
            <w:tcW w:type="dxa" w:w="22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High-Tech uniquement</w:t>
            </w:r>
          </w:p>
        </w:tc>
        <w:tc>
          <w:tcPr>
            <w:tcW w:type="dxa" w:w="12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150 K€</w:t>
            </w:r>
          </w:p>
        </w:tc>
        <w:tc>
          <w:tcPr>
            <w:tcW w:type="dxa" w:w="46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Concentration exclusive High-Tech</w:t>
            </w:r>
          </w:p>
        </w:tc>
      </w:tr>
      <w:tr>
        <w:tc>
          <w:tcPr>
            <w:tcW w:type="dxa" w:w="1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Lille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High-Tech uniquement</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85 K€</w:t>
            </w:r>
          </w:p>
        </w:tc>
        <w:tc>
          <w:tcPr>
            <w:tcW w:type="dxa" w:w="46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Performance High-Tech seule</w:t>
            </w:r>
          </w:p>
        </w:tc>
      </w:tr>
      <w:tr>
        <w:tc>
          <w:tcPr>
            <w:tcW w:type="dxa" w:w="13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Lyon</w:t>
            </w:r>
          </w:p>
        </w:tc>
        <w:tc>
          <w:tcPr>
            <w:tcW w:type="dxa" w:w="22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High-Tech uniquement</w:t>
            </w:r>
          </w:p>
        </w:tc>
        <w:tc>
          <w:tcPr>
            <w:tcW w:type="dxa" w:w="12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85 K€</w:t>
            </w:r>
          </w:p>
        </w:tc>
        <w:tc>
          <w:tcPr>
            <w:tcW w:type="dxa" w:w="46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Concentration exclusive High-Tech</w:t>
            </w:r>
          </w:p>
        </w:tc>
      </w:tr>
    </w:tbl>
    <w:p>
      <w:pPr>
        <w:spacing w:before="80" w:after="0"/>
      </w:pPr>
      <w:r>
        <w:t xml:space="preserve"/>
      </w:r>
    </w:p>
    <w:p>
      <w:pPr>
        <w:pBdr>
          <w:left w:val="single" w:color="2E75B6" w:sz="18" w:space="10"/>
        </w:pBdr>
        <w:spacing w:before="140" w:after="80"/>
      </w:pPr>
      <w:r>
        <w:rPr>
          <w:rFonts w:ascii="Arial" w:cs="Arial" w:eastAsia="Arial" w:hAnsi="Arial"/>
          <w:b/>
          <w:bCs/>
          <w:i w:val="false"/>
          <w:iCs w:val="false"/>
          <w:color w:val="1B3A6B"/>
          <w:sz w:val="26"/>
          <w:szCs w:val="26"/>
        </w:rPr>
        <w:t xml:space="preserve">6.   Compétences et Expertise Déployées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Domaine</w:t>
            </w:r>
          </w:p>
        </w:tc>
        <w:tc>
          <w:tcPr>
            <w:tcW w:type="dxa" w:w="516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800"/>
            <w:tcBorders>
              <w:top w:val="single" w:color="D1D5DB" w:sz="1"/>
              <w:left w:val="single" w:color="D1D5DB" w:sz="1"/>
              <w:bottom w:val="single" w:color="D1D5DB" w:sz="1"/>
              <w:right w:val="single" w:color="D1D5DB" w:sz="1"/>
            </w:tcBorders>
            <w:shd w:fill="1B3A6B" w:val="clear"/>
            <w:tcMar>
              <w:top w:type="dxa" w:w="70"/>
              <w:left w:type="dxa" w:w="120"/>
              <w:bottom w:type="dxa" w:w="70"/>
              <w:right w:type="dxa" w:w="120"/>
            </w:tcMar>
            <w:vAlign w:val="center"/>
          </w:tcPr>
          <w:p>
            <w:pPr>
              <w:jc w:val="left"/>
            </w:pPr>
            <w:r>
              <w:rPr>
                <w:rFonts w:ascii="Arial" w:cs="Arial" w:eastAsia="Arial" w:hAnsi="Arial"/>
                <w:b/>
                <w:bCs/>
                <w:i w:val="false"/>
                <w:iCs w:val="false"/>
                <w:color w:val="FFFFFF"/>
                <w:sz w:val="18"/>
                <w:szCs w:val="18"/>
              </w:rPr>
              <w:t xml:space="preserve">Niveau</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Power BI Service</w:t>
            </w:r>
          </w:p>
        </w:tc>
        <w:tc>
          <w:tcPr>
            <w:tcW w:type="dxa" w:w="5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Interface, publication et gestion des rapports en mode modification.</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Avancé</w:t>
            </w:r>
          </w:p>
        </w:tc>
      </w:tr>
      <w:tr>
        <w:tc>
          <w:tcPr>
            <w:tcW w:type="dxa" w:w="24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Modélisation de Données</w:t>
            </w:r>
          </w:p>
        </w:tc>
        <w:tc>
          <w:tcPr>
            <w:tcW w:type="dxa" w:w="51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Schéma en étoile relationnel complexe pour analyses multidimensionnelles.</w:t>
            </w:r>
          </w:p>
        </w:tc>
        <w:tc>
          <w:tcPr>
            <w:tcW w:type="dxa" w:w="18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Expert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Data Visualisation</w:t>
            </w:r>
          </w:p>
        </w:tc>
        <w:tc>
          <w:tcPr>
            <w:tcW w:type="dxa" w:w="5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Choix et conception de visuels adaptés aux indicateurs et aux besoins métier.</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Avancé</w:t>
            </w:r>
          </w:p>
        </w:tc>
      </w:tr>
      <w:tr>
        <w:tc>
          <w:tcPr>
            <w:tcW w:type="dxa" w:w="24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ETL (Power Query)</w:t>
            </w:r>
          </w:p>
        </w:tc>
        <w:tc>
          <w:tcPr>
            <w:tcW w:type="dxa" w:w="516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Nettoyage, transformation et chargement pour fiabilisation des données.</w:t>
            </w:r>
          </w:p>
        </w:tc>
        <w:tc>
          <w:tcPr>
            <w:tcW w:type="dxa" w:w="1800"/>
            <w:tcBorders>
              <w:top w:val="single" w:color="D1D5DB" w:sz="1"/>
              <w:left w:val="single" w:color="D1D5DB" w:sz="1"/>
              <w:bottom w:val="single" w:color="D1D5DB" w:sz="1"/>
              <w:right w:val="single" w:color="D1D5DB" w:sz="1"/>
            </w:tcBorders>
            <w:shd w:fill="EEF5FB"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Expert</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Analyse Multidimensionnelle</w:t>
            </w:r>
          </w:p>
        </w:tc>
        <w:tc>
          <w:tcPr>
            <w:tcW w:type="dxa" w:w="5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Croisement ventes × clients × produits pour des insights approfondis.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i w:val="false"/>
                <w:iCs w:val="false"/>
                <w:color w:val="1A1A2E"/>
                <w:sz w:val="18"/>
                <w:szCs w:val="18"/>
              </w:rPr>
              <w:t xml:space="preserve">Avancé</w:t>
            </w:r>
          </w:p>
        </w:tc>
      </w:tr>
    </w:tbl>
    <w:p>
      <w:pPr>
        <w:spacing w:before="80" w:after="0"/>
      </w:pPr>
      <w:r>
        <w:t xml:space="preserve"/>
      </w:r>
    </w:p>
    <w:p>
      <w:pPr>
        <w:pBdr>
          <w:left w:val="single" w:color="C9A84C" w:sz="18" w:space="10"/>
        </w:pBdr>
        <w:spacing w:before="140" w:after="80"/>
      </w:pPr>
      <w:r>
        <w:rPr>
          <w:rFonts w:ascii="Arial" w:cs="Arial" w:eastAsia="Arial" w:hAnsi="Arial"/>
          <w:b/>
          <w:bCs/>
          <w:i w:val="false"/>
          <w:iCs w:val="false"/>
          <w:color w:val="1B3A6B"/>
          <w:sz w:val="26"/>
          <w:szCs w:val="26"/>
        </w:rPr>
        <w:t xml:space="preserve">   Conclusion</w:t>
      </w:r>
    </w:p>
    <w:p>
      <w:pPr>
        <w:spacing w:before="40" w:after="40"/>
        <w:jc w:val="both"/>
      </w:pPr>
      <w:r>
        <w:rPr>
          <w:rFonts w:ascii="Arial" w:cs="Arial" w:eastAsia="Arial" w:hAnsi="Arial"/>
          <w:b w:val="false"/>
          <w:bCs w:val="false"/>
          <w:i w:val="false"/>
          <w:iCs w:val="false"/>
          <w:color w:val="1A1A2E"/>
          <w:sz w:val="21"/>
          <w:szCs w:val="21"/>
        </w:rPr>
        <w:t xml:space="preserve">Cette solution de Business Intelligence constitue un outil stratégique complet pour le pilotage commercial et logistique. L'architecture en étoile, couplée à des processus ETL rigoureux et des visualisations interactives, offre une plateforme d'analyse fiable et évolutive.</w:t>
      </w:r>
    </w:p>
    <w:p>
      <w:pPr>
        <w:spacing w:before="40" w:after="60"/>
        <w:jc w:val="both"/>
      </w:pPr>
      <w:r>
        <w:rPr>
          <w:rFonts w:ascii="Arial" w:cs="Arial" w:eastAsia="Arial" w:hAnsi="Arial"/>
          <w:b w:val="false"/>
          <w:bCs w:val="false"/>
          <w:i w:val="false"/>
          <w:iCs w:val="false"/>
          <w:color w:val="1A1A2E"/>
          <w:sz w:val="21"/>
          <w:szCs w:val="21"/>
        </w:rPr>
        <w:t xml:space="preserve">Les insights obtenus — dominance de Paris sur le Mobilier, concentration High-Tech à Lyon et Marseille, suivi en temps réel des statuts de commande — constituent des leviers d'action concrets pour l'optimisation des stratégies commerciales.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1B3A6B" w:val="clear"/>
            <w:tcMar>
              <w:top w:type="dxa" w:w="160"/>
              <w:left w:type="dxa" w:w="300"/>
              <w:bottom w:type="dxa" w:w="160"/>
              <w:right w:type="dxa" w:w="300"/>
            </w:tcMar>
          </w:tcPr>
          <w:p>
            <w:pPr>
              <w:spacing w:before="0" w:after="30"/>
              <w:jc w:val="center"/>
            </w:pPr>
            <w:r>
              <w:rPr>
                <w:rFonts w:ascii="Arial" w:cs="Arial" w:eastAsia="Arial" w:hAnsi="Arial"/>
                <w:b/>
                <w:bCs/>
                <w:i w:val="false"/>
                <w:iCs w:val="false"/>
                <w:color w:val="C9A84C"/>
                <w:sz w:val="18"/>
                <w:szCs w:val="18"/>
              </w:rPr>
              <w:t xml:space="preserve">CONFIDENTIEL — USAGE INTERNE UNIQUEMENT</w:t>
            </w:r>
          </w:p>
          <w:p>
            <w:pPr>
              <w:spacing w:before="0" w:after="0"/>
              <w:jc w:val="center"/>
            </w:pPr>
            <w:r>
              <w:rPr>
                <w:rFonts w:ascii="Arial" w:cs="Arial" w:eastAsia="Arial" w:hAnsi="Arial"/>
                <w:b w:val="false"/>
                <w:bCs w:val="false"/>
                <w:i w:val="false"/>
                <w:iCs w:val="false"/>
                <w:color w:val="A8C8E8"/>
                <w:sz w:val="17"/>
                <w:szCs w:val="17"/>
              </w:rPr>
              <w:t xml:space="preserve">Data Intelligence &amp; Stratégie  ·  Mars 2026</w:t>
            </w:r>
          </w:p>
        </w:tc>
      </w:tr>
    </w:tbl>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5" w:sz="3" w:space="6"/>
      </w:pBdr>
      <w:tabs>
        <w:tab w:val="right" w:pos="9360"/>
      </w:tabs>
      <w:spacing w:before="80" w:after="0"/>
    </w:pPr>
    <w:r>
      <w:rPr>
        <w:rFonts w:ascii="Arial" w:cs="Arial" w:eastAsia="Arial" w:hAnsi="Arial"/>
        <w:b w:val="false"/>
        <w:bCs w:val="false"/>
        <w:i w:val="false"/>
        <w:iCs w:val="false"/>
        <w:color w:val="6B7280"/>
        <w:sz w:val="16"/>
        <w:szCs w:val="16"/>
      </w:rPr>
      <w:t xml:space="preserve">CONFIDENTIEL — Usage interne</w:t>
    </w:r>
    <w:r>
      <w:rPr>
        <w:rFonts w:ascii="Arial" w:cs="Arial" w:eastAsia="Arial" w:hAnsi="Arial"/>
        <w:b w:val="false"/>
        <w:bCs w:val="false"/>
        <w:i w:val="false"/>
        <w:iCs w:val="false"/>
        <w:color w:val="6B7280"/>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360"/>
      </w:tabs>
      <w:spacing w:before="0" w:after="100"/>
    </w:pPr>
    <w:r>
      <w:rPr>
        <w:rFonts w:ascii="Arial" w:cs="Arial" w:eastAsia="Arial" w:hAnsi="Arial"/>
        <w:b w:val="false"/>
        <w:bCs w:val="false"/>
        <w:i w:val="false"/>
        <w:iCs w:val="false"/>
        <w:color w:val="6B7280"/>
        <w:sz w:val="17"/>
        <w:szCs w:val="17"/>
      </w:rPr>
      <w:t xml:space="preserve">Rapport d'Analyse Stratégique  ·  Dashboard E-Commerce &amp; Logistique</w:t>
    </w:r>
    <w:r>
      <w:rPr>
        <w:rFonts w:ascii="Arial" w:cs="Arial" w:eastAsia="Arial" w:hAnsi="Arial"/>
        <w:b/>
        <w:bCs/>
        <w:i w:val="false"/>
        <w:iCs w:val="false"/>
        <w:color w:val="2E75B6"/>
        <w:sz w:val="17"/>
        <w:szCs w:val="17"/>
      </w:rPr>
      <w:t xml:space="preserve">	DATA INTELLIGENCE &amp; STRATÉGIE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fa3a9794573feeffceefdcdd01cb132304faf0e.png"/><Relationship Id="rId9" Type="http://schemas.openxmlformats.org/officeDocument/2006/relationships/image" Target="media/c9b007521a7202a557c3a97f9bad807ed1fb8613.png"/><Relationship Id="rId10" Type="http://schemas.openxmlformats.org/officeDocument/2006/relationships/image" Target="media/cf3f33b661d6d4d7b20741fa9a6c36d2c3f19796.png"/><Relationship Id="rId11" Type="http://schemas.openxmlformats.org/officeDocument/2006/relationships/image" Target="media/8f5f1192636c3f20c8eab81de7095f6430e89cab.png"/><Relationship Id="rId12" Type="http://schemas.openxmlformats.org/officeDocument/2006/relationships/image" Target="media/902ca2e5eedd45669df89ab2e73bdcaf37b05e66.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2026-03-26T00:23:48.234Z</dcterms:created>
  <dcterms:modified xsi:type="dcterms:W3CDTF">2026-03-26T00:23:48.235Z</dcterms:modified>
</cp:coreProperties>
</file>

<file path=docProps/custom.xml><?xml version="1.0" encoding="utf-8"?>
<Properties xmlns="http://schemas.openxmlformats.org/officeDocument/2006/custom-properties" xmlns:vt="http://schemas.openxmlformats.org/officeDocument/2006/docPropsVTypes"/>
</file>