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0"/>
      </w:pPr>
      <w:r>
        <w:rPr>
          <w:rFonts w:ascii="Arial" w:cs="Arial" w:eastAsia="Arial" w:hAnsi="Arial"/>
          <w:b/>
          <w:bCs/>
          <w:caps/>
          <w:color w:val="0D0D0D"/>
          <w:sz w:val="48"/>
          <w:szCs w:val="48"/>
        </w:rPr>
        <w:t xml:space="preserve">INSTITUTIONAL</w:t>
      </w:r>
    </w:p>
    <w:p>
      <w:pPr>
        <w:spacing w:after="60"/>
      </w:pPr>
      <w:r>
        <w:rPr>
          <w:rFonts w:ascii="Arial" w:cs="Arial" w:eastAsia="Arial" w:hAnsi="Arial"/>
          <w:b/>
          <w:bCs/>
          <w:caps/>
          <w:color w:val="8B0000"/>
          <w:sz w:val="48"/>
          <w:szCs w:val="48"/>
        </w:rPr>
        <w:t xml:space="preserve">LICENSING TERMS</w:t>
      </w:r>
    </w:p>
    <w:p>
      <w:pPr>
        <w:spacing w:after="40"/>
      </w:pPr>
      <w:r>
        <w:rPr>
          <w:rFonts w:ascii="Arial" w:cs="Arial" w:eastAsia="Arial" w:hAnsi="Arial"/>
          <w:color w:val="888888"/>
          <w:sz w:val="22"/>
          <w:szCs w:val="22"/>
        </w:rPr>
        <w:t xml:space="preserve">Catalyst OS  |  Admin &amp; Licensing Pack</w:t>
      </w:r>
    </w:p>
    <w:p>
      <w:pPr>
        <w:spacing w:after="240"/>
      </w:pPr>
      <w:r>
        <w:rPr>
          <w:rFonts w:ascii="Arial" w:cs="Arial" w:eastAsia="Arial" w:hAnsi="Arial"/>
          <w:color w:val="AAAAAA"/>
          <w:sz w:val="20"/>
          <w:szCs w:val="20"/>
        </w:rPr>
        <w:t xml:space="preserve">Version 1.0  —  2026  —  Lagos, Nigeria  —  All Rights Reserved</w:t>
      </w:r>
    </w:p>
    <w:p>
      <w:pPr>
        <w:pBdr>
          <w:bottom w:val="single" w:color="8B0000" w:sz="6" w:space="1"/>
        </w:pBdr>
        <w:spacing w:after="200"/>
      </w:pPr>
    </w:p>
    <w:p>
      <w:pPr>
        <w:spacing w:after="120" w:before="360"/>
      </w:pPr>
      <w:r>
        <w:rPr>
          <w:rFonts w:ascii="Arial" w:cs="Arial" w:eastAsia="Arial" w:hAnsi="Arial"/>
          <w:b/>
          <w:bCs/>
          <w:caps/>
          <w:color w:val="8B0000"/>
          <w:sz w:val="18"/>
          <w:szCs w:val="18"/>
        </w:rPr>
        <w:t xml:space="preserve">PREAMBLE</w:t>
      </w:r>
    </w:p>
    <w:p>
      <w:pPr>
        <w:spacing w:after="120"/>
        <w:jc w:val="both"/>
      </w:pPr>
      <w:r>
        <w:rPr>
          <w:rFonts w:ascii="Arial" w:cs="Arial" w:eastAsia="Arial" w:hAnsi="Arial"/>
          <w:color w:val="1A1A1A"/>
          <w:sz w:val="20"/>
          <w:szCs w:val="20"/>
        </w:rPr>
        <w:t xml:space="preserve">These Institutional Licensing Terms (hereinafter referred to as 'the Terms') govern all use of Catalyst OS intellectual property, frameworks, methodologies, written content, course materials, branded documents, philosophical systems, and associated media (hereinafter collectively referred to as 'the IP') by educational institutions, training organisations, government bodies, corporations, and any other non-individual entity.</w:t>
      </w:r>
    </w:p>
    <w:p>
      <w:pPr>
        <w:spacing w:after="120"/>
        <w:jc w:val="both"/>
      </w:pPr>
      <w:r>
        <w:rPr>
          <w:rFonts w:ascii="Arial" w:cs="Arial" w:eastAsia="Arial" w:hAnsi="Arial"/>
          <w:color w:val="1A1A1A"/>
          <w:sz w:val="20"/>
          <w:szCs w:val="20"/>
        </w:rPr>
        <w:t xml:space="preserve">The IP was created by and remains the exclusive property of Oluwatobiloba (operating as The Catalyst), Lagos, Nigeria. Any use of the IP beyond personal, non-commercial reading requires a valid license obtained directly from The Catalyst or an authorised representative.</w:t>
      </w:r>
    </w:p>
    <w:p>
      <w:pPr>
        <w:spacing w:after="120"/>
        <w:jc w:val="both"/>
      </w:pPr>
      <w:r>
        <w:rPr>
          <w:rFonts w:ascii="Arial" w:cs="Arial" w:eastAsia="Arial" w:hAnsi="Arial"/>
          <w:color w:val="1A1A1A"/>
          <w:sz w:val="20"/>
          <w:szCs w:val="20"/>
        </w:rPr>
        <w:t xml:space="preserve">By using, distributing, teaching, or referencing the IP, the Licensee agrees to be bound by these Terms in full.</w:t>
      </w:r>
    </w:p>
    <w:p>
      <w:pPr>
        <w:spacing w:after="160"/>
      </w:pPr>
    </w:p>
    <w:p>
      <w:pPr>
        <w:spacing w:after="120" w:before="360"/>
      </w:pPr>
      <w:r>
        <w:rPr>
          <w:rFonts w:ascii="Arial" w:cs="Arial" w:eastAsia="Arial" w:hAnsi="Arial"/>
          <w:b/>
          <w:bCs/>
          <w:caps/>
          <w:color w:val="8B0000"/>
          <w:sz w:val="18"/>
          <w:szCs w:val="18"/>
        </w:rPr>
        <w:t xml:space="preserve">SECTION 01 — DEFINITIONS</w:t>
      </w:r>
    </w:p>
    <w:p>
      <w:pPr>
        <w:spacing w:after="80" w:before="240"/>
      </w:pPr>
      <w:r>
        <w:rPr>
          <w:rFonts w:ascii="Arial" w:cs="Arial" w:eastAsia="Arial" w:hAnsi="Arial"/>
          <w:b/>
          <w:bCs/>
          <w:color w:val="8B0000"/>
          <w:sz w:val="26"/>
          <w:szCs w:val="26"/>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0000" w:val="clear"/>
            <w:tcMar>
              <w:top w:type="dxa" w:w="100"/>
              <w:left w:type="dxa" w:w="160"/>
              <w:bottom w:type="dxa" w:w="100"/>
              <w:right w:type="dxa" w:w="160"/>
            </w:tcMar>
          </w:tcPr>
          <w:p>
            <w:r>
              <w:rPr>
                <w:rFonts w:ascii="Arial" w:cs="Arial" w:eastAsia="Arial" w:hAnsi="Arial"/>
                <w:b/>
                <w:bCs/>
                <w:color w:val="8B0000"/>
                <w:sz w:val="20"/>
                <w:szCs w:val="20"/>
              </w:rPr>
              <w:t xml:space="preserve">Term</w:t>
            </w:r>
          </w:p>
        </w:tc>
        <w:tc>
          <w:tcPr>
            <w:tcW w:type="dxa" w:w="6560"/>
            <w:tcBorders>
              <w:top w:val="single" w:color="CCCCCC" w:sz="1"/>
              <w:left w:val="single" w:color="CCCCCC" w:sz="1"/>
              <w:bottom w:val="single" w:color="CCCCCC" w:sz="1"/>
              <w:right w:val="single" w:color="CCCCCC" w:sz="1"/>
            </w:tcBorders>
            <w:shd w:fill="1A0000" w:val="clear"/>
            <w:tcMar>
              <w:top w:type="dxa" w:w="100"/>
              <w:left w:type="dxa" w:w="160"/>
              <w:bottom w:type="dxa" w:w="100"/>
              <w:right w:type="dxa" w:w="160"/>
            </w:tcMar>
          </w:tcPr>
          <w:p>
            <w:r>
              <w:rPr>
                <w:rFonts w:ascii="Arial" w:cs="Arial" w:eastAsia="Arial" w:hAnsi="Arial"/>
                <w:b/>
                <w:bCs/>
                <w:color w:val="8B0000"/>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DDDD" w:val="clear"/>
            <w:tcMar>
              <w:top w:type="dxa" w:w="80"/>
              <w:left w:type="dxa" w:w="160"/>
              <w:bottom w:type="dxa" w:w="80"/>
              <w:right w:type="dxa" w:w="160"/>
            </w:tcMar>
          </w:tcPr>
          <w:p>
            <w:r>
              <w:rPr>
                <w:rFonts w:ascii="Arial" w:cs="Arial" w:eastAsia="Arial" w:hAnsi="Arial"/>
                <w:b/>
                <w:bCs/>
                <w:color w:val="8B0000"/>
                <w:sz w:val="20"/>
                <w:szCs w:val="20"/>
              </w:rPr>
              <w:t xml:space="preserve">The Licensor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1A1A1A"/>
                <w:sz w:val="20"/>
                <w:szCs w:val="20"/>
              </w:rPr>
              <w:t xml:space="preserve">Oluwatobiloba, trading as The Catalyst, Lagos, Nigeria</w:t>
            </w:r>
          </w:p>
        </w:tc>
      </w:tr>
      <w:tr>
        <w:tc>
          <w:tcPr>
            <w:tcW w:type="dxa" w:w="2800"/>
            <w:tcBorders>
              <w:top w:val="single" w:color="CCCCCC" w:sz="1"/>
              <w:left w:val="single" w:color="CCCCCC" w:sz="1"/>
              <w:bottom w:val="single" w:color="CCCCCC" w:sz="1"/>
              <w:right w:val="single" w:color="CCCCCC" w:sz="1"/>
            </w:tcBorders>
            <w:shd w:fill="FAF0F0" w:val="clear"/>
            <w:tcMar>
              <w:top w:type="dxa" w:w="80"/>
              <w:left w:type="dxa" w:w="160"/>
              <w:bottom w:type="dxa" w:w="80"/>
              <w:right w:type="dxa" w:w="160"/>
            </w:tcMar>
          </w:tcPr>
          <w:p>
            <w:r>
              <w:rPr>
                <w:rFonts w:ascii="Arial" w:cs="Arial" w:eastAsia="Arial" w:hAnsi="Arial"/>
                <w:b/>
                <w:bCs/>
                <w:color w:val="8B0000"/>
                <w:sz w:val="20"/>
                <w:szCs w:val="20"/>
              </w:rPr>
              <w:t xml:space="preserve">The Licensee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The institution, organisation, or entity entering into this agreement</w:t>
            </w:r>
          </w:p>
        </w:tc>
      </w:tr>
      <w:tr>
        <w:tc>
          <w:tcPr>
            <w:tcW w:type="dxa" w:w="2800"/>
            <w:tcBorders>
              <w:top w:val="single" w:color="CCCCCC" w:sz="1"/>
              <w:left w:val="single" w:color="CCCCCC" w:sz="1"/>
              <w:bottom w:val="single" w:color="CCCCCC" w:sz="1"/>
              <w:right w:val="single" w:color="CCCCCC" w:sz="1"/>
            </w:tcBorders>
            <w:shd w:fill="F5DDDD" w:val="clear"/>
            <w:tcMar>
              <w:top w:type="dxa" w:w="80"/>
              <w:left w:type="dxa" w:w="160"/>
              <w:bottom w:type="dxa" w:w="80"/>
              <w:right w:type="dxa" w:w="160"/>
            </w:tcMar>
          </w:tcPr>
          <w:p>
            <w:r>
              <w:rPr>
                <w:rFonts w:ascii="Arial" w:cs="Arial" w:eastAsia="Arial" w:hAnsi="Arial"/>
                <w:b/>
                <w:bCs/>
                <w:color w:val="8B0000"/>
                <w:sz w:val="20"/>
                <w:szCs w:val="20"/>
              </w:rPr>
              <w:t xml:space="preserve">The IP</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1A1A1A"/>
                <w:sz w:val="20"/>
                <w:szCs w:val="20"/>
              </w:rPr>
              <w:t xml:space="preserve">All Catalyst OS materials — written, spoken, visual, and systemic</w:t>
            </w:r>
          </w:p>
        </w:tc>
      </w:tr>
      <w:tr>
        <w:tc>
          <w:tcPr>
            <w:tcW w:type="dxa" w:w="2800"/>
            <w:tcBorders>
              <w:top w:val="single" w:color="CCCCCC" w:sz="1"/>
              <w:left w:val="single" w:color="CCCCCC" w:sz="1"/>
              <w:bottom w:val="single" w:color="CCCCCC" w:sz="1"/>
              <w:right w:val="single" w:color="CCCCCC" w:sz="1"/>
            </w:tcBorders>
            <w:shd w:fill="FAF0F0" w:val="clear"/>
            <w:tcMar>
              <w:top w:type="dxa" w:w="80"/>
              <w:left w:type="dxa" w:w="160"/>
              <w:bottom w:type="dxa" w:w="80"/>
              <w:right w:type="dxa" w:w="160"/>
            </w:tcMar>
          </w:tcPr>
          <w:p>
            <w:r>
              <w:rPr>
                <w:rFonts w:ascii="Arial" w:cs="Arial" w:eastAsia="Arial" w:hAnsi="Arial"/>
                <w:b/>
                <w:bCs/>
                <w:color w:val="8B0000"/>
                <w:sz w:val="20"/>
                <w:szCs w:val="20"/>
              </w:rPr>
              <w:t xml:space="preserve">Licensed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Specific permitted use as defined in Section 02</w:t>
            </w:r>
          </w:p>
        </w:tc>
      </w:tr>
      <w:tr>
        <w:tc>
          <w:tcPr>
            <w:tcW w:type="dxa" w:w="2800"/>
            <w:tcBorders>
              <w:top w:val="single" w:color="CCCCCC" w:sz="1"/>
              <w:left w:val="single" w:color="CCCCCC" w:sz="1"/>
              <w:bottom w:val="single" w:color="CCCCCC" w:sz="1"/>
              <w:right w:val="single" w:color="CCCCCC" w:sz="1"/>
            </w:tcBorders>
            <w:shd w:fill="F5DDDD" w:val="clear"/>
            <w:tcMar>
              <w:top w:type="dxa" w:w="80"/>
              <w:left w:type="dxa" w:w="160"/>
              <w:bottom w:type="dxa" w:w="80"/>
              <w:right w:type="dxa" w:w="160"/>
            </w:tcMar>
          </w:tcPr>
          <w:p>
            <w:r>
              <w:rPr>
                <w:rFonts w:ascii="Arial" w:cs="Arial" w:eastAsia="Arial" w:hAnsi="Arial"/>
                <w:b/>
                <w:bCs/>
                <w:color w:val="8B0000"/>
                <w:sz w:val="20"/>
                <w:szCs w:val="20"/>
              </w:rPr>
              <w:t xml:space="preserve">Attribution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1A1A1A"/>
                <w:sz w:val="20"/>
                <w:szCs w:val="20"/>
              </w:rPr>
              <w:t xml:space="preserve">Credit to The Catalyst in the required format per Section 03</w:t>
            </w:r>
          </w:p>
        </w:tc>
      </w:tr>
      <w:tr>
        <w:tc>
          <w:tcPr>
            <w:tcW w:type="dxa" w:w="2800"/>
            <w:tcBorders>
              <w:top w:val="single" w:color="CCCCCC" w:sz="1"/>
              <w:left w:val="single" w:color="CCCCCC" w:sz="1"/>
              <w:bottom w:val="single" w:color="CCCCCC" w:sz="1"/>
              <w:right w:val="single" w:color="CCCCCC" w:sz="1"/>
            </w:tcBorders>
            <w:shd w:fill="FAF0F0" w:val="clear"/>
            <w:tcMar>
              <w:top w:type="dxa" w:w="80"/>
              <w:left w:type="dxa" w:w="160"/>
              <w:bottom w:type="dxa" w:w="80"/>
              <w:right w:type="dxa" w:w="160"/>
            </w:tcMar>
          </w:tcPr>
          <w:p>
            <w:r>
              <w:rPr>
                <w:rFonts w:ascii="Arial" w:cs="Arial" w:eastAsia="Arial" w:hAnsi="Arial"/>
                <w:b/>
                <w:bCs/>
                <w:color w:val="8B0000"/>
                <w:sz w:val="20"/>
                <w:szCs w:val="20"/>
              </w:rPr>
              <w:t xml:space="preserve">Derivative 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Any work that adapts, builds upon, or incorporates the IP</w:t>
            </w:r>
          </w:p>
        </w:tc>
      </w:tr>
      <w:tr>
        <w:tc>
          <w:tcPr>
            <w:tcW w:type="dxa" w:w="2800"/>
            <w:tcBorders>
              <w:top w:val="single" w:color="CCCCCC" w:sz="1"/>
              <w:left w:val="single" w:color="CCCCCC" w:sz="1"/>
              <w:bottom w:val="single" w:color="CCCCCC" w:sz="1"/>
              <w:right w:val="single" w:color="CCCCCC" w:sz="1"/>
            </w:tcBorders>
            <w:shd w:fill="F5DDDD" w:val="clear"/>
            <w:tcMar>
              <w:top w:type="dxa" w:w="80"/>
              <w:left w:type="dxa" w:w="160"/>
              <w:bottom w:type="dxa" w:w="80"/>
              <w:right w:type="dxa" w:w="160"/>
            </w:tcMar>
          </w:tcPr>
          <w:p>
            <w:r>
              <w:rPr>
                <w:rFonts w:ascii="Arial" w:cs="Arial" w:eastAsia="Arial" w:hAnsi="Arial"/>
                <w:b/>
                <w:bCs/>
                <w:color w:val="8B0000"/>
                <w:sz w:val="20"/>
                <w:szCs w:val="20"/>
              </w:rPr>
              <w:t xml:space="preserve">Territory</w:t>
            </w:r>
          </w:p>
        </w:tc>
        <w:tc>
          <w:tcPr>
            <w:tcW w:type="dxa" w:w="65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1A1A1A"/>
                <w:sz w:val="20"/>
                <w:szCs w:val="20"/>
              </w:rPr>
              <w:t xml:space="preserve">Geographic region in which licensed use is permitted</w:t>
            </w:r>
          </w:p>
        </w:tc>
      </w:tr>
      <w:tr>
        <w:tc>
          <w:tcPr>
            <w:tcW w:type="dxa" w:w="2800"/>
            <w:tcBorders>
              <w:top w:val="single" w:color="CCCCCC" w:sz="1"/>
              <w:left w:val="single" w:color="CCCCCC" w:sz="1"/>
              <w:bottom w:val="single" w:color="CCCCCC" w:sz="1"/>
              <w:right w:val="single" w:color="CCCCCC" w:sz="1"/>
            </w:tcBorders>
            <w:shd w:fill="FAF0F0" w:val="clear"/>
            <w:tcMar>
              <w:top w:type="dxa" w:w="80"/>
              <w:left w:type="dxa" w:w="160"/>
              <w:bottom w:type="dxa" w:w="80"/>
              <w:right w:type="dxa" w:w="160"/>
            </w:tcMar>
          </w:tcPr>
          <w:p>
            <w:r>
              <w:rPr>
                <w:rFonts w:ascii="Arial" w:cs="Arial" w:eastAsia="Arial" w:hAnsi="Arial"/>
                <w:b/>
                <w:bCs/>
                <w:color w:val="8B0000"/>
                <w:sz w:val="20"/>
                <w:szCs w:val="20"/>
              </w:rPr>
              <w:t xml:space="preserve">Term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Duration of the license as specified in the license agreement</w:t>
            </w:r>
          </w:p>
        </w:tc>
      </w:tr>
    </w:tbl>
    <w:p>
      <w:pPr>
        <w:spacing w:after="240"/>
      </w:pPr>
    </w:p>
    <w:p>
      <w:pPr>
        <w:spacing w:after="120" w:before="360"/>
      </w:pPr>
      <w:r>
        <w:rPr>
          <w:rFonts w:ascii="Arial" w:cs="Arial" w:eastAsia="Arial" w:hAnsi="Arial"/>
          <w:b/>
          <w:bCs/>
          <w:caps/>
          <w:color w:val="8B0000"/>
          <w:sz w:val="18"/>
          <w:szCs w:val="18"/>
        </w:rPr>
        <w:t xml:space="preserve">SECTION 02 — LICENSE TYPES &amp; PERMITTED USE</w:t>
      </w:r>
    </w:p>
    <w:p>
      <w:pPr>
        <w:spacing w:after="80" w:before="240"/>
      </w:pPr>
      <w:r>
        <w:rPr>
          <w:rFonts w:ascii="Arial" w:cs="Arial" w:eastAsia="Arial" w:hAnsi="Arial"/>
          <w:b/>
          <w:bCs/>
          <w:color w:val="8B0000"/>
          <w:sz w:val="26"/>
          <w:szCs w:val="26"/>
        </w:rPr>
        <w:t xml:space="preserve">Available License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c>
          <w:tcPr>
            <w:tcW w:type="dxa" w:w="2000"/>
            <w:tcBorders>
              <w:top w:val="single" w:color="CCCCCC" w:sz="1"/>
              <w:left w:val="single" w:color="CCCCCC" w:sz="1"/>
              <w:bottom w:val="single" w:color="CCCCCC" w:sz="1"/>
              <w:right w:val="single" w:color="CCCCCC" w:sz="1"/>
            </w:tcBorders>
            <w:shd w:fill="1A0000" w:val="clear"/>
            <w:tcMar>
              <w:top w:type="dxa" w:w="100"/>
              <w:left w:type="dxa" w:w="120"/>
              <w:bottom w:type="dxa" w:w="100"/>
              <w:right w:type="dxa" w:w="120"/>
            </w:tcMar>
          </w:tcPr>
          <w:p>
            <w:r>
              <w:rPr>
                <w:rFonts w:ascii="Arial" w:cs="Arial" w:eastAsia="Arial" w:hAnsi="Arial"/>
                <w:b/>
                <w:bCs/>
                <w:color w:val="8B0000"/>
                <w:sz w:val="18"/>
                <w:szCs w:val="18"/>
              </w:rPr>
              <w:t xml:space="preserve">License Type</w:t>
            </w:r>
          </w:p>
        </w:tc>
        <w:tc>
          <w:tcPr>
            <w:tcW w:type="dxa" w:w="2800"/>
            <w:tcBorders>
              <w:top w:val="single" w:color="CCCCCC" w:sz="1"/>
              <w:left w:val="single" w:color="CCCCCC" w:sz="1"/>
              <w:bottom w:val="single" w:color="CCCCCC" w:sz="1"/>
              <w:right w:val="single" w:color="CCCCCC" w:sz="1"/>
            </w:tcBorders>
            <w:shd w:fill="1A0000" w:val="clear"/>
            <w:tcMar>
              <w:top w:type="dxa" w:w="100"/>
              <w:left w:type="dxa" w:w="120"/>
              <w:bottom w:type="dxa" w:w="100"/>
              <w:right w:type="dxa" w:w="120"/>
            </w:tcMar>
          </w:tcPr>
          <w:p>
            <w:r>
              <w:rPr>
                <w:rFonts w:ascii="Arial" w:cs="Arial" w:eastAsia="Arial" w:hAnsi="Arial"/>
                <w:b/>
                <w:bCs/>
                <w:color w:val="8B0000"/>
                <w:sz w:val="18"/>
                <w:szCs w:val="18"/>
              </w:rPr>
              <w:t xml:space="preserve">Permitted Use</w:t>
            </w:r>
          </w:p>
        </w:tc>
        <w:tc>
          <w:tcPr>
            <w:tcW w:type="dxa" w:w="1560"/>
            <w:tcBorders>
              <w:top w:val="single" w:color="CCCCCC" w:sz="1"/>
              <w:left w:val="single" w:color="CCCCCC" w:sz="1"/>
              <w:bottom w:val="single" w:color="CCCCCC" w:sz="1"/>
              <w:right w:val="single" w:color="CCCCCC" w:sz="1"/>
            </w:tcBorders>
            <w:shd w:fill="1A0000" w:val="clear"/>
            <w:tcMar>
              <w:top w:type="dxa" w:w="100"/>
              <w:left w:type="dxa" w:w="120"/>
              <w:bottom w:type="dxa" w:w="100"/>
              <w:right w:type="dxa" w:w="120"/>
            </w:tcMar>
          </w:tcPr>
          <w:p>
            <w:r>
              <w:rPr>
                <w:rFonts w:ascii="Arial" w:cs="Arial" w:eastAsia="Arial" w:hAnsi="Arial"/>
                <w:b/>
                <w:bCs/>
                <w:color w:val="8B0000"/>
                <w:sz w:val="18"/>
                <w:szCs w:val="18"/>
              </w:rPr>
              <w:t xml:space="preserve">Fee Structure</w:t>
            </w:r>
          </w:p>
        </w:tc>
        <w:tc>
          <w:tcPr>
            <w:tcW w:type="dxa" w:w="3000"/>
            <w:tcBorders>
              <w:top w:val="single" w:color="CCCCCC" w:sz="1"/>
              <w:left w:val="single" w:color="CCCCCC" w:sz="1"/>
              <w:bottom w:val="single" w:color="CCCCCC" w:sz="1"/>
              <w:right w:val="single" w:color="CCCCCC" w:sz="1"/>
            </w:tcBorders>
            <w:shd w:fill="1A0000" w:val="clear"/>
            <w:tcMar>
              <w:top w:type="dxa" w:w="100"/>
              <w:left w:type="dxa" w:w="120"/>
              <w:bottom w:type="dxa" w:w="100"/>
              <w:right w:type="dxa" w:w="120"/>
            </w:tcMar>
          </w:tcPr>
          <w:p>
            <w:r>
              <w:rPr>
                <w:rFonts w:ascii="Arial" w:cs="Arial" w:eastAsia="Arial" w:hAnsi="Arial"/>
                <w:b/>
                <w:bCs/>
                <w:color w:val="8B0000"/>
                <w:sz w:val="18"/>
                <w:szCs w:val="18"/>
              </w:rPr>
              <w:t xml:space="preserve">Key Conditions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8B0000"/>
                <w:sz w:val="18"/>
                <w:szCs w:val="18"/>
              </w:rPr>
              <w:t xml:space="preserve">Educational</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Classroom teaching, student reading packs, university modules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Per-cohort fee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Attribution required. No resale.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8B0000"/>
                <w:sz w:val="18"/>
                <w:szCs w:val="18"/>
              </w:rPr>
              <w:t xml:space="preserve">Training &amp; L&amp;D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Corporate training programmes, staff development</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Annual flat fee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use only. No sub-licensing.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8B0000"/>
                <w:sz w:val="18"/>
                <w:szCs w:val="18"/>
              </w:rPr>
              <w:t xml:space="preserve">Government</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Policy workshops, public service training, civic programmes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Negotiated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Must credit in all public-facing materials.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8B0000"/>
                <w:sz w:val="18"/>
                <w:szCs w:val="18"/>
              </w:rPr>
              <w:t xml:space="preserve">Publishing</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Republishing excerpts in academic journals or books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Per-use fee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Excerpts only. No full reproduction.</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8B0000"/>
                <w:sz w:val="18"/>
                <w:szCs w:val="18"/>
              </w:rPr>
              <w:t xml:space="preserve">Conference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Speaker presentation use, event programming</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Per-event fee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Slides must credit The Catalyst visibly.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8B0000"/>
                <w:sz w:val="18"/>
                <w:szCs w:val="18"/>
              </w:rPr>
              <w:t xml:space="preserve">Research</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Academic study, citation, analysis</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 with registration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A1A1A"/>
                <w:sz w:val="18"/>
                <w:szCs w:val="18"/>
              </w:rPr>
              <w:t xml:space="preserve">Not for redistribution. Cite in full.</w:t>
            </w:r>
          </w:p>
        </w:tc>
      </w:tr>
    </w:tbl>
    <w:p>
      <w:pPr>
        <w:spacing w:after="240"/>
      </w:pPr>
    </w:p>
    <w:p>
      <w:pPr>
        <w:spacing w:after="120" w:before="360"/>
      </w:pPr>
      <w:r>
        <w:rPr>
          <w:rFonts w:ascii="Arial" w:cs="Arial" w:eastAsia="Arial" w:hAnsi="Arial"/>
          <w:b/>
          <w:bCs/>
          <w:caps/>
          <w:color w:val="8B0000"/>
          <w:sz w:val="18"/>
          <w:szCs w:val="18"/>
        </w:rPr>
        <w:t xml:space="preserve">SECTION 03 — ATTRIBUTION REQUIREMENTS</w:t>
      </w:r>
    </w:p>
    <w:p>
      <w:pPr>
        <w:spacing w:after="80" w:before="240"/>
      </w:pPr>
      <w:r>
        <w:rPr>
          <w:rFonts w:ascii="Arial" w:cs="Arial" w:eastAsia="Arial" w:hAnsi="Arial"/>
          <w:b/>
          <w:bCs/>
          <w:color w:val="8B0000"/>
          <w:sz w:val="26"/>
          <w:szCs w:val="26"/>
        </w:rPr>
        <w:t xml:space="preserve">How to Credit The Catalyst</w:t>
      </w:r>
    </w:p>
    <w:p>
      <w:pPr>
        <w:spacing w:after="120"/>
      </w:pPr>
      <w:r>
        <w:rPr>
          <w:rFonts w:ascii="Arial" w:cs="Arial" w:eastAsia="Arial" w:hAnsi="Arial"/>
          <w:color w:val="1A1A1A"/>
          <w:sz w:val="22"/>
          <w:szCs w:val="22"/>
        </w:rPr>
        <w:t xml:space="preserve">Attribution is not optional. It is a condition of every license type. Failure to attribute correctly voids the license.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12"/>
              <w:left w:val="single" w:color="8B0000" w:sz="12"/>
              <w:bottom w:val="single" w:color="8B0000" w:sz="12"/>
              <w:right w:val="single" w:color="8B0000" w:sz="12"/>
            </w:tcBorders>
            <w:shd w:fill="F5DDDD" w:val="clear"/>
            <w:tcMar>
              <w:top w:type="dxa" w:w="160"/>
              <w:left w:type="dxa" w:w="200"/>
              <w:bottom w:type="dxa" w:w="160"/>
              <w:right w:type="dxa" w:w="200"/>
            </w:tcMar>
          </w:tcPr>
          <w:p>
            <w:pPr>
              <w:spacing w:after="80"/>
            </w:pPr>
            <w:r>
              <w:rPr>
                <w:rFonts w:ascii="Arial" w:cs="Arial" w:eastAsia="Arial" w:hAnsi="Arial"/>
                <w:b/>
                <w:bCs/>
                <w:color w:val="8B0000"/>
                <w:sz w:val="20"/>
                <w:szCs w:val="20"/>
              </w:rPr>
              <w:t xml:space="preserve">REQUIRED ATTRIBUTION FORMAT</w:t>
            </w:r>
          </w:p>
          <w:p>
            <w:pPr>
              <w:spacing w:after="40"/>
            </w:pPr>
            <w:r>
              <w:rPr>
                <w:rFonts w:ascii="Arial" w:cs="Arial" w:eastAsia="Arial" w:hAnsi="Arial"/>
                <w:b/>
                <w:bCs/>
                <w:color w:val="0D0D0D"/>
                <w:sz w:val="18"/>
                <w:szCs w:val="18"/>
              </w:rPr>
              <w:t xml:space="preserve">Standard (print and digital):</w:t>
            </w:r>
          </w:p>
          <w:p>
            <w:pPr>
              <w:spacing w:after="120"/>
              <w:ind w:left="200"/>
            </w:pPr>
            <w:r>
              <w:rPr>
                <w:rFonts w:ascii="Courier New" w:cs="Courier New" w:eastAsia="Courier New" w:hAnsi="Courier New"/>
                <w:i/>
                <w:iCs/>
                <w:color w:val="1A1A1A"/>
                <w:sz w:val="18"/>
                <w:szCs w:val="18"/>
              </w:rPr>
              <w:t xml:space="preserve">From the Catalyst OS framework by Oluwatobiloba (The Catalyst), Lagos, Nigeria. Used under license. All rights reserved.</w:t>
            </w:r>
          </w:p>
          <w:p>
            <w:pPr>
              <w:spacing w:after="40"/>
            </w:pPr>
            <w:r>
              <w:rPr>
                <w:rFonts w:ascii="Arial" w:cs="Arial" w:eastAsia="Arial" w:hAnsi="Arial"/>
                <w:b/>
                <w:bCs/>
                <w:color w:val="0D0D0D"/>
                <w:sz w:val="18"/>
                <w:szCs w:val="18"/>
              </w:rPr>
              <w:t xml:space="preserve">Spoken / on-screen (presentations, video):</w:t>
            </w:r>
          </w:p>
          <w:p>
            <w:pPr>
              <w:spacing w:after="0"/>
              <w:ind w:left="200"/>
            </w:pPr>
            <w:r>
              <w:rPr>
                <w:rFonts w:ascii="Courier New" w:cs="Courier New" w:eastAsia="Courier New" w:hAnsi="Courier New"/>
                <w:i/>
                <w:iCs/>
                <w:color w:val="1A1A1A"/>
                <w:sz w:val="18"/>
                <w:szCs w:val="18"/>
              </w:rPr>
              <w:t xml:space="preserve">This framework was developed by Oluwatobiloba, The Catalyst, Lagos, Nigeria.</w:t>
            </w:r>
          </w:p>
        </w:tc>
      </w:tr>
    </w:tbl>
    <w:p>
      <w:pPr>
        <w:spacing w:after="200"/>
      </w:pPr>
    </w:p>
    <w:p>
      <w:pPr>
        <w:pStyle w:val="ListParagraph"/>
        <w:numPr>
          <w:ilvl w:val="0"/>
          <w:numId w:val="2"/>
        </w:numPr>
        <w:spacing w:after="80"/>
      </w:pPr>
      <w:r>
        <w:rPr>
          <w:rFonts w:ascii="Arial" w:cs="Arial" w:eastAsia="Arial" w:hAnsi="Arial"/>
          <w:color w:val="1A1A1A"/>
          <w:sz w:val="22"/>
          <w:szCs w:val="22"/>
        </w:rPr>
        <w:t xml:space="preserve">Attribution must appear on the first use of any IP in a document, slide deck, or curriculum.</w:t>
      </w:r>
    </w:p>
    <w:p>
      <w:pPr>
        <w:pStyle w:val="ListParagraph"/>
        <w:numPr>
          <w:ilvl w:val="0"/>
          <w:numId w:val="2"/>
        </w:numPr>
        <w:spacing w:after="80"/>
      </w:pPr>
      <w:r>
        <w:rPr>
          <w:rFonts w:ascii="Arial" w:cs="Arial" w:eastAsia="Arial" w:hAnsi="Arial"/>
          <w:color w:val="1A1A1A"/>
          <w:sz w:val="22"/>
          <w:szCs w:val="22"/>
        </w:rPr>
        <w:t xml:space="preserve">Font size for print attribution must not be smaller than 8pt.</w:t>
      </w:r>
    </w:p>
    <w:p>
      <w:pPr>
        <w:pStyle w:val="ListParagraph"/>
        <w:numPr>
          <w:ilvl w:val="0"/>
          <w:numId w:val="2"/>
        </w:numPr>
        <w:spacing w:after="80"/>
      </w:pPr>
      <w:r>
        <w:rPr>
          <w:rFonts w:ascii="Arial" w:cs="Arial" w:eastAsia="Arial" w:hAnsi="Arial"/>
          <w:color w:val="1A1A1A"/>
          <w:sz w:val="22"/>
          <w:szCs w:val="22"/>
        </w:rPr>
        <w:t xml:space="preserve">Attribution cannot be placed exclusively in an appendix, endnote, or footnote if the main content is used without inline credit.</w:t>
      </w:r>
    </w:p>
    <w:p>
      <w:pPr>
        <w:pStyle w:val="ListParagraph"/>
        <w:numPr>
          <w:ilvl w:val="0"/>
          <w:numId w:val="2"/>
        </w:numPr>
        <w:spacing w:after="80"/>
      </w:pPr>
      <w:r>
        <w:rPr>
          <w:rFonts w:ascii="Arial" w:cs="Arial" w:eastAsia="Arial" w:hAnsi="Arial"/>
          <w:color w:val="1A1A1A"/>
          <w:sz w:val="22"/>
          <w:szCs w:val="22"/>
        </w:rPr>
        <w:t xml:space="preserve">Translation of attribution text requires prior written approval.</w:t>
      </w:r>
    </w:p>
    <w:p>
      <w:pPr>
        <w:spacing w:after="240"/>
      </w:pPr>
    </w:p>
    <w:p>
      <w:pPr>
        <w:spacing w:after="120" w:before="360"/>
      </w:pPr>
      <w:r>
        <w:rPr>
          <w:rFonts w:ascii="Arial" w:cs="Arial" w:eastAsia="Arial" w:hAnsi="Arial"/>
          <w:b/>
          <w:bCs/>
          <w:caps/>
          <w:color w:val="8B0000"/>
          <w:sz w:val="18"/>
          <w:szCs w:val="18"/>
        </w:rPr>
        <w:t xml:space="preserve">SECTION 04 — MODIFICATION RESTRICTIONS</w:t>
      </w:r>
    </w:p>
    <w:p>
      <w:pPr>
        <w:spacing w:after="80" w:before="240"/>
      </w:pPr>
      <w:r>
        <w:rPr>
          <w:rFonts w:ascii="Arial" w:cs="Arial" w:eastAsia="Arial" w:hAnsi="Arial"/>
          <w:b/>
          <w:bCs/>
          <w:color w:val="8B0000"/>
          <w:sz w:val="26"/>
          <w:szCs w:val="26"/>
        </w:rPr>
        <w:t xml:space="preserve">What Cannot Be Changed</w:t>
      </w:r>
    </w:p>
    <w:p>
      <w:pPr>
        <w:spacing w:after="120"/>
        <w:jc w:val="both"/>
      </w:pPr>
      <w:r>
        <w:rPr>
          <w:rFonts w:ascii="Arial" w:cs="Arial" w:eastAsia="Arial" w:hAnsi="Arial"/>
          <w:color w:val="1A1A1A"/>
          <w:sz w:val="20"/>
          <w:szCs w:val="20"/>
        </w:rPr>
        <w:t xml:space="preserve">The Catalyst OS is a coherent philosophical and strategic system. Modifications that alter, contradict, or dilute the core doctrine are not permitted under any license type.</w:t>
      </w:r>
    </w:p>
    <w:p>
      <w:pPr>
        <w:spacing w:after="120"/>
      </w:pPr>
    </w:p>
    <w:p>
      <w:pPr>
        <w:spacing w:after="80" w:before="200"/>
      </w:pPr>
      <w:r>
        <w:rPr>
          <w:rFonts w:ascii="Arial" w:cs="Arial" w:eastAsia="Arial" w:hAnsi="Arial"/>
          <w:b/>
          <w:bCs/>
          <w:color w:val="8B0000"/>
          <w:sz w:val="22"/>
          <w:szCs w:val="22"/>
        </w:rPr>
        <w:t xml:space="preserve">4.1.  </w:t>
      </w:r>
      <w:r>
        <w:rPr>
          <w:rFonts w:ascii="Arial" w:cs="Arial" w:eastAsia="Arial" w:hAnsi="Arial"/>
          <w:b/>
          <w:bCs/>
          <w:color w:val="0D0D0D"/>
          <w:sz w:val="22"/>
          <w:szCs w:val="22"/>
        </w:rPr>
        <w:t xml:space="preserve">Core Frameworks</w:t>
      </w:r>
    </w:p>
    <w:p>
      <w:pPr>
        <w:spacing w:after="120"/>
        <w:ind w:left="440"/>
        <w:jc w:val="both"/>
      </w:pPr>
      <w:r>
        <w:rPr>
          <w:rFonts w:ascii="Arial" w:cs="Arial" w:eastAsia="Arial" w:hAnsi="Arial"/>
          <w:color w:val="1A1A1A"/>
          <w:sz w:val="20"/>
          <w:szCs w:val="20"/>
        </w:rPr>
        <w:t xml:space="preserve">The five-pillar framework (Efficiency Arbitrage, the Scarcity Lie, Value Alchemy, the Phalanx Strategy, the Resilience Engine) cannot be renamed, reordered, or reframed without written approval. These terms are brand assets and may not be replaced with synonyms or alternative language.</w:t>
      </w:r>
    </w:p>
    <w:p>
      <w:pPr>
        <w:spacing w:after="80" w:before="200"/>
      </w:pPr>
      <w:r>
        <w:rPr>
          <w:rFonts w:ascii="Arial" w:cs="Arial" w:eastAsia="Arial" w:hAnsi="Arial"/>
          <w:b/>
          <w:bCs/>
          <w:color w:val="8B0000"/>
          <w:sz w:val="22"/>
          <w:szCs w:val="22"/>
        </w:rPr>
        <w:t xml:space="preserve">4.2.  </w:t>
      </w:r>
      <w:r>
        <w:rPr>
          <w:rFonts w:ascii="Arial" w:cs="Arial" w:eastAsia="Arial" w:hAnsi="Arial"/>
          <w:b/>
          <w:bCs/>
          <w:color w:val="0D0D0D"/>
          <w:sz w:val="22"/>
          <w:szCs w:val="22"/>
        </w:rPr>
        <w:t xml:space="preserve">Conceptual Vocabulary</w:t>
      </w:r>
    </w:p>
    <w:p>
      <w:pPr>
        <w:spacing w:after="120"/>
        <w:ind w:left="440"/>
        <w:jc w:val="both"/>
      </w:pPr>
      <w:r>
        <w:rPr>
          <w:rFonts w:ascii="Arial" w:cs="Arial" w:eastAsia="Arial" w:hAnsi="Arial"/>
          <w:color w:val="1A1A1A"/>
          <w:sz w:val="20"/>
          <w:szCs w:val="20"/>
        </w:rPr>
        <w:t xml:space="preserve">Original Catalyst OS concepts — Upstream Man, Downstream Man, Cup Economics, Ocean Economics, the Saboteur, Direction Protocol, Context Engine, Compiled Code, Warriors of Intention — cannot be rephrased, restated, or attributed to any source other than The Catalyst.</w:t>
      </w:r>
    </w:p>
    <w:p>
      <w:pPr>
        <w:spacing w:after="80" w:before="200"/>
      </w:pPr>
      <w:r>
        <w:rPr>
          <w:rFonts w:ascii="Arial" w:cs="Arial" w:eastAsia="Arial" w:hAnsi="Arial"/>
          <w:b/>
          <w:bCs/>
          <w:color w:val="8B0000"/>
          <w:sz w:val="22"/>
          <w:szCs w:val="22"/>
        </w:rPr>
        <w:t xml:space="preserve">4.3.  </w:t>
      </w:r>
      <w:r>
        <w:rPr>
          <w:rFonts w:ascii="Arial" w:cs="Arial" w:eastAsia="Arial" w:hAnsi="Arial"/>
          <w:b/>
          <w:bCs/>
          <w:color w:val="0D0D0D"/>
          <w:sz w:val="22"/>
          <w:szCs w:val="22"/>
        </w:rPr>
        <w:t xml:space="preserve">Voice and Tone</w:t>
      </w:r>
    </w:p>
    <w:p>
      <w:pPr>
        <w:spacing w:after="120"/>
        <w:ind w:left="440"/>
        <w:jc w:val="both"/>
      </w:pPr>
      <w:r>
        <w:rPr>
          <w:rFonts w:ascii="Arial" w:cs="Arial" w:eastAsia="Arial" w:hAnsi="Arial"/>
          <w:color w:val="1A1A1A"/>
          <w:sz w:val="20"/>
          <w:szCs w:val="20"/>
        </w:rPr>
        <w:t xml:space="preserve">Materials licensed for educational or training use must not be edited to add corporate language, passive voice, or content that contradicts the Catalyst OS voice doctrine. If adaptation is needed for a specific audience, contact the Licensor for an approved adaptation agreement.</w:t>
      </w:r>
    </w:p>
    <w:p>
      <w:pPr>
        <w:spacing w:after="80" w:before="200"/>
      </w:pPr>
      <w:r>
        <w:rPr>
          <w:rFonts w:ascii="Arial" w:cs="Arial" w:eastAsia="Arial" w:hAnsi="Arial"/>
          <w:b/>
          <w:bCs/>
          <w:color w:val="8B0000"/>
          <w:sz w:val="22"/>
          <w:szCs w:val="22"/>
        </w:rPr>
        <w:t xml:space="preserve">4.4.  </w:t>
      </w:r>
      <w:r>
        <w:rPr>
          <w:rFonts w:ascii="Arial" w:cs="Arial" w:eastAsia="Arial" w:hAnsi="Arial"/>
          <w:b/>
          <w:bCs/>
          <w:color w:val="0D0D0D"/>
          <w:sz w:val="22"/>
          <w:szCs w:val="22"/>
        </w:rPr>
        <w:t xml:space="preserve">Sequencing</w:t>
      </w:r>
    </w:p>
    <w:p>
      <w:pPr>
        <w:spacing w:after="120"/>
        <w:ind w:left="440"/>
        <w:jc w:val="both"/>
      </w:pPr>
      <w:r>
        <w:rPr>
          <w:rFonts w:ascii="Arial" w:cs="Arial" w:eastAsia="Arial" w:hAnsi="Arial"/>
          <w:color w:val="1A1A1A"/>
          <w:sz w:val="20"/>
          <w:szCs w:val="20"/>
        </w:rPr>
        <w:t xml:space="preserve">Curriculum built on Catalyst OS must preserve the logical sequence of the source material. Extracting individual concepts out of sequence without contextual framing is not permitted.</w:t>
      </w:r>
    </w:p>
    <w:p>
      <w:pPr>
        <w:spacing w:after="80" w:before="200"/>
      </w:pPr>
      <w:r>
        <w:rPr>
          <w:rFonts w:ascii="Arial" w:cs="Arial" w:eastAsia="Arial" w:hAnsi="Arial"/>
          <w:b/>
          <w:bCs/>
          <w:color w:val="8B0000"/>
          <w:sz w:val="22"/>
          <w:szCs w:val="22"/>
        </w:rPr>
        <w:t xml:space="preserve">4.5.  </w:t>
      </w:r>
      <w:r>
        <w:rPr>
          <w:rFonts w:ascii="Arial" w:cs="Arial" w:eastAsia="Arial" w:hAnsi="Arial"/>
          <w:b/>
          <w:bCs/>
          <w:color w:val="0D0D0D"/>
          <w:sz w:val="22"/>
          <w:szCs w:val="22"/>
        </w:rPr>
        <w:t xml:space="preserve">Derivative Works</w:t>
      </w:r>
    </w:p>
    <w:p>
      <w:pPr>
        <w:spacing w:after="120"/>
        <w:ind w:left="440"/>
        <w:jc w:val="both"/>
      </w:pPr>
      <w:r>
        <w:rPr>
          <w:rFonts w:ascii="Arial" w:cs="Arial" w:eastAsia="Arial" w:hAnsi="Arial"/>
          <w:color w:val="1A1A1A"/>
          <w:sz w:val="20"/>
          <w:szCs w:val="20"/>
        </w:rPr>
        <w:t xml:space="preserve">Any Derivative Work must be approved in writing by The Catalyst before publication or distribution. The Licensor reserves the right to request modifications or withdraw approval for any Derivative Work that misrepresents the original IP.</w:t>
      </w:r>
    </w:p>
    <w:p>
      <w:pPr>
        <w:spacing w:after="240"/>
      </w:pPr>
    </w:p>
    <w:p>
      <w:pPr>
        <w:spacing w:after="120" w:before="360"/>
      </w:pPr>
      <w:r>
        <w:rPr>
          <w:rFonts w:ascii="Arial" w:cs="Arial" w:eastAsia="Arial" w:hAnsi="Arial"/>
          <w:b/>
          <w:bCs/>
          <w:caps/>
          <w:color w:val="8B0000"/>
          <w:sz w:val="18"/>
          <w:szCs w:val="18"/>
        </w:rPr>
        <w:t xml:space="preserve">SECTION 05 — PROHIBITED USES</w:t>
      </w:r>
    </w:p>
    <w:p>
      <w:pPr>
        <w:spacing w:after="80" w:before="240"/>
      </w:pPr>
      <w:r>
        <w:rPr>
          <w:rFonts w:ascii="Arial" w:cs="Arial" w:eastAsia="Arial" w:hAnsi="Arial"/>
          <w:b/>
          <w:bCs/>
          <w:color w:val="8B0000"/>
          <w:sz w:val="26"/>
          <w:szCs w:val="26"/>
        </w:rPr>
        <w:t xml:space="preserve">What Is Never Permitted</w:t>
      </w:r>
    </w:p>
    <w:p>
      <w:pPr>
        <w:spacing w:after="120"/>
      </w:pPr>
      <w:r>
        <w:rPr>
          <w:rFonts w:ascii="Arial" w:cs="Arial" w:eastAsia="Arial" w:hAnsi="Arial"/>
          <w:color w:val="1A1A1A"/>
          <w:sz w:val="22"/>
          <w:szCs w:val="22"/>
        </w:rPr>
        <w:t xml:space="preserve">These restrictions apply under all license types, in all territories, at all times.</w:t>
      </w:r>
    </w:p>
    <w:p>
      <w:pPr>
        <w:spacing w:after="120"/>
      </w:pPr>
    </w:p>
    <w:p>
      <w:pPr>
        <w:pStyle w:val="ListParagraph"/>
        <w:numPr>
          <w:ilvl w:val="0"/>
          <w:numId w:val="2"/>
        </w:numPr>
        <w:spacing w:after="80"/>
      </w:pPr>
      <w:r>
        <w:rPr>
          <w:rFonts w:ascii="Arial" w:cs="Arial" w:eastAsia="Arial" w:hAnsi="Arial"/>
          <w:color w:val="1A1A1A"/>
          <w:sz w:val="22"/>
          <w:szCs w:val="22"/>
        </w:rPr>
        <w:t xml:space="preserve">Resale of Catalyst OS materials in any format — print, digital, or audio</w:t>
      </w:r>
    </w:p>
    <w:p>
      <w:pPr>
        <w:pStyle w:val="ListParagraph"/>
        <w:numPr>
          <w:ilvl w:val="0"/>
          <w:numId w:val="2"/>
        </w:numPr>
        <w:spacing w:after="80"/>
      </w:pPr>
      <w:r>
        <w:rPr>
          <w:rFonts w:ascii="Arial" w:cs="Arial" w:eastAsia="Arial" w:hAnsi="Arial"/>
          <w:color w:val="1A1A1A"/>
          <w:sz w:val="22"/>
          <w:szCs w:val="22"/>
        </w:rPr>
        <w:t xml:space="preserve">Sub-licensing to third parties without written consent from The Catalyst</w:t>
      </w:r>
    </w:p>
    <w:p>
      <w:pPr>
        <w:pStyle w:val="ListParagraph"/>
        <w:numPr>
          <w:ilvl w:val="0"/>
          <w:numId w:val="2"/>
        </w:numPr>
        <w:spacing w:after="80"/>
      </w:pPr>
      <w:r>
        <w:rPr>
          <w:rFonts w:ascii="Arial" w:cs="Arial" w:eastAsia="Arial" w:hAnsi="Arial"/>
          <w:color w:val="1A1A1A"/>
          <w:sz w:val="22"/>
          <w:szCs w:val="22"/>
        </w:rPr>
        <w:t xml:space="preserve">Use in any political campaign, propaganda, or state-sponsored ideology programme</w:t>
      </w:r>
    </w:p>
    <w:p>
      <w:pPr>
        <w:pStyle w:val="ListParagraph"/>
        <w:numPr>
          <w:ilvl w:val="0"/>
          <w:numId w:val="2"/>
        </w:numPr>
        <w:spacing w:after="80"/>
      </w:pPr>
      <w:r>
        <w:rPr>
          <w:rFonts w:ascii="Arial" w:cs="Arial" w:eastAsia="Arial" w:hAnsi="Arial"/>
          <w:color w:val="1A1A1A"/>
          <w:sz w:val="22"/>
          <w:szCs w:val="22"/>
        </w:rPr>
        <w:t xml:space="preserve">Misrepresentation of the IP as the Licensee's original work</w:t>
      </w:r>
    </w:p>
    <w:p>
      <w:pPr>
        <w:pStyle w:val="ListParagraph"/>
        <w:numPr>
          <w:ilvl w:val="0"/>
          <w:numId w:val="2"/>
        </w:numPr>
        <w:spacing w:after="80"/>
      </w:pPr>
      <w:r>
        <w:rPr>
          <w:rFonts w:ascii="Arial" w:cs="Arial" w:eastAsia="Arial" w:hAnsi="Arial"/>
          <w:color w:val="1A1A1A"/>
          <w:sz w:val="22"/>
          <w:szCs w:val="22"/>
        </w:rPr>
        <w:t xml:space="preserve">Removal or obscuring of attribution, watermarks, or copyright notices</w:t>
      </w:r>
    </w:p>
    <w:p>
      <w:pPr>
        <w:pStyle w:val="ListParagraph"/>
        <w:numPr>
          <w:ilvl w:val="0"/>
          <w:numId w:val="2"/>
        </w:numPr>
        <w:spacing w:after="80"/>
      </w:pPr>
      <w:r>
        <w:rPr>
          <w:rFonts w:ascii="Arial" w:cs="Arial" w:eastAsia="Arial" w:hAnsi="Arial"/>
          <w:color w:val="1A1A1A"/>
          <w:sz w:val="22"/>
          <w:szCs w:val="22"/>
        </w:rPr>
        <w:t xml:space="preserve">Use of the brand name 'The Catalyst' or 'Catalyst OS' as a product name by any other entity</w:t>
      </w:r>
    </w:p>
    <w:p>
      <w:pPr>
        <w:pStyle w:val="ListParagraph"/>
        <w:numPr>
          <w:ilvl w:val="0"/>
          <w:numId w:val="2"/>
        </w:numPr>
        <w:spacing w:after="80"/>
      </w:pPr>
      <w:r>
        <w:rPr>
          <w:rFonts w:ascii="Arial" w:cs="Arial" w:eastAsia="Arial" w:hAnsi="Arial"/>
          <w:color w:val="1A1A1A"/>
          <w:sz w:val="22"/>
          <w:szCs w:val="22"/>
        </w:rPr>
        <w:t xml:space="preserve">AI training data use — no IP may be used to train machine learning models without a separate data license</w:t>
      </w:r>
    </w:p>
    <w:p>
      <w:pPr>
        <w:spacing w:after="240"/>
      </w:pPr>
    </w:p>
    <w:p>
      <w:pPr>
        <w:spacing w:after="120" w:before="360"/>
      </w:pPr>
      <w:r>
        <w:rPr>
          <w:rFonts w:ascii="Arial" w:cs="Arial" w:eastAsia="Arial" w:hAnsi="Arial"/>
          <w:b/>
          <w:bCs/>
          <w:caps/>
          <w:color w:val="8B0000"/>
          <w:sz w:val="18"/>
          <w:szCs w:val="18"/>
        </w:rPr>
        <w:t xml:space="preserve">SECTION 06 — TERM, RENEWAL, AND TERMINATION</w:t>
      </w:r>
    </w:p>
    <w:p>
      <w:pPr>
        <w:spacing w:after="80" w:before="200"/>
      </w:pPr>
      <w:r>
        <w:rPr>
          <w:rFonts w:ascii="Arial" w:cs="Arial" w:eastAsia="Arial" w:hAnsi="Arial"/>
          <w:b/>
          <w:bCs/>
          <w:color w:val="8B0000"/>
          <w:sz w:val="22"/>
          <w:szCs w:val="22"/>
        </w:rPr>
        <w:t xml:space="preserve">6.1.  </w:t>
      </w:r>
      <w:r>
        <w:rPr>
          <w:rFonts w:ascii="Arial" w:cs="Arial" w:eastAsia="Arial" w:hAnsi="Arial"/>
          <w:b/>
          <w:bCs/>
          <w:color w:val="0D0D0D"/>
          <w:sz w:val="22"/>
          <w:szCs w:val="22"/>
        </w:rPr>
        <w:t xml:space="preserve">License Duration</w:t>
      </w:r>
    </w:p>
    <w:p>
      <w:pPr>
        <w:spacing w:after="120"/>
        <w:ind w:left="440"/>
        <w:jc w:val="both"/>
      </w:pPr>
      <w:r>
        <w:rPr>
          <w:rFonts w:ascii="Arial" w:cs="Arial" w:eastAsia="Arial" w:hAnsi="Arial"/>
          <w:color w:val="1A1A1A"/>
          <w:sz w:val="20"/>
          <w:szCs w:val="20"/>
        </w:rPr>
        <w:t xml:space="preserve">Unless otherwise specified in the signed license agreement, all institutional licenses are valid for twelve (12) months from the date of execution. Use of the IP beyond this period without renewal constitutes a breach.</w:t>
      </w:r>
    </w:p>
    <w:p>
      <w:pPr>
        <w:spacing w:after="80" w:before="200"/>
      </w:pPr>
      <w:r>
        <w:rPr>
          <w:rFonts w:ascii="Arial" w:cs="Arial" w:eastAsia="Arial" w:hAnsi="Arial"/>
          <w:b/>
          <w:bCs/>
          <w:color w:val="8B0000"/>
          <w:sz w:val="22"/>
          <w:szCs w:val="22"/>
        </w:rPr>
        <w:t xml:space="preserve">6.2.  </w:t>
      </w:r>
      <w:r>
        <w:rPr>
          <w:rFonts w:ascii="Arial" w:cs="Arial" w:eastAsia="Arial" w:hAnsi="Arial"/>
          <w:b/>
          <w:bCs/>
          <w:color w:val="0D0D0D"/>
          <w:sz w:val="22"/>
          <w:szCs w:val="22"/>
        </w:rPr>
        <w:t xml:space="preserve">Renewal</w:t>
      </w:r>
    </w:p>
    <w:p>
      <w:pPr>
        <w:spacing w:after="120"/>
        <w:ind w:left="440"/>
        <w:jc w:val="both"/>
      </w:pPr>
      <w:r>
        <w:rPr>
          <w:rFonts w:ascii="Arial" w:cs="Arial" w:eastAsia="Arial" w:hAnsi="Arial"/>
          <w:color w:val="1A1A1A"/>
          <w:sz w:val="20"/>
          <w:szCs w:val="20"/>
        </w:rPr>
        <w:t xml:space="preserve">Licenses may be renewed by written request no later than thirty (30) days before expiry. The Licensor reserves the right to revise terms and fees upon renewal.</w:t>
      </w:r>
    </w:p>
    <w:p>
      <w:pPr>
        <w:spacing w:after="80" w:before="200"/>
      </w:pPr>
      <w:r>
        <w:rPr>
          <w:rFonts w:ascii="Arial" w:cs="Arial" w:eastAsia="Arial" w:hAnsi="Arial"/>
          <w:b/>
          <w:bCs/>
          <w:color w:val="8B0000"/>
          <w:sz w:val="22"/>
          <w:szCs w:val="22"/>
        </w:rPr>
        <w:t xml:space="preserve">6.3.  </w:t>
      </w:r>
      <w:r>
        <w:rPr>
          <w:rFonts w:ascii="Arial" w:cs="Arial" w:eastAsia="Arial" w:hAnsi="Arial"/>
          <w:b/>
          <w:bCs/>
          <w:color w:val="0D0D0D"/>
          <w:sz w:val="22"/>
          <w:szCs w:val="22"/>
        </w:rPr>
        <w:t xml:space="preserve">Termination by the Licensor</w:t>
      </w:r>
    </w:p>
    <w:p>
      <w:pPr>
        <w:spacing w:after="120"/>
        <w:ind w:left="440"/>
        <w:jc w:val="both"/>
      </w:pPr>
      <w:r>
        <w:rPr>
          <w:rFonts w:ascii="Arial" w:cs="Arial" w:eastAsia="Arial" w:hAnsi="Arial"/>
          <w:color w:val="1A1A1A"/>
          <w:sz w:val="20"/>
          <w:szCs w:val="20"/>
        </w:rPr>
        <w:t xml:space="preserve">The Licensor may terminate the license immediately and without refund if the Licensee breaches any provision of these Terms, misrepresents the IP, fails to pay agreed fees, or engages in conduct inconsistent with the integrity of the Catalyst OS brand.</w:t>
      </w:r>
    </w:p>
    <w:p>
      <w:pPr>
        <w:spacing w:after="80" w:before="200"/>
      </w:pPr>
      <w:r>
        <w:rPr>
          <w:rFonts w:ascii="Arial" w:cs="Arial" w:eastAsia="Arial" w:hAnsi="Arial"/>
          <w:b/>
          <w:bCs/>
          <w:color w:val="8B0000"/>
          <w:sz w:val="22"/>
          <w:szCs w:val="22"/>
        </w:rPr>
        <w:t xml:space="preserve">6.4.  </w:t>
      </w:r>
      <w:r>
        <w:rPr>
          <w:rFonts w:ascii="Arial" w:cs="Arial" w:eastAsia="Arial" w:hAnsi="Arial"/>
          <w:b/>
          <w:bCs/>
          <w:color w:val="0D0D0D"/>
          <w:sz w:val="22"/>
          <w:szCs w:val="22"/>
        </w:rPr>
        <w:t xml:space="preserve">Effect of Termination</w:t>
      </w:r>
    </w:p>
    <w:p>
      <w:pPr>
        <w:spacing w:after="120"/>
        <w:ind w:left="440"/>
        <w:jc w:val="both"/>
      </w:pPr>
      <w:r>
        <w:rPr>
          <w:rFonts w:ascii="Arial" w:cs="Arial" w:eastAsia="Arial" w:hAnsi="Arial"/>
          <w:color w:val="1A1A1A"/>
          <w:sz w:val="20"/>
          <w:szCs w:val="20"/>
        </w:rPr>
        <w:t xml:space="preserve">Upon termination, the Licensee must immediately cease all use of the IP, destroy all copies in their possession, and remove any public-facing references within fourteen (14) days.</w:t>
      </w:r>
    </w:p>
    <w:p>
      <w:pPr>
        <w:spacing w:after="240"/>
      </w:pPr>
    </w:p>
    <w:p>
      <w:pPr>
        <w:spacing w:after="120" w:before="360"/>
      </w:pPr>
      <w:r>
        <w:rPr>
          <w:rFonts w:ascii="Arial" w:cs="Arial" w:eastAsia="Arial" w:hAnsi="Arial"/>
          <w:b/>
          <w:bCs/>
          <w:caps/>
          <w:color w:val="8B0000"/>
          <w:sz w:val="18"/>
          <w:szCs w:val="18"/>
        </w:rPr>
        <w:t xml:space="preserve">SECTION 07 — GOVERNING LAW AND DISPUTE RESOLUTION</w:t>
      </w:r>
    </w:p>
    <w:p>
      <w:pPr>
        <w:spacing w:after="120"/>
        <w:jc w:val="both"/>
      </w:pPr>
      <w:r>
        <w:rPr>
          <w:rFonts w:ascii="Arial" w:cs="Arial" w:eastAsia="Arial" w:hAnsi="Arial"/>
          <w:color w:val="1A1A1A"/>
          <w:sz w:val="20"/>
          <w:szCs w:val="20"/>
        </w:rPr>
        <w:t xml:space="preserve">These Terms are governed by the laws of the Federal Republic of Nigeria. Any dispute arising out of or in connection with these Terms shall first be referred to mediation. If mediation is unsuccessful within thirty (30) days, the dispute shall be resolved by arbitration under the Lagos Court of Arbitration rules.</w:t>
      </w:r>
    </w:p>
    <w:p>
      <w:pPr>
        <w:spacing w:after="120"/>
        <w:jc w:val="both"/>
      </w:pPr>
      <w:r>
        <w:rPr>
          <w:rFonts w:ascii="Arial" w:cs="Arial" w:eastAsia="Arial" w:hAnsi="Arial"/>
          <w:color w:val="1A1A1A"/>
          <w:sz w:val="20"/>
          <w:szCs w:val="20"/>
        </w:rPr>
        <w:t xml:space="preserve">The Licensor reserves the right to seek injunctive relief in any competent jurisdiction for any threatened or actual breach of intellectual property rights.</w:t>
      </w:r>
    </w:p>
    <w:p>
      <w:pPr>
        <w:spacing w:after="200"/>
      </w:pPr>
    </w:p>
    <w:p>
      <w:pPr>
        <w:spacing w:after="120" w:before="360"/>
      </w:pPr>
      <w:r>
        <w:rPr>
          <w:rFonts w:ascii="Arial" w:cs="Arial" w:eastAsia="Arial" w:hAnsi="Arial"/>
          <w:b/>
          <w:bCs/>
          <w:caps/>
          <w:color w:val="8B0000"/>
          <w:sz w:val="18"/>
          <w:szCs w:val="18"/>
        </w:rPr>
        <w:t xml:space="preserve">SECTION 08 — EXECUTION</w:t>
      </w:r>
    </w:p>
    <w:p>
      <w:pPr>
        <w:spacing w:after="120"/>
      </w:pPr>
      <w:r>
        <w:rPr>
          <w:rFonts w:ascii="Arial" w:cs="Arial" w:eastAsia="Arial" w:hAnsi="Arial"/>
          <w:color w:val="1A1A1A"/>
          <w:sz w:val="22"/>
          <w:szCs w:val="22"/>
        </w:rPr>
        <w:t xml:space="preserve">This agreement is effective upon countersignature by both parties or upon first use of the IP, whichever is earlier.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5DDDD" w:val="clear"/>
            <w:tcMar>
              <w:top w:type="dxa" w:w="140"/>
              <w:left w:type="dxa" w:w="200"/>
              <w:bottom w:type="dxa" w:w="280"/>
              <w:right w:type="dxa" w:w="200"/>
            </w:tcMar>
          </w:tcPr>
          <w:p>
            <w:pPr>
              <w:spacing w:after="120"/>
            </w:pPr>
            <w:r>
              <w:rPr>
                <w:rFonts w:ascii="Arial" w:cs="Arial" w:eastAsia="Arial" w:hAnsi="Arial"/>
                <w:b/>
                <w:bCs/>
                <w:color w:val="8B0000"/>
                <w:sz w:val="20"/>
                <w:szCs w:val="20"/>
              </w:rPr>
              <w:t xml:space="preserve">THE LICENSOR</w:t>
            </w:r>
          </w:p>
          <w:p>
            <w:pPr>
              <w:spacing w:after="60"/>
            </w:pPr>
            <w:r>
              <w:rPr>
                <w:rFonts w:ascii="Arial" w:cs="Arial" w:eastAsia="Arial" w:hAnsi="Arial"/>
                <w:color w:val="0D0D0D"/>
                <w:sz w:val="20"/>
                <w:szCs w:val="20"/>
              </w:rPr>
              <w:t xml:space="preserve">Oluwatobiloba (The Catalyst)</w:t>
            </w:r>
          </w:p>
          <w:p>
            <w:pPr>
              <w:spacing w:after="160"/>
            </w:pPr>
            <w:r>
              <w:rPr>
                <w:rFonts w:ascii="Arial" w:cs="Arial" w:eastAsia="Arial" w:hAnsi="Arial"/>
                <w:color w:val="888888"/>
                <w:sz w:val="18"/>
                <w:szCs w:val="18"/>
              </w:rPr>
              <w:t xml:space="preserve">Lagos, Nigeria</w:t>
            </w:r>
          </w:p>
          <w:p>
            <w:pPr>
              <w:spacing w:after="80"/>
            </w:pPr>
            <w:r>
              <w:rPr>
                <w:rFonts w:ascii="Arial" w:cs="Arial" w:eastAsia="Arial" w:hAnsi="Arial"/>
                <w:color w:val="1A1A1A"/>
                <w:sz w:val="18"/>
                <w:szCs w:val="18"/>
              </w:rPr>
              <w:t xml:space="preserve">Signature: ___________________</w:t>
            </w:r>
          </w:p>
          <w:p>
            <w:r>
              <w:rPr>
                <w:rFonts w:ascii="Arial" w:cs="Arial" w:eastAsia="Arial" w:hAnsi="Arial"/>
                <w:color w:val="1A1A1A"/>
                <w:sz w:val="18"/>
                <w:szCs w:val="18"/>
              </w:rPr>
              <w:t xml:space="preserve">Date: ________________________</w:t>
            </w:r>
          </w:p>
        </w:tc>
        <w:tc>
          <w:tcPr>
            <w:tcW w:type="dxa" w:w="4800"/>
            <w:tcBorders>
              <w:top w:val="single" w:color="CCCCCC" w:sz="1"/>
              <w:left w:val="single" w:color="CCCCCC" w:sz="1"/>
              <w:bottom w:val="single" w:color="CCCCCC" w:sz="1"/>
              <w:right w:val="single" w:color="CCCCCC" w:sz="1"/>
            </w:tcBorders>
            <w:shd w:fill="FAFAFA" w:val="clear"/>
            <w:tcMar>
              <w:top w:type="dxa" w:w="140"/>
              <w:left w:type="dxa" w:w="200"/>
              <w:bottom w:type="dxa" w:w="280"/>
              <w:right w:type="dxa" w:w="200"/>
            </w:tcMar>
          </w:tcPr>
          <w:p>
            <w:pPr>
              <w:spacing w:after="120"/>
            </w:pPr>
            <w:r>
              <w:rPr>
                <w:rFonts w:ascii="Arial" w:cs="Arial" w:eastAsia="Arial" w:hAnsi="Arial"/>
                <w:b/>
                <w:bCs/>
                <w:color w:val="8B0000"/>
                <w:sz w:val="20"/>
                <w:szCs w:val="20"/>
              </w:rPr>
              <w:t xml:space="preserve">THE LICENSEE</w:t>
            </w:r>
          </w:p>
          <w:p>
            <w:pPr>
              <w:spacing w:after="60"/>
            </w:pPr>
            <w:r>
              <w:rPr>
                <w:rFonts w:ascii="Arial" w:cs="Arial" w:eastAsia="Arial" w:hAnsi="Arial"/>
                <w:color w:val="888888"/>
                <w:sz w:val="18"/>
                <w:szCs w:val="18"/>
              </w:rPr>
              <w:t xml:space="preserve">Institution / Organisation Name:</w:t>
            </w:r>
          </w:p>
          <w:p>
            <w:pPr>
              <w:spacing w:after="120"/>
            </w:pPr>
            <w:r>
              <w:rPr>
                <w:rFonts w:ascii="Arial" w:cs="Arial" w:eastAsia="Arial" w:hAnsi="Arial"/>
                <w:color w:val="1A1A1A"/>
                <w:sz w:val="18"/>
                <w:szCs w:val="18"/>
              </w:rPr>
              <w:t xml:space="preserve">_____________________________</w:t>
            </w:r>
          </w:p>
          <w:p>
            <w:pPr>
              <w:spacing w:after="60"/>
            </w:pPr>
            <w:r>
              <w:rPr>
                <w:rFonts w:ascii="Arial" w:cs="Arial" w:eastAsia="Arial" w:hAnsi="Arial"/>
                <w:color w:val="888888"/>
                <w:sz w:val="18"/>
                <w:szCs w:val="18"/>
              </w:rPr>
              <w:t xml:space="preserve">Authorised Representative:</w:t>
            </w:r>
          </w:p>
          <w:p>
            <w:pPr>
              <w:spacing w:after="80"/>
            </w:pPr>
            <w:r>
              <w:rPr>
                <w:rFonts w:ascii="Arial" w:cs="Arial" w:eastAsia="Arial" w:hAnsi="Arial"/>
                <w:color w:val="1A1A1A"/>
                <w:sz w:val="18"/>
                <w:szCs w:val="18"/>
              </w:rPr>
              <w:t xml:space="preserve">Signature: ___________________</w:t>
            </w:r>
          </w:p>
          <w:p>
            <w:r>
              <w:rPr>
                <w:rFonts w:ascii="Arial" w:cs="Arial" w:eastAsia="Arial" w:hAnsi="Arial"/>
                <w:color w:val="1A1A1A"/>
                <w:sz w:val="18"/>
                <w:szCs w:val="18"/>
              </w:rPr>
              <w:t xml:space="preserve">Date: ________________________</w:t>
            </w:r>
          </w:p>
        </w:tc>
      </w:tr>
    </w:tbl>
    <w:p>
      <w:pPr>
        <w:spacing w:after="300"/>
      </w:pPr>
    </w:p>
    <w:p>
      <w:pPr>
        <w:pBdr>
          <w:bottom w:val="single" w:color="8B0000" w:sz="6" w:space="1"/>
        </w:pBdr>
        <w:spacing w:after="200"/>
      </w:pPr>
    </w:p>
    <w:p>
      <w:pPr>
        <w:spacing w:after="0" w:before="200"/>
        <w:jc w:val="center"/>
      </w:pPr>
      <w:r>
        <w:rPr>
          <w:rFonts w:ascii="Arial" w:cs="Arial" w:eastAsia="Arial" w:hAnsi="Arial"/>
          <w:caps/>
          <w:color w:val="888888"/>
          <w:sz w:val="18"/>
          <w:szCs w:val="18"/>
        </w:rPr>
        <w:t xml:space="preserve">END OF DOCUMENT — CATALYST OS INSTITUTIONAL LICENSING TERMS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1"/>
      </w:pBdr>
      <w:jc w:val="center"/>
    </w:pPr>
    <w:r>
      <w:rPr>
        <w:rFonts w:ascii="Arial" w:cs="Arial" w:eastAsia="Arial" w:hAnsi="Arial"/>
        <w:color w:val="888888"/>
        <w:sz w:val="16"/>
        <w:szCs w:val="16"/>
      </w:rPr>
      <w:t xml:space="preserve">Catalyst OS IP  |  Proprietary &amp; Confidential  |  v1.0 — 2026  |  Lagos, Nigeria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pPr>
    <w:r>
      <w:rPr>
        <w:rFonts w:ascii="Arial" w:cs="Arial" w:eastAsia="Arial" w:hAnsi="Arial"/>
        <w:b/>
        <w:bCs/>
        <w:color w:val="8B0000"/>
        <w:sz w:val="18"/>
        <w:szCs w:val="18"/>
      </w:rPr>
      <w:t xml:space="preserve">CATALYST OS</w:t>
    </w:r>
    <w:r>
      <w:rPr>
        <w:rFonts w:ascii="Arial" w:cs="Arial" w:eastAsia="Arial" w:hAnsi="Arial"/>
        <w:color w:val="888888"/>
        <w:sz w:val="18"/>
        <w:szCs w:val="18"/>
      </w:rPr>
      <w:t xml:space="preserve">  |  INSTITUTIONAL LICENSING TERMS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2026-04-15T09:28:05.114Z</dcterms:created>
  <dcterms:modified xsi:type="dcterms:W3CDTF">2026-04-15T09:28:05.115Z</dcterms:modified>
</cp:coreProperties>
</file>

<file path=docProps/custom.xml><?xml version="1.0" encoding="utf-8"?>
<Properties xmlns="http://schemas.openxmlformats.org/officeDocument/2006/custom-properties" xmlns:vt="http://schemas.openxmlformats.org/officeDocument/2006/docPropsVTypes"/>
</file>