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Based on the control assessment and compliance checklist, there are many aspects that need to be improved and added. You can refer to the checklist with the “no” mark.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