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a86e8"/>
          <w:sz w:val="58"/>
          <w:szCs w:val="58"/>
        </w:rPr>
      </w:pPr>
      <w:bookmarkStart w:colFirst="0" w:colLast="0" w:name="_5x0d5h95i329" w:id="0"/>
      <w:bookmarkEnd w:id="0"/>
      <w:r w:rsidDel="00000000" w:rsidR="00000000" w:rsidRPr="00000000">
        <w:rPr>
          <w:b w:val="1"/>
          <w:bCs w:val="1"/>
          <w:color w:val="4a86e8"/>
          <w:sz w:val="58"/>
          <w:szCs w:val="58"/>
          <w:rtl w:val="0"/>
        </w:rPr>
        <w:t xml:space="preserve">Vulnerability Assessment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8"/>
          <w:szCs w:val="28"/>
        </w:rPr>
      </w:pPr>
      <w:bookmarkStart w:colFirst="0" w:colLast="0" w:name="_af80tl7prv5v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15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May 2026</w:t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8"/>
          <w:szCs w:val="28"/>
        </w:rPr>
      </w:pPr>
      <w:bookmarkStart w:colFirst="0" w:colLast="0" w:name="_nhcy8rpxthcf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buc6q0k08dmn" w:id="3"/>
      <w:bookmarkEnd w:id="3"/>
      <w:r w:rsidDel="00000000" w:rsidR="00000000" w:rsidRPr="00000000">
        <w:rPr>
          <w:rtl w:val="0"/>
        </w:rPr>
        <w:t xml:space="preserve">System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server hardware consists of a powerful CPU processor and 128GB of memory. It runs on the latest version of Linux operating system and hosts a MySQL database management system. It is configured with a stable network connection using IPv4 addresses and interacts with other servers on the network. Security measures include SSL/TLS encrypted connections.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e64wndl8jmz1" w:id="4"/>
      <w:bookmarkEnd w:id="4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scope of this vulnerability assessment relates to the current access controls of the system. The assessment will cover a period of three months, from June 20XX to August 20XX.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NIST SP 800-30 Rev. 1</w:t>
        </w:r>
      </w:hyperlink>
      <w:r w:rsidDel="00000000" w:rsidR="00000000" w:rsidRPr="00000000">
        <w:rPr>
          <w:rtl w:val="0"/>
        </w:rPr>
        <w:t xml:space="preserve"> is used to guide the risk analysis of the information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rPr/>
      </w:pPr>
      <w:bookmarkStart w:colFirst="0" w:colLast="0" w:name="_oymnw3nlvwib" w:id="5"/>
      <w:bookmarkEnd w:id="5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Consider the following questions to help you write: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is the database server valuable to the business? Because it contains valuable and private information of the company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before="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Why is it important for the business to secure the data on the server? So it wouldn’t be vulnerable to an attack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might the server impact the business if it were disabled? If it were disabled, the business can’t be run, so no transaction happen which means no profit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i2ip4lwifo50" w:id="6"/>
      <w:bookmarkEnd w:id="6"/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3615"/>
        <w:gridCol w:w="1395"/>
        <w:gridCol w:w="1320"/>
        <w:gridCol w:w="1110"/>
        <w:tblGridChange w:id="0">
          <w:tblGrid>
            <w:gridCol w:w="1860"/>
            <w:gridCol w:w="3615"/>
            <w:gridCol w:w="1395"/>
            <w:gridCol w:w="1320"/>
            <w:gridCol w:w="111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Threat source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Threat event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Likelihood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E.g. Competitor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Obtain sensitive information via exfiltration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networking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Conduct Denial of Service (DoS) attacks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Vulnerable 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Alter/Delete critical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a9ivkvfuz16w" w:id="7"/>
      <w:bookmarkEnd w:id="7"/>
      <w:r w:rsidDel="00000000" w:rsidR="00000000" w:rsidRPr="00000000">
        <w:rPr>
          <w:rtl w:val="0"/>
        </w:rPr>
        <w:t xml:space="preserve">Approach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Risks considered the data storage and management methods of the business. The likelihood of a threat occurrence and the impact of these potential events were weighed against the risks to day-to-day operational needs.</w:t>
      </w:r>
    </w:p>
    <w:p w:rsidR="00000000" w:rsidDel="00000000" w:rsidP="00000000" w:rsidRDefault="00000000" w:rsidRPr="00000000" w14:paraId="0000002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f6vykh0xvv7" w:id="8"/>
      <w:bookmarkEnd w:id="8"/>
      <w:r w:rsidDel="00000000" w:rsidR="00000000" w:rsidRPr="00000000">
        <w:rPr>
          <w:rtl w:val="0"/>
        </w:rPr>
        <w:t xml:space="preserve">Remediation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Implementation of authentication, authorization, and auditing mechanisms to ensure that only authorized users access the database server. This includes using strong passwords, role-based access controls, and multi-factor authentication to limit user privileges. Encryption of data in motion using TLS instead of SSL. IP allow-listing to corporate offices to prevent random users from the internet from connecting to the database.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ageBreakBefore w:val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b w:val="1"/>
      <w:bCs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pRpdpQMEWskxSkwqEMv8W7A7x8GXQlcn0hEcDzWet3Y/template/preview?usp=sharing&amp;resourcekey=0-3GRRWAd8HryVgof-Jc33yA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