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8509" cy="6143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88509"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Industrial Engineering</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Mechanical Engineering </w:t>
      </w:r>
      <w:r w:rsidDel="00000000" w:rsidR="00000000" w:rsidRPr="00000000">
        <w:rPr>
          <w:rtl w:val="0"/>
        </w:rPr>
      </w:r>
    </w:p>
    <w:tbl>
      <w:tblPr>
        <w:tblStyle w:val="Table1"/>
        <w:tblW w:w="7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560"/>
        <w:tblGridChange w:id="0">
          <w:tblGrid>
            <w:gridCol w:w="2970"/>
            <w:gridCol w:w="4560"/>
          </w:tblGrid>
        </w:tblGridChange>
      </w:tblGrid>
      <w:tr>
        <w:trPr>
          <w:cantSplit w:val="0"/>
          <w:tblHeader w:val="0"/>
        </w:trPr>
        <w:tc>
          <w:tcP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MEC713</w:t>
            </w:r>
          </w:p>
        </w:tc>
      </w:tr>
      <w:tr>
        <w:trPr>
          <w:cantSplit w:val="0"/>
          <w:tblHeader w:val="0"/>
        </w:trPr>
        <w:tc>
          <w:tcP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Fall/2023</w:t>
            </w:r>
          </w:p>
        </w:tc>
      </w:tr>
      <w:tr>
        <w:trPr>
          <w:cantSplit w:val="0"/>
          <w:tblHeader w:val="0"/>
        </w:trPr>
        <w:tc>
          <w:tcP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name</w:t>
            </w:r>
          </w:p>
        </w:tc>
        <w:tc>
          <w:tcPr>
            <w:vAlign w:val="top"/>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Sajad Saeedi</w:t>
            </w:r>
          </w:p>
        </w:tc>
      </w:tr>
      <w:tr>
        <w:trPr>
          <w:cantSplit w:val="0"/>
          <w:tblHeader w:val="0"/>
        </w:trPr>
        <w:tc>
          <w:tcPr>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name</w:t>
            </w:r>
          </w:p>
        </w:tc>
        <w:tc>
          <w:tcPr>
            <w:vAlign w:val="top"/>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Feze Golshani Gharie Ali</w:t>
            </w:r>
            <w:r w:rsidDel="00000000" w:rsidR="00000000" w:rsidRPr="00000000">
              <w:rPr>
                <w:rtl w:val="0"/>
              </w:rPr>
            </w:r>
          </w:p>
        </w:tc>
      </w:tr>
    </w:tbl>
    <w:p w:rsidR="00000000" w:rsidDel="00000000" w:rsidP="00000000" w:rsidRDefault="00000000" w:rsidRPr="00000000" w14:paraId="0000000E">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7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670"/>
        <w:gridCol w:w="2715"/>
        <w:tblGridChange w:id="0">
          <w:tblGrid>
            <w:gridCol w:w="1920"/>
            <w:gridCol w:w="2670"/>
            <w:gridCol w:w="2715"/>
          </w:tblGrid>
        </w:tblGridChange>
      </w:tblGrid>
      <w:tr>
        <w:trPr>
          <w:cantSplit w:val="0"/>
          <w:trHeight w:val="400" w:hRule="atLeast"/>
          <w:tblHeader w:val="0"/>
        </w:trPr>
        <w:tc>
          <w:tcPr>
            <w:gridSpan w:val="2"/>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Assignment No. </w:t>
            </w:r>
          </w:p>
        </w:tc>
        <w:tc>
          <w:tcP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0"/>
                <w:szCs w:val="40"/>
              </w:rPr>
            </w:pPr>
            <w:r w:rsidDel="00000000" w:rsidR="00000000" w:rsidRPr="00000000">
              <w:rPr>
                <w:b w:val="1"/>
                <w:bCs w:val="1"/>
                <w:sz w:val="40"/>
                <w:szCs w:val="40"/>
                <w:rtl w:val="0"/>
              </w:rPr>
              <w:t xml:space="preserve">2</w:t>
            </w:r>
            <w:r w:rsidDel="00000000" w:rsidR="00000000" w:rsidRPr="00000000">
              <w:rPr>
                <w:rtl w:val="0"/>
              </w:rPr>
            </w:r>
          </w:p>
        </w:tc>
      </w:tr>
    </w:tbl>
    <w:p w:rsidR="00000000" w:rsidDel="00000000" w:rsidP="00000000" w:rsidRDefault="00000000" w:rsidRPr="00000000" w14:paraId="00000012">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7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4820"/>
        <w:tblGridChange w:id="0">
          <w:tblGrid>
            <w:gridCol w:w="2977"/>
            <w:gridCol w:w="4820"/>
          </w:tblGrid>
        </w:tblGridChange>
      </w:tblGrid>
      <w:tr>
        <w:trPr>
          <w:cantSplit w:val="0"/>
          <w:tblHeader w:val="0"/>
        </w:trPr>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vAlign w:val="top"/>
          </w:tcPr>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sz w:val="28"/>
                <w:szCs w:val="28"/>
                <w:rtl w:val="0"/>
              </w:rPr>
              <w:t xml:space="preserve">16 October, 2023</w:t>
            </w: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sz w:val="28"/>
                <w:szCs w:val="28"/>
                <w:rtl w:val="0"/>
              </w:rPr>
              <w:t xml:space="preserve">14 October</w:t>
            </w:r>
            <w:r w:rsidDel="00000000" w:rsidR="00000000" w:rsidRPr="00000000">
              <w:rPr>
                <w:rFonts w:ascii="Times New Roman" w:cs="Times New Roman" w:eastAsia="Times New Roman" w:hAnsi="Times New Roman"/>
                <w:sz w:val="28"/>
                <w:szCs w:val="28"/>
                <w:rtl w:val="0"/>
              </w:rPr>
              <w:t xml:space="preserve">, 2023</w:t>
            </w:r>
          </w:p>
        </w:tc>
      </w:tr>
    </w:tbl>
    <w:p w:rsidR="00000000" w:rsidDel="00000000" w:rsidP="00000000" w:rsidRDefault="00000000" w:rsidRPr="00000000" w14:paraId="00000017">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4"/>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4.8859475311083"/>
        <w:gridCol w:w="3796.5570262344454"/>
        <w:gridCol w:w="3796.5570262344454"/>
        <w:tblGridChange w:id="0">
          <w:tblGrid>
            <w:gridCol w:w="2344.8859475311083"/>
            <w:gridCol w:w="3796.5570262344454"/>
            <w:gridCol w:w="3796.5570262344454"/>
          </w:tblGrid>
        </w:tblGridChange>
      </w:tblGrid>
      <w:tr>
        <w:trPr>
          <w:cantSplit w:val="0"/>
          <w:tblHeader w:val="0"/>
        </w:trPr>
        <w:tc>
          <w:tcP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 ID (xxxx1234)</w:t>
            </w:r>
            <w:r w:rsidDel="00000000" w:rsidR="00000000" w:rsidRPr="00000000">
              <w:rPr>
                <w:rtl w:val="0"/>
              </w:rPr>
            </w:r>
          </w:p>
        </w:tc>
        <w:tc>
          <w:tcP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Farris Hamid</w:t>
            </w:r>
          </w:p>
        </w:tc>
        <w:tc>
          <w:tcP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xxxx34692</w:t>
            </w:r>
          </w:p>
        </w:tc>
        <w:tc>
          <w:tcP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9713" cy="5811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9713" cy="5811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Remove the first 4 digits from your student ID)</w:t>
      </w:r>
    </w:p>
    <w:p w:rsidR="00000000" w:rsidDel="00000000" w:rsidP="00000000" w:rsidRDefault="00000000" w:rsidRPr="00000000" w14:paraId="0000001F">
      <w:pPr>
        <w:tabs>
          <w:tab w:val="left" w:leader="none" w:pos="9090"/>
        </w:tabs>
        <w:spacing w:line="240" w:lineRule="auto"/>
        <w:ind w:left="720" w:firstLine="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By signing above you attest that you have contributed to this submission and confirm that all work you have contributed to this submission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rFonts w:ascii="Times New Roman" w:cs="Times New Roman" w:eastAsia="Times New Roman" w:hAnsi="Times New Roman"/>
            <w:i w:val="1"/>
            <w:iCs w:val="1"/>
            <w:sz w:val="24"/>
            <w:szCs w:val="24"/>
            <w:rtl w:val="0"/>
          </w:rPr>
          <w:t xml:space="preserve">http://www.ryerson.ca/senate/policies/pol60.pdf</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pPr>
      <w:bookmarkStart w:colFirst="0" w:colLast="0" w:name="_ni6hjvsbnhs3"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rPr>
      </w:pPr>
      <w:bookmarkStart w:colFirst="0" w:colLast="0" w:name="_cq5nv9p3uzjb" w:id="2"/>
      <w:bookmarkEnd w:id="2"/>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2B">
      <w:pPr>
        <w:rPr/>
      </w:pPr>
      <w:r w:rsidDel="00000000" w:rsidR="00000000" w:rsidRPr="00000000">
        <w:rPr>
          <w:rtl w:val="0"/>
        </w:rPr>
        <w:t xml:space="preserve">PART A</w:t>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What do the results of the survey suggest about the applicability of APM beyond software development?</w:t>
      </w:r>
    </w:p>
    <w:p w:rsidR="00000000" w:rsidDel="00000000" w:rsidP="00000000" w:rsidRDefault="00000000" w:rsidRPr="00000000" w14:paraId="0000002D">
      <w:pPr>
        <w:numPr>
          <w:ilvl w:val="1"/>
          <w:numId w:val="1"/>
        </w:numPr>
        <w:ind w:left="1440" w:hanging="360"/>
        <w:rPr/>
      </w:pPr>
      <w:r w:rsidDel="00000000" w:rsidR="00000000" w:rsidRPr="00000000">
        <w:rPr>
          <w:rtl w:val="0"/>
        </w:rPr>
        <w:t xml:space="preserve">According to the study results, APM has a wide range of applications outside of software development. To begin, only 26% of respondents worked in software development. Although this is the highest individual representation, it is still in the minority when compared to the total number of industries covered in the poll, which means that 74% of respondents were from industries other than software development. Furthermore, respondents identified the capacity to manage changing priorities, higher team production, and improved product visibility as benefits of APM adoption; benefits that are prevalent across many industries beyond software development. </w:t>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What is your reaction to the tips offered to help ensure APM initiatives are successful?</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Given the reasons listed for APM adoption failure, the tips presented to help assure APM initiatives would most likely be ineffective. According to the report, one of these reasons is that company culture is not aligned with agile values, with overall organizational culture being one of the significant impediments. Despite this, all of the advice for successful APM projects recommend engaging external resources, despite the fact that cultural issues cannot be resolved by external resources. In summary, the tips presented felt quite "hand-wavy," as they all propose employing external resources to fix core, internal difficulties.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PART B</w:t>
      </w:r>
      <w:r w:rsidDel="00000000" w:rsidR="00000000" w:rsidRPr="00000000">
        <w:rPr>
          <w:rtl w:val="0"/>
        </w:rPr>
      </w:r>
    </w:p>
    <w:p w:rsidR="00000000" w:rsidDel="00000000" w:rsidP="00000000" w:rsidRDefault="00000000" w:rsidRPr="00000000" w14:paraId="00000032">
      <w:pPr>
        <w:numPr>
          <w:ilvl w:val="0"/>
          <w:numId w:val="1"/>
        </w:numPr>
        <w:ind w:left="720" w:hanging="360"/>
        <w:rPr>
          <w:b w:val="1"/>
          <w:bCs w:val="1"/>
        </w:rPr>
      </w:pPr>
      <w:r w:rsidDel="00000000" w:rsidR="00000000" w:rsidRPr="00000000">
        <w:rPr>
          <w:b w:val="1"/>
          <w:bCs w:val="1"/>
          <w:rtl w:val="0"/>
        </w:rPr>
        <w:t xml:space="preserve">Do long project durations in other industries also lead to conflicts and project problems?</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As the dispute between Fortis and ABN Amro proved, the longer a project takes, the more conflicts occur. It is reasonable to assume that this is a widespread problem in other businesses, as timetables are a major cause of contention. The longer a project takes, the more likely it is that it will not fulfill its deadlines, which can lead to personality clashes due to time constraints. If these conflicts are not appropriately resolved, they are more likely to exacerbate as the project duration grows. From a purely statistical standpoint, the longer a project takes, the more likely it is that conflicts will emerge, regardless of industry.</w:t>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Was the difficulty in this situation due to the upset ABN Amro employees, or were there more serious project planning problems?</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Fortis followed every phase of a principled negotiation process in their effort to purchase ABN Amro. They intended to make decisions based on facts rather than emotions by relying on ABN Amro's data, so as to "separate the people from the problem." They concentrated on interests rather than positions since they made no assertions of imminent desires. Fortis also created mutual benefit alternatives by involving ABN Amro in the decision-making process, and they insisted on utilizing objective criteria by basing their IT system selections on functionality, cost, and maintainability.  Overall, Fortis tried to use a collaborative (win-win) strategy for conflict resolution, but ABN Amro maintained their avoidance (lose-lose) strategy.</w:t>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Do you agree with the “solution” exemplified by BNP? Might there be some compromise plan?</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BNB's</w:t>
      </w:r>
      <w:r w:rsidDel="00000000" w:rsidR="00000000" w:rsidRPr="00000000">
        <w:rPr>
          <w:rtl w:val="0"/>
        </w:rPr>
        <w:t xml:space="preserve"> solution exemplifies the "competing" conflict management method, which embodies a "I win, you lose" mentality. In this scenario, BNB "won" since Fortis' accounts, data, and team were incorporated into BNB's own organizational structure, with BNB personnel taking on crucial roles. Meanwhile, Fortis "lost" since they were not given the opportunity to make feedback on how the merger would be carried out. Although the approach was unpopular among Fortis employees, it yielded dividends, as BNB was able to construct four global centers in Brussels, and the majority of Fortis staff retained their employment.  Therefore, a collaborative strategy of conflict management would have allowed that neither parties “won” or “lost,” possibly reaching a solution that would have sat better with the Fortis employees, but it may not have produced the same results and definitely would not have been as fast as the solution exemplified by BNB. The competing strategy of conflict management used by BNB was the best choice as it is best employed when a decision needs to be made quickly; and given that Fortis had just become bankrupt, it is certain they were keen to rebuild as fast as possible.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ryerson.ca/senate/policies/pol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