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2400" w:line="240" w:lineRule="auto"/>
        <w:ind w:left="-567" w:firstLine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b w:val="1"/>
          <w:sz w:val="72"/>
          <w:szCs w:val="72"/>
          <w:rtl w:val="0"/>
        </w:rPr>
        <w:t xml:space="preserve">SEA Case Competition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line="240" w:lineRule="auto"/>
        <w:ind w:left="-426" w:hanging="141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ENVELOPE B</w:t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Waqas Ahmad, Farris Hamid, Tess King, Sohaib Hassan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For: Richard Bezak (Vice President)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Dated: November 2, 2020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Ryerson University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Proponent’s Legal Name: </w:t>
      </w:r>
      <w:r w:rsidDel="00000000" w:rsidR="00000000" w:rsidRPr="00000000">
        <w:rPr>
          <w:rtl w:val="0"/>
        </w:rPr>
        <w:t xml:space="preserve">Ascheles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Table of Items and Prices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Upset Limit ($)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Studies (any studies you think would be required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 correlated cost. Examples are listed below)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Define Bioswales, Berm &amp; Electrodialysis Vision and Strategy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$60,000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Perform Bioswales, Berm &amp; Electrodialysis Research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$40,000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Ideation of Bioswales, Berm &amp; Electrodialysis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$25,000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Commence Design Work of Bioswales, Berm &amp; Electrodialysis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$100,000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and Validate the Bioswales, Berm &amp; Electrodialysis Design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$200,000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Permits (any foreseeable permits and correlated cost)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Toronto and Region Conservation Authority's Environmental Assessment Review and Permit (Electrodialysis)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$43,000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Landscape Construction Permit (Bioswale &amp; Berm)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$3000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Construction and Contract Administration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Bioswales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$ 12,000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Berms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$ 4,319.55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Electrodialysis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$3,000,000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UPSET LIMIT FEE (excluding HST)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$3,487,320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