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626B8" w14:textId="77777777" w:rsidR="00CF68AA" w:rsidRDefault="00000000">
      <w:pPr>
        <w:shd w:val="clear" w:color="auto" w:fill="9C1C29"/>
        <w:spacing w:after="80"/>
        <w:ind w:left="120" w:right="120"/>
      </w:pPr>
      <w:r>
        <w:rPr>
          <w:b/>
          <w:color w:val="FFFFFF"/>
          <w:sz w:val="36"/>
        </w:rPr>
        <w:t>Phase 2 Evaluation — SentimentEdge</w:t>
      </w:r>
    </w:p>
    <w:p w14:paraId="6F1861DE" w14:textId="77777777" w:rsidR="00CF68AA" w:rsidRDefault="00000000">
      <w:pPr>
        <w:spacing w:after="240"/>
      </w:pPr>
      <w:r>
        <w:rPr>
          <w:i/>
          <w:color w:val="6B6B6B"/>
        </w:rPr>
        <w:t>94815 Agentic Technologies · CMU Heinz College</w:t>
      </w:r>
    </w:p>
    <w:p w14:paraId="156F799D" w14:textId="77777777" w:rsidR="00CF68AA" w:rsidRDefault="00000000">
      <w:pPr>
        <w:spacing w:after="40"/>
      </w:pPr>
      <w:r>
        <w:rPr>
          <w:b/>
          <w:color w:val="1A1A1A"/>
        </w:rPr>
        <w:t xml:space="preserve">Team: </w:t>
      </w:r>
      <w:r>
        <w:rPr>
          <w:color w:val="1A1A1A"/>
        </w:rPr>
        <w:t>Farrukh Masood, Pablo, Moid, Afaq</w:t>
      </w:r>
    </w:p>
    <w:p w14:paraId="7099282A" w14:textId="77777777" w:rsidR="00CF68AA" w:rsidRDefault="00000000">
      <w:pPr>
        <w:spacing w:after="40"/>
      </w:pPr>
      <w:r>
        <w:rPr>
          <w:b/>
          <w:color w:val="1A1A1A"/>
        </w:rPr>
        <w:t xml:space="preserve">Project: </w:t>
      </w:r>
      <w:r>
        <w:rPr>
          <w:color w:val="1A1A1A"/>
        </w:rPr>
        <w:t>SentimentEdge — Five-Agent Sequential Pipeline (Track A)</w:t>
      </w:r>
    </w:p>
    <w:p w14:paraId="3EA6D2F0" w14:textId="77777777" w:rsidR="00CF68AA" w:rsidRDefault="00000000">
      <w:pPr>
        <w:spacing w:after="240"/>
      </w:pPr>
      <w:r>
        <w:rPr>
          <w:b/>
          <w:color w:val="9C1C29"/>
          <w:sz w:val="26"/>
        </w:rPr>
        <w:t>Score: 93 / 100</w:t>
      </w:r>
    </w:p>
    <w:tbl>
      <w:tblPr>
        <w:tblW w:w="0" w:type="auto"/>
        <w:tblLayout w:type="fixed"/>
        <w:tblLook w:val="04A0" w:firstRow="1" w:lastRow="0" w:firstColumn="1" w:lastColumn="0" w:noHBand="0" w:noVBand="1"/>
      </w:tblPr>
      <w:tblGrid>
        <w:gridCol w:w="6048"/>
        <w:gridCol w:w="1584"/>
        <w:gridCol w:w="1584"/>
      </w:tblGrid>
      <w:tr w:rsidR="00CF68AA" w14:paraId="70F58873" w14:textId="77777777">
        <w:tc>
          <w:tcPr>
            <w:tcW w:w="6048" w:type="dxa"/>
            <w:tcBorders>
              <w:top w:val="single" w:sz="4" w:space="0" w:color="9C1C29"/>
              <w:left w:val="single" w:sz="4" w:space="0" w:color="9C1C29"/>
              <w:bottom w:val="single" w:sz="4" w:space="0" w:color="9C1C29"/>
              <w:right w:val="single" w:sz="4" w:space="0" w:color="9C1C29"/>
            </w:tcBorders>
            <w:shd w:val="clear" w:color="auto" w:fill="9C1C29"/>
          </w:tcPr>
          <w:p w14:paraId="20F70872" w14:textId="77777777" w:rsidR="00CF68AA" w:rsidRDefault="00000000">
            <w:pPr>
              <w:spacing w:before="40" w:after="40"/>
            </w:pPr>
            <w:r>
              <w:rPr>
                <w:b/>
                <w:color w:val="FFFFFF"/>
              </w:rPr>
              <w:t>Dimension</w:t>
            </w:r>
          </w:p>
        </w:tc>
        <w:tc>
          <w:tcPr>
            <w:tcW w:w="1584" w:type="dxa"/>
            <w:tcBorders>
              <w:top w:val="single" w:sz="4" w:space="0" w:color="9C1C29"/>
              <w:left w:val="single" w:sz="4" w:space="0" w:color="9C1C29"/>
              <w:bottom w:val="single" w:sz="4" w:space="0" w:color="9C1C29"/>
              <w:right w:val="single" w:sz="4" w:space="0" w:color="9C1C29"/>
            </w:tcBorders>
            <w:shd w:val="clear" w:color="auto" w:fill="9C1C29"/>
          </w:tcPr>
          <w:p w14:paraId="400BCD4A" w14:textId="77777777" w:rsidR="00CF68AA" w:rsidRDefault="00000000">
            <w:pPr>
              <w:spacing w:before="40" w:after="40"/>
              <w:jc w:val="center"/>
            </w:pPr>
            <w:r>
              <w:rPr>
                <w:b/>
                <w:color w:val="FFFFFF"/>
              </w:rPr>
              <w:t>Score</w:t>
            </w:r>
          </w:p>
        </w:tc>
        <w:tc>
          <w:tcPr>
            <w:tcW w:w="1584" w:type="dxa"/>
            <w:tcBorders>
              <w:top w:val="single" w:sz="4" w:space="0" w:color="9C1C29"/>
              <w:left w:val="single" w:sz="4" w:space="0" w:color="9C1C29"/>
              <w:bottom w:val="single" w:sz="4" w:space="0" w:color="9C1C29"/>
              <w:right w:val="single" w:sz="4" w:space="0" w:color="9C1C29"/>
            </w:tcBorders>
            <w:shd w:val="clear" w:color="auto" w:fill="9C1C29"/>
          </w:tcPr>
          <w:p w14:paraId="1FCF5B7D" w14:textId="77777777" w:rsidR="00CF68AA" w:rsidRDefault="00000000">
            <w:pPr>
              <w:spacing w:before="40" w:after="40"/>
              <w:jc w:val="center"/>
            </w:pPr>
            <w:r>
              <w:rPr>
                <w:b/>
                <w:color w:val="FFFFFF"/>
              </w:rPr>
              <w:t>Max</w:t>
            </w:r>
          </w:p>
        </w:tc>
      </w:tr>
      <w:tr w:rsidR="00CF68AA" w14:paraId="292372F1" w14:textId="77777777">
        <w:tc>
          <w:tcPr>
            <w:tcW w:w="6048" w:type="dxa"/>
            <w:tcBorders>
              <w:top w:val="single" w:sz="4" w:space="0" w:color="D9D9D9"/>
              <w:left w:val="single" w:sz="4" w:space="0" w:color="D9D9D9"/>
              <w:bottom w:val="single" w:sz="4" w:space="0" w:color="D9D9D9"/>
              <w:right w:val="single" w:sz="4" w:space="0" w:color="D9D9D9"/>
            </w:tcBorders>
          </w:tcPr>
          <w:p w14:paraId="16808CE8" w14:textId="77777777" w:rsidR="00CF68AA" w:rsidRDefault="00000000">
            <w:pPr>
              <w:spacing w:before="40" w:after="40"/>
            </w:pPr>
            <w:r>
              <w:rPr>
                <w:color w:val="1A1A1A"/>
              </w:rPr>
              <w:t>Architecture &amp; Role Design</w:t>
            </w:r>
          </w:p>
        </w:tc>
        <w:tc>
          <w:tcPr>
            <w:tcW w:w="1584" w:type="dxa"/>
            <w:tcBorders>
              <w:top w:val="single" w:sz="4" w:space="0" w:color="D9D9D9"/>
              <w:left w:val="single" w:sz="4" w:space="0" w:color="D9D9D9"/>
              <w:bottom w:val="single" w:sz="4" w:space="0" w:color="D9D9D9"/>
              <w:right w:val="single" w:sz="4" w:space="0" w:color="D9D9D9"/>
            </w:tcBorders>
          </w:tcPr>
          <w:p w14:paraId="5CAA4DC3" w14:textId="77777777" w:rsidR="00CF68AA" w:rsidRDefault="00000000">
            <w:pPr>
              <w:spacing w:before="40" w:after="40"/>
              <w:jc w:val="center"/>
            </w:pPr>
            <w:r>
              <w:rPr>
                <w:color w:val="1A1A1A"/>
              </w:rPr>
              <w:t>23</w:t>
            </w:r>
          </w:p>
        </w:tc>
        <w:tc>
          <w:tcPr>
            <w:tcW w:w="1584" w:type="dxa"/>
            <w:tcBorders>
              <w:top w:val="single" w:sz="4" w:space="0" w:color="D9D9D9"/>
              <w:left w:val="single" w:sz="4" w:space="0" w:color="D9D9D9"/>
              <w:bottom w:val="single" w:sz="4" w:space="0" w:color="D9D9D9"/>
              <w:right w:val="single" w:sz="4" w:space="0" w:color="D9D9D9"/>
            </w:tcBorders>
          </w:tcPr>
          <w:p w14:paraId="0C76157F" w14:textId="77777777" w:rsidR="00CF68AA" w:rsidRDefault="00000000">
            <w:pPr>
              <w:spacing w:before="40" w:after="40"/>
              <w:jc w:val="center"/>
            </w:pPr>
            <w:r>
              <w:rPr>
                <w:color w:val="1A1A1A"/>
              </w:rPr>
              <w:t>25</w:t>
            </w:r>
          </w:p>
        </w:tc>
      </w:tr>
      <w:tr w:rsidR="00CF68AA" w14:paraId="41D0C9D6" w14:textId="77777777">
        <w:tc>
          <w:tcPr>
            <w:tcW w:w="6048" w:type="dxa"/>
            <w:tcBorders>
              <w:top w:val="single" w:sz="4" w:space="0" w:color="D9D9D9"/>
              <w:left w:val="single" w:sz="4" w:space="0" w:color="D9D9D9"/>
              <w:bottom w:val="single" w:sz="4" w:space="0" w:color="D9D9D9"/>
              <w:right w:val="single" w:sz="4" w:space="0" w:color="D9D9D9"/>
            </w:tcBorders>
          </w:tcPr>
          <w:p w14:paraId="4FFD5E2B" w14:textId="77777777" w:rsidR="00CF68AA" w:rsidRDefault="00000000">
            <w:pPr>
              <w:spacing w:before="40" w:after="40"/>
            </w:pPr>
            <w:r>
              <w:rPr>
                <w:color w:val="1A1A1A"/>
              </w:rPr>
              <w:t>Tools, Memory, Data &amp; State Design</w:t>
            </w:r>
          </w:p>
        </w:tc>
        <w:tc>
          <w:tcPr>
            <w:tcW w:w="1584" w:type="dxa"/>
            <w:tcBorders>
              <w:top w:val="single" w:sz="4" w:space="0" w:color="D9D9D9"/>
              <w:left w:val="single" w:sz="4" w:space="0" w:color="D9D9D9"/>
              <w:bottom w:val="single" w:sz="4" w:space="0" w:color="D9D9D9"/>
              <w:right w:val="single" w:sz="4" w:space="0" w:color="D9D9D9"/>
            </w:tcBorders>
          </w:tcPr>
          <w:p w14:paraId="46127090" w14:textId="77777777" w:rsidR="00CF68AA" w:rsidRDefault="00000000">
            <w:pPr>
              <w:spacing w:before="40" w:after="40"/>
              <w:jc w:val="center"/>
            </w:pPr>
            <w:r>
              <w:rPr>
                <w:color w:val="1A1A1A"/>
              </w:rPr>
              <w:t>18</w:t>
            </w:r>
          </w:p>
        </w:tc>
        <w:tc>
          <w:tcPr>
            <w:tcW w:w="1584" w:type="dxa"/>
            <w:tcBorders>
              <w:top w:val="single" w:sz="4" w:space="0" w:color="D9D9D9"/>
              <w:left w:val="single" w:sz="4" w:space="0" w:color="D9D9D9"/>
              <w:bottom w:val="single" w:sz="4" w:space="0" w:color="D9D9D9"/>
              <w:right w:val="single" w:sz="4" w:space="0" w:color="D9D9D9"/>
            </w:tcBorders>
          </w:tcPr>
          <w:p w14:paraId="4C750F17" w14:textId="77777777" w:rsidR="00CF68AA" w:rsidRDefault="00000000">
            <w:pPr>
              <w:spacing w:before="40" w:after="40"/>
              <w:jc w:val="center"/>
            </w:pPr>
            <w:r>
              <w:rPr>
                <w:color w:val="1A1A1A"/>
              </w:rPr>
              <w:t>20</w:t>
            </w:r>
          </w:p>
        </w:tc>
      </w:tr>
      <w:tr w:rsidR="00CF68AA" w14:paraId="352511D8" w14:textId="77777777">
        <w:tc>
          <w:tcPr>
            <w:tcW w:w="6048" w:type="dxa"/>
            <w:tcBorders>
              <w:top w:val="single" w:sz="4" w:space="0" w:color="D9D9D9"/>
              <w:left w:val="single" w:sz="4" w:space="0" w:color="D9D9D9"/>
              <w:bottom w:val="single" w:sz="4" w:space="0" w:color="D9D9D9"/>
              <w:right w:val="single" w:sz="4" w:space="0" w:color="D9D9D9"/>
            </w:tcBorders>
          </w:tcPr>
          <w:p w14:paraId="01DBE07A" w14:textId="77777777" w:rsidR="00CF68AA" w:rsidRDefault="00000000">
            <w:pPr>
              <w:spacing w:before="40" w:after="40"/>
            </w:pPr>
            <w:r>
              <w:rPr>
                <w:color w:val="1A1A1A"/>
              </w:rPr>
              <w:t>Prototype Quality</w:t>
            </w:r>
          </w:p>
        </w:tc>
        <w:tc>
          <w:tcPr>
            <w:tcW w:w="1584" w:type="dxa"/>
            <w:tcBorders>
              <w:top w:val="single" w:sz="4" w:space="0" w:color="D9D9D9"/>
              <w:left w:val="single" w:sz="4" w:space="0" w:color="D9D9D9"/>
              <w:bottom w:val="single" w:sz="4" w:space="0" w:color="D9D9D9"/>
              <w:right w:val="single" w:sz="4" w:space="0" w:color="D9D9D9"/>
            </w:tcBorders>
          </w:tcPr>
          <w:p w14:paraId="6B3F519A" w14:textId="77777777" w:rsidR="00CF68AA" w:rsidRDefault="00000000">
            <w:pPr>
              <w:spacing w:before="40" w:after="40"/>
              <w:jc w:val="center"/>
            </w:pPr>
            <w:r>
              <w:rPr>
                <w:color w:val="1A1A1A"/>
              </w:rPr>
              <w:t>14</w:t>
            </w:r>
          </w:p>
        </w:tc>
        <w:tc>
          <w:tcPr>
            <w:tcW w:w="1584" w:type="dxa"/>
            <w:tcBorders>
              <w:top w:val="single" w:sz="4" w:space="0" w:color="D9D9D9"/>
              <w:left w:val="single" w:sz="4" w:space="0" w:color="D9D9D9"/>
              <w:bottom w:val="single" w:sz="4" w:space="0" w:color="D9D9D9"/>
              <w:right w:val="single" w:sz="4" w:space="0" w:color="D9D9D9"/>
            </w:tcBorders>
          </w:tcPr>
          <w:p w14:paraId="772A845E" w14:textId="77777777" w:rsidR="00CF68AA" w:rsidRDefault="00000000">
            <w:pPr>
              <w:spacing w:before="40" w:after="40"/>
              <w:jc w:val="center"/>
            </w:pPr>
            <w:r>
              <w:rPr>
                <w:color w:val="1A1A1A"/>
              </w:rPr>
              <w:t>15</w:t>
            </w:r>
          </w:p>
        </w:tc>
      </w:tr>
      <w:tr w:rsidR="00CF68AA" w14:paraId="6D1C6959" w14:textId="77777777">
        <w:tc>
          <w:tcPr>
            <w:tcW w:w="6048" w:type="dxa"/>
            <w:tcBorders>
              <w:top w:val="single" w:sz="4" w:space="0" w:color="D9D9D9"/>
              <w:left w:val="single" w:sz="4" w:space="0" w:color="D9D9D9"/>
              <w:bottom w:val="single" w:sz="4" w:space="0" w:color="D9D9D9"/>
              <w:right w:val="single" w:sz="4" w:space="0" w:color="D9D9D9"/>
            </w:tcBorders>
          </w:tcPr>
          <w:p w14:paraId="6A2A6382" w14:textId="77777777" w:rsidR="00CF68AA" w:rsidRDefault="00000000">
            <w:pPr>
              <w:spacing w:before="40" w:after="40"/>
            </w:pPr>
            <w:r>
              <w:rPr>
                <w:color w:val="1A1A1A"/>
              </w:rPr>
              <w:t>Evaluation Plan &amp; Test Design</w:t>
            </w:r>
          </w:p>
        </w:tc>
        <w:tc>
          <w:tcPr>
            <w:tcW w:w="1584" w:type="dxa"/>
            <w:tcBorders>
              <w:top w:val="single" w:sz="4" w:space="0" w:color="D9D9D9"/>
              <w:left w:val="single" w:sz="4" w:space="0" w:color="D9D9D9"/>
              <w:bottom w:val="single" w:sz="4" w:space="0" w:color="D9D9D9"/>
              <w:right w:val="single" w:sz="4" w:space="0" w:color="D9D9D9"/>
            </w:tcBorders>
          </w:tcPr>
          <w:p w14:paraId="77385C79" w14:textId="77777777" w:rsidR="00CF68AA" w:rsidRDefault="00000000">
            <w:pPr>
              <w:spacing w:before="40" w:after="40"/>
              <w:jc w:val="center"/>
            </w:pPr>
            <w:r>
              <w:rPr>
                <w:color w:val="1A1A1A"/>
              </w:rPr>
              <w:t>19</w:t>
            </w:r>
          </w:p>
        </w:tc>
        <w:tc>
          <w:tcPr>
            <w:tcW w:w="1584" w:type="dxa"/>
            <w:tcBorders>
              <w:top w:val="single" w:sz="4" w:space="0" w:color="D9D9D9"/>
              <w:left w:val="single" w:sz="4" w:space="0" w:color="D9D9D9"/>
              <w:bottom w:val="single" w:sz="4" w:space="0" w:color="D9D9D9"/>
              <w:right w:val="single" w:sz="4" w:space="0" w:color="D9D9D9"/>
            </w:tcBorders>
          </w:tcPr>
          <w:p w14:paraId="48407D86" w14:textId="77777777" w:rsidR="00CF68AA" w:rsidRDefault="00000000">
            <w:pPr>
              <w:spacing w:before="40" w:after="40"/>
              <w:jc w:val="center"/>
            </w:pPr>
            <w:r>
              <w:rPr>
                <w:color w:val="1A1A1A"/>
              </w:rPr>
              <w:t>20</w:t>
            </w:r>
          </w:p>
        </w:tc>
      </w:tr>
      <w:tr w:rsidR="00CF68AA" w14:paraId="70595EF8" w14:textId="77777777">
        <w:tc>
          <w:tcPr>
            <w:tcW w:w="6048" w:type="dxa"/>
            <w:tcBorders>
              <w:top w:val="single" w:sz="4" w:space="0" w:color="D9D9D9"/>
              <w:left w:val="single" w:sz="4" w:space="0" w:color="D9D9D9"/>
              <w:bottom w:val="single" w:sz="4" w:space="0" w:color="D9D9D9"/>
              <w:right w:val="single" w:sz="4" w:space="0" w:color="D9D9D9"/>
            </w:tcBorders>
          </w:tcPr>
          <w:p w14:paraId="76027C35" w14:textId="77777777" w:rsidR="00CF68AA" w:rsidRDefault="00000000">
            <w:pPr>
              <w:spacing w:before="40" w:after="40"/>
            </w:pPr>
            <w:r>
              <w:rPr>
                <w:color w:val="1A1A1A"/>
              </w:rPr>
              <w:t>Risk &amp; Governance Thinking</w:t>
            </w:r>
          </w:p>
        </w:tc>
        <w:tc>
          <w:tcPr>
            <w:tcW w:w="1584" w:type="dxa"/>
            <w:tcBorders>
              <w:top w:val="single" w:sz="4" w:space="0" w:color="D9D9D9"/>
              <w:left w:val="single" w:sz="4" w:space="0" w:color="D9D9D9"/>
              <w:bottom w:val="single" w:sz="4" w:space="0" w:color="D9D9D9"/>
              <w:right w:val="single" w:sz="4" w:space="0" w:color="D9D9D9"/>
            </w:tcBorders>
          </w:tcPr>
          <w:p w14:paraId="5863E747" w14:textId="77777777" w:rsidR="00CF68AA" w:rsidRDefault="00000000">
            <w:pPr>
              <w:spacing w:before="40" w:after="40"/>
              <w:jc w:val="center"/>
            </w:pPr>
            <w:r>
              <w:rPr>
                <w:color w:val="1A1A1A"/>
              </w:rPr>
              <w:t>9</w:t>
            </w:r>
          </w:p>
        </w:tc>
        <w:tc>
          <w:tcPr>
            <w:tcW w:w="1584" w:type="dxa"/>
            <w:tcBorders>
              <w:top w:val="single" w:sz="4" w:space="0" w:color="D9D9D9"/>
              <w:left w:val="single" w:sz="4" w:space="0" w:color="D9D9D9"/>
              <w:bottom w:val="single" w:sz="4" w:space="0" w:color="D9D9D9"/>
              <w:right w:val="single" w:sz="4" w:space="0" w:color="D9D9D9"/>
            </w:tcBorders>
          </w:tcPr>
          <w:p w14:paraId="0BAC6989" w14:textId="77777777" w:rsidR="00CF68AA" w:rsidRDefault="00000000">
            <w:pPr>
              <w:spacing w:before="40" w:after="40"/>
              <w:jc w:val="center"/>
            </w:pPr>
            <w:r>
              <w:rPr>
                <w:color w:val="1A1A1A"/>
              </w:rPr>
              <w:t>10</w:t>
            </w:r>
          </w:p>
        </w:tc>
      </w:tr>
      <w:tr w:rsidR="00CF68AA" w14:paraId="5BFD57BF" w14:textId="77777777">
        <w:tc>
          <w:tcPr>
            <w:tcW w:w="6048" w:type="dxa"/>
            <w:tcBorders>
              <w:top w:val="single" w:sz="4" w:space="0" w:color="D9D9D9"/>
              <w:left w:val="single" w:sz="4" w:space="0" w:color="D9D9D9"/>
              <w:bottom w:val="single" w:sz="4" w:space="0" w:color="D9D9D9"/>
              <w:right w:val="single" w:sz="4" w:space="0" w:color="D9D9D9"/>
            </w:tcBorders>
          </w:tcPr>
          <w:p w14:paraId="2F9D44C2" w14:textId="77777777" w:rsidR="00CF68AA" w:rsidRDefault="00000000">
            <w:pPr>
              <w:spacing w:before="40" w:after="40"/>
            </w:pPr>
            <w:r>
              <w:rPr>
                <w:color w:val="1A1A1A"/>
              </w:rPr>
              <w:t>Documentation &amp; Contribution Update</w:t>
            </w:r>
          </w:p>
        </w:tc>
        <w:tc>
          <w:tcPr>
            <w:tcW w:w="1584" w:type="dxa"/>
            <w:tcBorders>
              <w:top w:val="single" w:sz="4" w:space="0" w:color="D9D9D9"/>
              <w:left w:val="single" w:sz="4" w:space="0" w:color="D9D9D9"/>
              <w:bottom w:val="single" w:sz="4" w:space="0" w:color="D9D9D9"/>
              <w:right w:val="single" w:sz="4" w:space="0" w:color="D9D9D9"/>
            </w:tcBorders>
          </w:tcPr>
          <w:p w14:paraId="3F639946" w14:textId="77777777" w:rsidR="00CF68AA" w:rsidRDefault="00000000">
            <w:pPr>
              <w:spacing w:before="40" w:after="40"/>
              <w:jc w:val="center"/>
            </w:pPr>
            <w:r>
              <w:rPr>
                <w:color w:val="1A1A1A"/>
              </w:rPr>
              <w:t>10</w:t>
            </w:r>
          </w:p>
        </w:tc>
        <w:tc>
          <w:tcPr>
            <w:tcW w:w="1584" w:type="dxa"/>
            <w:tcBorders>
              <w:top w:val="single" w:sz="4" w:space="0" w:color="D9D9D9"/>
              <w:left w:val="single" w:sz="4" w:space="0" w:color="D9D9D9"/>
              <w:bottom w:val="single" w:sz="4" w:space="0" w:color="D9D9D9"/>
              <w:right w:val="single" w:sz="4" w:space="0" w:color="D9D9D9"/>
            </w:tcBorders>
          </w:tcPr>
          <w:p w14:paraId="6AFBE141" w14:textId="77777777" w:rsidR="00CF68AA" w:rsidRDefault="00000000">
            <w:pPr>
              <w:spacing w:before="40" w:after="40"/>
              <w:jc w:val="center"/>
            </w:pPr>
            <w:r>
              <w:rPr>
                <w:color w:val="1A1A1A"/>
              </w:rPr>
              <w:t>10</w:t>
            </w:r>
          </w:p>
        </w:tc>
      </w:tr>
      <w:tr w:rsidR="00CF68AA" w14:paraId="769241D6" w14:textId="77777777">
        <w:tc>
          <w:tcPr>
            <w:tcW w:w="6048" w:type="dxa"/>
            <w:tcBorders>
              <w:top w:val="single" w:sz="4" w:space="0" w:color="BFBFBF"/>
              <w:left w:val="single" w:sz="4" w:space="0" w:color="BFBFBF"/>
              <w:bottom w:val="single" w:sz="4" w:space="0" w:color="BFBFBF"/>
              <w:right w:val="single" w:sz="4" w:space="0" w:color="BFBFBF"/>
            </w:tcBorders>
            <w:shd w:val="clear" w:color="auto" w:fill="EAEAEA"/>
          </w:tcPr>
          <w:p w14:paraId="211C3233" w14:textId="77777777" w:rsidR="00CF68AA" w:rsidRDefault="00000000">
            <w:pPr>
              <w:spacing w:before="40" w:after="40"/>
            </w:pPr>
            <w:r>
              <w:rPr>
                <w:b/>
                <w:color w:val="1A1A1A"/>
              </w:rPr>
              <w:t>Total</w:t>
            </w:r>
          </w:p>
        </w:tc>
        <w:tc>
          <w:tcPr>
            <w:tcW w:w="1584" w:type="dxa"/>
            <w:tcBorders>
              <w:top w:val="single" w:sz="4" w:space="0" w:color="BFBFBF"/>
              <w:left w:val="single" w:sz="4" w:space="0" w:color="BFBFBF"/>
              <w:bottom w:val="single" w:sz="4" w:space="0" w:color="BFBFBF"/>
              <w:right w:val="single" w:sz="4" w:space="0" w:color="BFBFBF"/>
            </w:tcBorders>
            <w:shd w:val="clear" w:color="auto" w:fill="EAEAEA"/>
          </w:tcPr>
          <w:p w14:paraId="51BE9303" w14:textId="77777777" w:rsidR="00CF68AA" w:rsidRDefault="00000000">
            <w:pPr>
              <w:spacing w:before="40" w:after="40"/>
              <w:jc w:val="center"/>
            </w:pPr>
            <w:r>
              <w:rPr>
                <w:b/>
                <w:color w:val="1A1A1A"/>
              </w:rPr>
              <w:t>93</w:t>
            </w:r>
          </w:p>
        </w:tc>
        <w:tc>
          <w:tcPr>
            <w:tcW w:w="1584" w:type="dxa"/>
            <w:tcBorders>
              <w:top w:val="single" w:sz="4" w:space="0" w:color="BFBFBF"/>
              <w:left w:val="single" w:sz="4" w:space="0" w:color="BFBFBF"/>
              <w:bottom w:val="single" w:sz="4" w:space="0" w:color="BFBFBF"/>
              <w:right w:val="single" w:sz="4" w:space="0" w:color="BFBFBF"/>
            </w:tcBorders>
            <w:shd w:val="clear" w:color="auto" w:fill="EAEAEA"/>
          </w:tcPr>
          <w:p w14:paraId="171AB4AE" w14:textId="77777777" w:rsidR="00CF68AA" w:rsidRDefault="00000000">
            <w:pPr>
              <w:spacing w:before="40" w:after="40"/>
              <w:jc w:val="center"/>
            </w:pPr>
            <w:r>
              <w:rPr>
                <w:b/>
                <w:color w:val="1A1A1A"/>
              </w:rPr>
              <w:t>100</w:t>
            </w:r>
          </w:p>
        </w:tc>
      </w:tr>
    </w:tbl>
    <w:p w14:paraId="63F4ABA5" w14:textId="77777777" w:rsidR="00CF68AA" w:rsidRDefault="00CF68AA"/>
    <w:p w14:paraId="3C69D15A" w14:textId="77777777" w:rsidR="00CF68AA" w:rsidRDefault="00000000">
      <w:pPr>
        <w:pBdr>
          <w:bottom w:val="single" w:sz="8" w:space="1" w:color="9C1C29"/>
        </w:pBdr>
        <w:spacing w:before="280" w:after="120"/>
      </w:pPr>
      <w:r>
        <w:rPr>
          <w:b/>
          <w:color w:val="9C1C29"/>
          <w:sz w:val="26"/>
        </w:rPr>
        <w:t>Dimension Notes</w:t>
      </w:r>
    </w:p>
    <w:p w14:paraId="42913F90" w14:textId="77777777" w:rsidR="00CF68AA" w:rsidRDefault="00000000">
      <w:pPr>
        <w:spacing w:before="160" w:after="40"/>
      </w:pPr>
      <w:r>
        <w:rPr>
          <w:b/>
          <w:i/>
          <w:color w:val="9C1C29"/>
        </w:rPr>
        <w:t>Architecture &amp; Role Design — 23/25.</w:t>
      </w:r>
    </w:p>
    <w:p w14:paraId="5940574B" w14:textId="77777777" w:rsidR="00CF68AA" w:rsidRDefault="00000000">
      <w:pPr>
        <w:spacing w:after="80"/>
      </w:pPr>
      <w:r>
        <w:rPr>
          <w:color w:val="1A1A1A"/>
        </w:rPr>
        <w:t>The five-agent design is justified by specific failure modes that collapsing would reintroduce. Section 1 walks through why a single-prompt, two-agent, or three-agent variant would each degrade on observable data such as the 64% deleted-post rate, the 49.5% sarcasm rate, and the DPZ engagement-score outlier. Section 2 then makes each role concrete with inputs, decision logic, failure handling, and outputs. Two stopping conditions are named explicitly. The main gap is that human intervention stays offline in the risk section rather than appearing as a checkpoint in the main flow, which matters for a system that publishes rumour alerts.</w:t>
      </w:r>
    </w:p>
    <w:p w14:paraId="1461CC3D" w14:textId="77777777" w:rsidR="00CF68AA" w:rsidRDefault="00000000">
      <w:pPr>
        <w:spacing w:before="160" w:after="40"/>
      </w:pPr>
      <w:r>
        <w:rPr>
          <w:b/>
          <w:i/>
          <w:color w:val="9C1C29"/>
        </w:rPr>
        <w:t>Tools, Memory, Data &amp; State Design — 18/20.</w:t>
      </w:r>
    </w:p>
    <w:p w14:paraId="06E4FA88" w14:textId="77777777" w:rsidR="00CF68AA" w:rsidRDefault="00000000">
      <w:pPr>
        <w:spacing w:after="80"/>
      </w:pPr>
      <w:r>
        <w:rPr>
          <w:color w:val="1A1A1A"/>
        </w:rPr>
        <w:t>The tool-to-role table in Section 6 maps what each agent reads, writes, and is allowed to call. Prompt caching is correctly scoped to the Sentiment Agent’s static system prompt. The stateless design choice is justified in four specific reasons rather than asserted. The missing piece is explicit treatment of PII in the Reddit data. Usernames and author fields flow through the pipeline and land in CSVs without a clear retention policy, which matters more than it might look at first given the dataset’s 224,952 comments.</w:t>
      </w:r>
    </w:p>
    <w:p w14:paraId="196BF9FE" w14:textId="77777777" w:rsidR="00CF68AA" w:rsidRDefault="00000000">
      <w:pPr>
        <w:spacing w:before="160" w:after="40"/>
      </w:pPr>
      <w:r>
        <w:rPr>
          <w:b/>
          <w:i/>
          <w:color w:val="9C1C29"/>
        </w:rPr>
        <w:t>Prototype Quality — 14/15.</w:t>
      </w:r>
    </w:p>
    <w:p w14:paraId="5E623CCB" w14:textId="77777777" w:rsidR="00CF68AA" w:rsidRDefault="00000000">
      <w:pPr>
        <w:spacing w:after="80"/>
      </w:pPr>
      <w:r>
        <w:rPr>
          <w:color w:val="1A1A1A"/>
        </w:rPr>
        <w:t xml:space="preserve">The run_20260412_110302 directory contains a real captured trace, run_metadata.json, and three output CSVs from an actual 283-post API run with zero errors. Eight per-case output files under eval/case_outputs/ give each test scenario an inspectable artifact. Replay mode is implemented cleanly and reruns the Output Agent without API calls in under five seconds. The </w:t>
      </w:r>
      <w:r>
        <w:rPr>
          <w:color w:val="1A1A1A"/>
        </w:rPr>
        <w:lastRenderedPageBreak/>
        <w:t>one-week dataset window is honest about what it can and cannot claim, but it also constrains what the evaluation can demonstrate.</w:t>
      </w:r>
    </w:p>
    <w:p w14:paraId="79C3286F" w14:textId="77777777" w:rsidR="00CF68AA" w:rsidRDefault="00000000">
      <w:pPr>
        <w:spacing w:before="160" w:after="40"/>
      </w:pPr>
      <w:r>
        <w:rPr>
          <w:b/>
          <w:i/>
          <w:color w:val="9C1C29"/>
        </w:rPr>
        <w:t>Evaluation Plan &amp; Test Design — 19/20.</w:t>
      </w:r>
    </w:p>
    <w:p w14:paraId="4EF331B8" w14:textId="77777777" w:rsidR="00CF68AA" w:rsidRDefault="00000000">
      <w:pPr>
        <w:spacing w:after="80"/>
      </w:pPr>
      <w:r>
        <w:rPr>
          <w:color w:val="1A1A1A"/>
        </w:rPr>
        <w:t>Eight test cases exceed the minimum, and the mix of happy-path, low-signal, failure, and replay cases covers the real failure surface. Section 7.1 is the standout, with stratified sampling across three label buckets, two annotators, adjudicated labels, Krippendorff’s alpha at a minimum threshold of 0.67 and a target of 0.80, and precision and recall reported only on the non-uncertain subset. Four success criteria are marked Fail with honest explanations. Failing criteria are reported rather than adjusted, which is the right discipline. The benchmark protocol has not yet been executed, which is the main thing separating this from a 20.</w:t>
      </w:r>
    </w:p>
    <w:p w14:paraId="62C7425F" w14:textId="77777777" w:rsidR="00CF68AA" w:rsidRDefault="00000000">
      <w:pPr>
        <w:spacing w:before="160" w:after="40"/>
      </w:pPr>
      <w:r>
        <w:rPr>
          <w:b/>
          <w:i/>
          <w:color w:val="9C1C29"/>
        </w:rPr>
        <w:t>Risk &amp; Governance Thinking — 9/10.</w:t>
      </w:r>
    </w:p>
    <w:p w14:paraId="439BD1E4" w14:textId="337887DF" w:rsidR="00AC1DD0" w:rsidRDefault="00AC1DD0">
      <w:pPr>
        <w:spacing w:before="160" w:after="40"/>
      </w:pPr>
      <w:r>
        <w:t xml:space="preserve">The risk table has nine rows, and each one is tied to a specific architectural decision and a concrete control rather than a generic AI concern. The </w:t>
      </w:r>
      <w:r>
        <w:t>rumor</w:t>
      </w:r>
      <w:r>
        <w:t xml:space="preserve">-misuse and financial-advice-liability rows are especially strong because they carry the logic from the design choice itself, separate track, disclaimer text, and non-prescriptive language, through to the remaining residual risk. What is still missing is a clearer account of when the system should defer or escalate rather than continue. Stopping conditions 1 and 2 read as system stops, not governance stops, and there is no clear specification of what would trigger a hold on a </w:t>
      </w:r>
      <w:r>
        <w:t>rumor</w:t>
      </w:r>
      <w:r>
        <w:t xml:space="preserve"> alert before it is shown to users.</w:t>
      </w:r>
    </w:p>
    <w:p w14:paraId="66500597" w14:textId="570706C7" w:rsidR="00CF68AA" w:rsidRDefault="00000000">
      <w:pPr>
        <w:spacing w:before="160" w:after="40"/>
      </w:pPr>
      <w:r>
        <w:rPr>
          <w:b/>
          <w:i/>
          <w:color w:val="9C1C29"/>
        </w:rPr>
        <w:t>Documentation &amp; Contribution Update — 10/10.</w:t>
      </w:r>
    </w:p>
    <w:p w14:paraId="26F36B8A" w14:textId="77777777" w:rsidR="00CF68AA" w:rsidRDefault="00000000">
      <w:pPr>
        <w:spacing w:after="80"/>
      </w:pPr>
      <w:r>
        <w:rPr>
          <w:color w:val="1A1A1A"/>
        </w:rPr>
        <w:t>Everything a reviewer needs is where it should be: README in the root, AI_USAGE.md with specific per-tool disclosure, eval files under eval/, outputs from the actual run under outputs/runs/, and the full 20-page report in reports &amp; documentation. Terminology stays consistent across the diagram, the Python module names, and the prose. The contribution update includes per-member Phase 2 work, effort estimates split by phase, and an updated role summary. It also honestly shows that workload is not evenly distributed across the four members.</w:t>
      </w:r>
    </w:p>
    <w:p w14:paraId="6371665F" w14:textId="77777777" w:rsidR="00CF68AA" w:rsidRDefault="00000000">
      <w:pPr>
        <w:pBdr>
          <w:bottom w:val="single" w:sz="8" w:space="1" w:color="9C1C29"/>
        </w:pBdr>
        <w:spacing w:before="280" w:after="120"/>
      </w:pPr>
      <w:r>
        <w:rPr>
          <w:b/>
          <w:color w:val="9C1C29"/>
          <w:sz w:val="26"/>
        </w:rPr>
        <w:t>What worked</w:t>
      </w:r>
    </w:p>
    <w:p w14:paraId="1071312B" w14:textId="77777777" w:rsidR="00CF68AA" w:rsidRDefault="00000000">
      <w:pPr>
        <w:spacing w:after="160"/>
      </w:pPr>
      <w:r>
        <w:rPr>
          <w:color w:val="1A1A1A"/>
        </w:rPr>
        <w:t>The orchestration answer in Section 3.5 does what Phase 1 asked for. “Plain Python with try/except” is the right choice for a strictly sequential pipeline. The three specific justifications (no branching or parallelism, pandas column names as the data contract, and existing TeeLogger and per-row error handling already covering the work a framework would provide) let the team defend the decision rather than apologise for it. The error-boundary table in Section 3.6 goes further and names the 200-of-500 partial-state scenario directly, which was the specific concern flagged in Phase 1 feedback.</w:t>
      </w:r>
    </w:p>
    <w:p w14:paraId="6177EC40" w14:textId="77777777" w:rsidR="00CF68AA" w:rsidRDefault="00000000">
      <w:pPr>
        <w:spacing w:after="240"/>
      </w:pPr>
      <w:r>
        <w:rPr>
          <w:color w:val="1A1A1A"/>
        </w:rPr>
        <w:t>The sarcasm annotation protocol in Section 7.1 reads like a research paper’s methods section rather than a course deliverable. Stratified sampling across three buckets, adjudicated third-pass resolution, Krippendorff’s alpha with operational thresholds, and the choice to include uncertain labels in the alpha calculation rather than exclude them are careful methodology choices. The protocol is ready to run. Phase 3 needs the numbers.</w:t>
      </w:r>
    </w:p>
    <w:p w14:paraId="50AF44D7" w14:textId="77777777" w:rsidR="00CF68AA" w:rsidRDefault="00000000">
      <w:pPr>
        <w:pBdr>
          <w:bottom w:val="single" w:sz="8" w:space="1" w:color="9C1C29"/>
        </w:pBdr>
        <w:spacing w:before="280" w:after="120"/>
      </w:pPr>
      <w:r>
        <w:rPr>
          <w:b/>
          <w:color w:val="9C1C29"/>
          <w:sz w:val="26"/>
        </w:rPr>
        <w:lastRenderedPageBreak/>
        <w:t>3 things to address in Phase 3</w:t>
      </w:r>
    </w:p>
    <w:p w14:paraId="6EF0D407" w14:textId="77777777" w:rsidR="00CF68AA" w:rsidRDefault="00000000">
      <w:pPr>
        <w:spacing w:before="120" w:after="40"/>
        <w:ind w:left="360" w:hanging="360"/>
      </w:pPr>
      <w:r>
        <w:rPr>
          <w:b/>
          <w:color w:val="9C1C29"/>
        </w:rPr>
        <w:t xml:space="preserve">1. </w:t>
      </w:r>
      <w:r>
        <w:rPr>
          <w:b/>
          <w:color w:val="1A1A1A"/>
        </w:rPr>
        <w:t>Build a human checkpoint for rumour alerts into the main flow.</w:t>
      </w:r>
    </w:p>
    <w:p w14:paraId="28030E46" w14:textId="77777777" w:rsidR="00CF68AA" w:rsidRDefault="00000000">
      <w:pPr>
        <w:spacing w:after="120"/>
        <w:ind w:left="360"/>
      </w:pPr>
      <w:r>
        <w:rPr>
          <w:color w:val="1A1A1A"/>
        </w:rPr>
        <w:t>Right now rumour alerts appear in the user-facing report with a disclaimer, but nothing holds them for human review before they land in front of users. Decide what the trigger is (for example, rumour_confidence at or above 0.8 combined with rumour_type = acquisition_rumour requires explicit review), who owns the queue, and what the response SLA is. Without this, the residual risk in the rumour-misuse row remains unmitigated and the architecture cannot credibly claim human oversight for its highest-stakes output.</w:t>
      </w:r>
    </w:p>
    <w:p w14:paraId="18476554" w14:textId="77777777" w:rsidR="00CF68AA" w:rsidRDefault="00000000">
      <w:pPr>
        <w:spacing w:before="120" w:after="40"/>
        <w:ind w:left="360" w:hanging="360"/>
      </w:pPr>
      <w:r>
        <w:rPr>
          <w:b/>
          <w:color w:val="9C1C29"/>
        </w:rPr>
        <w:t xml:space="preserve">2. </w:t>
      </w:r>
      <w:r>
        <w:rPr>
          <w:b/>
          <w:color w:val="1A1A1A"/>
        </w:rPr>
        <w:t>Run the sarcasm ground-truth benchmark and report the numbers.</w:t>
      </w:r>
    </w:p>
    <w:p w14:paraId="06070F73" w14:textId="77777777" w:rsidR="00CF68AA" w:rsidRDefault="00000000">
      <w:pPr>
        <w:spacing w:after="120"/>
        <w:ind w:left="360"/>
      </w:pPr>
      <w:r>
        <w:rPr>
          <w:color w:val="1A1A1A"/>
        </w:rPr>
        <w:t>The protocol in Section 7.1 is ready to execute. Phase 3 is where empirical benchmark results go, and this is the one place the project can make a defensible quantitative claim about model behaviour. Report Krippendorff’s alpha, precision, recall, F1, and the count of posts excluded as uncertain. If alpha falls below 0.67, the protocol itself calls for revising guidelines, and that iteration belongs in the failure analysis section of Phase 3. Without the numbers, the benchmark exists on paper only.</w:t>
      </w:r>
    </w:p>
    <w:p w14:paraId="57E870A3" w14:textId="77777777" w:rsidR="00CF68AA" w:rsidRDefault="00000000">
      <w:pPr>
        <w:spacing w:before="120" w:after="40"/>
        <w:ind w:left="360" w:hanging="360"/>
      </w:pPr>
      <w:r>
        <w:rPr>
          <w:b/>
          <w:color w:val="9C1C29"/>
        </w:rPr>
        <w:t xml:space="preserve">3. </w:t>
      </w:r>
      <w:r>
        <w:rPr>
          <w:b/>
          <w:color w:val="1A1A1A"/>
        </w:rPr>
        <w:t>Expand the dataset to at least four weeks and re-run the pipeline.</w:t>
      </w:r>
    </w:p>
    <w:p w14:paraId="0B361075" w14:textId="77777777" w:rsidR="00CF68AA" w:rsidRDefault="00000000">
      <w:pPr>
        <w:spacing w:after="120"/>
        <w:ind w:left="360"/>
      </w:pPr>
      <w:r>
        <w:rPr>
          <w:color w:val="1A1A1A"/>
        </w:rPr>
        <w:t>The 15-percentage-point daily shift threshold and the MIN_POSTS_PER_DAY=3 gate were designed for a larger dataset. On the current one-week run they return almost nothing usable, and only three tickers reach the five-post threshold. A multi-week run is the shortest path to a prototype that actually exercises every branch in the Output Agent. Without expanding the dataset, trend alerts, monthly sentiment shifts, and the ticker comparison view cannot be meaningfully demonstrated in the final report.</w:t>
      </w:r>
    </w:p>
    <w:sectPr w:rsidR="00CF68AA"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DA45C" w14:textId="77777777" w:rsidR="005825FB" w:rsidRDefault="005825FB">
      <w:pPr>
        <w:spacing w:after="0" w:line="240" w:lineRule="auto"/>
      </w:pPr>
      <w:r>
        <w:separator/>
      </w:r>
    </w:p>
  </w:endnote>
  <w:endnote w:type="continuationSeparator" w:id="0">
    <w:p w14:paraId="353FFE45" w14:textId="77777777" w:rsidR="005825FB" w:rsidRDefault="005825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79E07" w14:textId="77777777" w:rsidR="00CF68AA" w:rsidRDefault="00000000">
    <w:pPr>
      <w:pStyle w:val="Footer"/>
      <w:jc w:val="center"/>
    </w:pPr>
    <w:r>
      <w:rPr>
        <w:i/>
        <w:color w:val="6B6B6B"/>
        <w:sz w:val="18"/>
      </w:rPr>
      <w:t>94815 Agentic Technologies · CMU Heinz College of Information Systems and Public Policy · Prof. Anand S. Rao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57F4F" w14:textId="77777777" w:rsidR="005825FB" w:rsidRDefault="005825FB">
      <w:pPr>
        <w:spacing w:after="0" w:line="240" w:lineRule="auto"/>
      </w:pPr>
      <w:r>
        <w:separator/>
      </w:r>
    </w:p>
  </w:footnote>
  <w:footnote w:type="continuationSeparator" w:id="0">
    <w:p w14:paraId="2EEB96B7" w14:textId="77777777" w:rsidR="005825FB" w:rsidRDefault="005825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0272898">
    <w:abstractNumId w:val="8"/>
  </w:num>
  <w:num w:numId="2" w16cid:durableId="291906317">
    <w:abstractNumId w:val="6"/>
  </w:num>
  <w:num w:numId="3" w16cid:durableId="677344810">
    <w:abstractNumId w:val="5"/>
  </w:num>
  <w:num w:numId="4" w16cid:durableId="306907490">
    <w:abstractNumId w:val="4"/>
  </w:num>
  <w:num w:numId="5" w16cid:durableId="1457526837">
    <w:abstractNumId w:val="7"/>
  </w:num>
  <w:num w:numId="6" w16cid:durableId="1346978209">
    <w:abstractNumId w:val="3"/>
  </w:num>
  <w:num w:numId="7" w16cid:durableId="672876217">
    <w:abstractNumId w:val="2"/>
  </w:num>
  <w:num w:numId="8" w16cid:durableId="1403067153">
    <w:abstractNumId w:val="1"/>
  </w:num>
  <w:num w:numId="9" w16cid:durableId="2041663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25FB"/>
    <w:rsid w:val="009574B4"/>
    <w:rsid w:val="00AA1D8D"/>
    <w:rsid w:val="00AC1DD0"/>
    <w:rsid w:val="00B47730"/>
    <w:rsid w:val="00CB0664"/>
    <w:rsid w:val="00CF68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7D58FB"/>
  <w14:defaultImageDpi w14:val="300"/>
  <w15:docId w15:val="{0818A28E-7ADE-074D-8DD0-480066FCB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eastAsia="Georgia" w:hAnsi="Georgia" w:cs="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1086</Words>
  <Characters>5941</Characters>
  <Application>Microsoft Office Word</Application>
  <DocSecurity>0</DocSecurity>
  <Lines>114</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Anand Srinivasa Rao</cp:lastModifiedBy>
  <cp:revision>2</cp:revision>
  <dcterms:created xsi:type="dcterms:W3CDTF">2013-12-23T23:15:00Z</dcterms:created>
  <dcterms:modified xsi:type="dcterms:W3CDTF">2026-04-20T03:05:00Z</dcterms:modified>
  <cp:category/>
</cp:coreProperties>
</file>