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EC7AC9"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EC7AC9" w:rsidP="00894F1E">
            <w:pPr>
              <w:pStyle w:val="ContactInfoRight"/>
            </w:pPr>
            <w:hyperlink r:id="rId9" w:history="1">
              <w:r w:rsidR="00894F1E" w:rsidRPr="00A930E6">
                <w:rPr>
                  <w:rStyle w:val="Hyperlink"/>
                </w:rPr>
                <w:t>https://farrukhmpk.github.io</w:t>
              </w:r>
            </w:hyperlink>
          </w:p>
          <w:p w:rsidR="00894F1E" w:rsidRDefault="00EC7AC9" w:rsidP="00894F1E">
            <w:pPr>
              <w:pStyle w:val="ContactInfoRight"/>
            </w:pPr>
            <w:hyperlink r:id="rId10" w:history="1">
              <w:r w:rsidR="00894F1E" w:rsidRPr="00A930E6">
                <w:rPr>
                  <w:rStyle w:val="Hyperlink"/>
                </w:rPr>
                <w:t>www.linkedin.com/in/dr-farrukh-mirza</w:t>
              </w:r>
            </w:hyperlink>
          </w:p>
          <w:p w:rsidR="00894F1E" w:rsidRDefault="00EC7AC9"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EC7AC9"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technology and helping engineers excel.</w:t>
            </w:r>
            <w:bookmarkStart w:id="0" w:name="_GoBack"/>
            <w:bookmarkEnd w:id="0"/>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w:t>
            </w:r>
            <w:r w:rsidR="00CE3665">
              <w:rPr>
                <w:sz w:val="20"/>
                <w:szCs w:val="20"/>
              </w:rPr>
              <w:lastRenderedPageBreak/>
              <w:t>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I focused on collective performance improvement of the team 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 xml:space="preserve">I was also given responsibility to re-platform a reference data management product (RDMA) based on the success of the Tesco Mobile program of work. The product development lasted for 1 year with circa </w:t>
            </w:r>
            <w:r>
              <w:rPr>
                <w:sz w:val="20"/>
                <w:szCs w:val="20"/>
              </w:rPr>
              <w:lastRenderedPageBreak/>
              <w:t>€100K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xml:space="preserve">, </w:t>
            </w:r>
            <w:r w:rsidR="00AE441D">
              <w:rPr>
                <w:sz w:val="20"/>
                <w:szCs w:val="20"/>
              </w:rPr>
              <w:lastRenderedPageBreak/>
              <w:t>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AC9" w:rsidRDefault="00EC7AC9">
      <w:r>
        <w:separator/>
      </w:r>
    </w:p>
  </w:endnote>
  <w:endnote w:type="continuationSeparator" w:id="0">
    <w:p w:rsidR="00EC7AC9" w:rsidRDefault="00EC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0950DA">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AC9" w:rsidRDefault="00EC7AC9">
      <w:r>
        <w:separator/>
      </w:r>
    </w:p>
  </w:footnote>
  <w:footnote w:type="continuationSeparator" w:id="0">
    <w:p w:rsidR="00EC7AC9" w:rsidRDefault="00EC7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7AA4"/>
    <w:rsid w:val="001538C1"/>
    <w:rsid w:val="001736AC"/>
    <w:rsid w:val="00186240"/>
    <w:rsid w:val="00195348"/>
    <w:rsid w:val="001A2DAF"/>
    <w:rsid w:val="001B0A69"/>
    <w:rsid w:val="001C0051"/>
    <w:rsid w:val="001D52E6"/>
    <w:rsid w:val="001E4808"/>
    <w:rsid w:val="001E5C69"/>
    <w:rsid w:val="001F30A4"/>
    <w:rsid w:val="002001BF"/>
    <w:rsid w:val="002037FC"/>
    <w:rsid w:val="002275F6"/>
    <w:rsid w:val="002321D3"/>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8154B"/>
    <w:rsid w:val="00482831"/>
    <w:rsid w:val="004A13BA"/>
    <w:rsid w:val="004A6425"/>
    <w:rsid w:val="004B46B6"/>
    <w:rsid w:val="004B572C"/>
    <w:rsid w:val="004C351A"/>
    <w:rsid w:val="004E4973"/>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828DA"/>
    <w:rsid w:val="00A90A26"/>
    <w:rsid w:val="00A9541B"/>
    <w:rsid w:val="00A9597B"/>
    <w:rsid w:val="00AA27EE"/>
    <w:rsid w:val="00AA4E22"/>
    <w:rsid w:val="00AA6298"/>
    <w:rsid w:val="00AB4C8C"/>
    <w:rsid w:val="00AC49F4"/>
    <w:rsid w:val="00AD1F23"/>
    <w:rsid w:val="00AE441D"/>
    <w:rsid w:val="00AE7A54"/>
    <w:rsid w:val="00AF3A64"/>
    <w:rsid w:val="00AF7026"/>
    <w:rsid w:val="00B07461"/>
    <w:rsid w:val="00B1053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60FC6"/>
    <w:rsid w:val="00D63AD0"/>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C0619"/>
    <w:rsid w:val="00EC7AC9"/>
    <w:rsid w:val="00ED317E"/>
    <w:rsid w:val="00EE0B8D"/>
    <w:rsid w:val="00EE1B7C"/>
    <w:rsid w:val="00EE7E2B"/>
    <w:rsid w:val="00F0362D"/>
    <w:rsid w:val="00F068E1"/>
    <w:rsid w:val="00F07309"/>
    <w:rsid w:val="00F076C4"/>
    <w:rsid w:val="00F14524"/>
    <w:rsid w:val="00F150BD"/>
    <w:rsid w:val="00F41A51"/>
    <w:rsid w:val="00F42111"/>
    <w:rsid w:val="00F87B60"/>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5240D3"/>
    <w:rsid w:val="008D2E3D"/>
    <w:rsid w:val="00991643"/>
    <w:rsid w:val="009A4D6B"/>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2557</TotalTime>
  <Pages>5</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203</cp:revision>
  <dcterms:created xsi:type="dcterms:W3CDTF">2020-05-05T17:15:00Z</dcterms:created>
  <dcterms:modified xsi:type="dcterms:W3CDTF">2020-05-07T19:01:00Z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