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NAMUNA SHABLON — Magic City'ning haqiqiy shartnoma matni bilan almashtiriladi</w:t>
      </w:r>
    </w:p>
    <w:p>
      <w:pPr>
        <w:spacing w:after="0"/>
        <w:jc w:val="center"/>
      </w:pPr>
      <w:r>
        <w:rPr>
          <w:b/>
          <w:sz w:val="26"/>
        </w:rPr>
        <w:t>XONADONNI BO‘LIB TO‘LASH SHARTI BILAN</w:t>
      </w:r>
    </w:p>
    <w:p>
      <w:pPr>
        <w:spacing w:after="200"/>
        <w:jc w:val="center"/>
      </w:pPr>
      <w:r>
        <w:rPr>
          <w:b/>
          <w:sz w:val="26"/>
        </w:rPr>
        <w:t>OLDI-SOTDI SHARTNOMASI № {{ number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{{ city }} sh.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{{ date_long }}</w:t>
            </w:r>
          </w:p>
        </w:tc>
      </w:tr>
    </w:tbl>
    <w:p>
      <w:pPr>
        <w:spacing w:after="40"/>
        <w:ind w:firstLine="567"/>
        <w:jc w:val="both"/>
      </w:pPr>
      <w:r>
        <w:rPr>
          <w:b w:val="0"/>
        </w:rPr>
      </w:r>
    </w:p>
    <w:p>
      <w:pPr>
        <w:ind w:firstLine="567"/>
        <w:jc w:val="both"/>
      </w:pPr>
      <w:r>
        <w:rPr>
          <w:b w:val="0"/>
        </w:rPr>
        <w:t>{{ company.name }} (keyingi o‘rinlarda «Sotuvchi») nomidan Ustav asosida ish yurituvchi direktor {{ company.director or '____________________' }} bir tomondan, va fuqaro {{ client.name }} (pasport {{ client.passport }}, {{ client.passport_issued }} tomonidan berilgan, JShShIR {{ client.pinfl }}, yashash manzili: {{ client.address }}) (keyingi o‘rinlarda «Xaridor») ikkinchi tomondan, ushbu shartnomani quyidagilar haqida tuzdilar:</w:t>
      </w:r>
    </w:p>
    <w:p>
      <w:pPr>
        <w:keepNext/>
        <w:spacing w:after="80" w:before="160"/>
        <w:jc w:val="center"/>
      </w:pPr>
      <w:r>
        <w:rPr>
          <w:b/>
        </w:rPr>
        <w:t>1. SHARTNOMA PREDMETI</w:t>
      </w:r>
    </w:p>
    <w:p>
      <w:pPr>
        <w:ind w:firstLine="567"/>
        <w:jc w:val="both"/>
      </w:pPr>
      <w:r>
        <w:rPr>
          <w:b w:val="0"/>
        </w:rPr>
        <w:t>1.1. Sotuvchi {{ object }} tarkibidagi ko‘p qavatli turar-joy binosining {{ unit.block }}-blok, {{ unit.floor }}-qavatidagi {{ unit.id }} raqamli, {{ unit.rooms }} xonali, umumiy maydoni {{ unit.area }} m² bo‘lgan xonadonni (keyingi o‘rinlarda «Xonadon») Xaridorga sotadi, Xaridor esa uni qabul qilib, ushbu shartnomada belgilangan narxni to‘laydi.</w:t>
      </w:r>
    </w:p>
    <w:p>
      <w:pPr>
        <w:ind w:firstLine="567"/>
        <w:jc w:val="both"/>
      </w:pPr>
      <w:r>
        <w:rPr>
          <w:b w:val="0"/>
        </w:rPr>
        <w:t>1.2. Xonadonning yakuniy maydoni texnik inventarizatsiya (kadastr) ma’lumotlari asosida aniqlanadi.</w:t>
      </w:r>
    </w:p>
    <w:p>
      <w:pPr>
        <w:keepNext/>
        <w:spacing w:after="80" w:before="160"/>
        <w:jc w:val="center"/>
      </w:pPr>
      <w:r>
        <w:rPr>
          <w:b/>
        </w:rPr>
        <w:t>2. NARX VA TO‘LOV TARTIBI</w:t>
      </w:r>
    </w:p>
    <w:p>
      <w:pPr>
        <w:ind w:firstLine="567"/>
        <w:jc w:val="both"/>
      </w:pPr>
      <w:r>
        <w:rPr>
          <w:b w:val="0"/>
        </w:rPr>
        <w:t>2.1. Xonadonning narxi {{ price }} ({{ price_words }}) so‘mni tashkil etadi.</w:t>
      </w:r>
    </w:p>
    <w:p>
      <w:pPr>
        <w:ind w:firstLine="567"/>
        <w:jc w:val="both"/>
      </w:pPr>
      <w:r>
        <w:rPr>
          <w:b w:val="0"/>
        </w:rPr>
        <w:t>{% if installment %}2.2. Xaridor shartnoma imzolangan kuni boshlang‘ich to‘lov sifatida {{ down }} ({{ down_words }}) so‘m to‘laydi. Qolgan {{ rest }} so‘m {{ months }} oy davomida bo‘lib to‘lanadi; bo‘lib to‘lash uchun qolgan summaga {{ markup }}% ustama qo‘shiladi va bo‘lib to‘lanadigan summa {{ installment_total }} so‘mni tashkil etadi.{% else %}2.2. Xaridor Xonadon narxini shartnoma imzolangan kuni to‘liq to‘laydi.{% endif %}</w:t>
      </w:r>
    </w:p>
    <w:p>
      <w:pPr>
        <w:ind w:firstLine="567"/>
        <w:jc w:val="both"/>
      </w:pPr>
      <w:r>
        <w:rPr>
          <w:b w:val="0"/>
        </w:rPr>
        <w:t>2.3. Shartnoma bo‘yicha jami to‘lanadigan summa {{ total }} ({{ total_words }}) so‘m.</w:t>
      </w:r>
    </w:p>
    <w:p>
      <w:pPr>
        <w:ind w:firstLine="567"/>
        <w:jc w:val="both"/>
      </w:pPr>
      <w:r>
        <w:rPr>
          <w:b w:val="0"/>
        </w:rPr>
        <w:t>{% if installment %}2.4. Oylik to‘lovlar 1-ilovadagi to‘lov grafigiga muvofiq, birinchi to‘lov {{ first_due }} dan boshlab, har oyning belgilangan sanasidan kechiktirmay amalga oshiriladi. Oxirgi to‘lov sanasi: {{ last_due }}.{% else %}2.4. To‘lov naqd yoki Sotuvchining hisob raqamiga o‘tkazish yo‘li bilan amalga oshiriladi.{% endif %}</w:t>
      </w:r>
    </w:p>
    <w:p>
      <w:pPr>
        <w:ind w:firstLine="567"/>
        <w:jc w:val="both"/>
      </w:pPr>
      <w:r>
        <w:rPr>
          <w:b w:val="0"/>
        </w:rPr>
        <w:t>2.5. Xaridor to‘lovlarni muddatidan oldin amalga oshirishga haqli.</w:t>
      </w:r>
    </w:p>
    <w:p>
      <w:pPr>
        <w:ind w:firstLine="567"/>
        <w:jc w:val="both"/>
      </w:pPr>
      <w:r>
        <w:rPr>
          <w:b w:val="0"/>
        </w:rPr>
        <w:t>2.6. Shartnoma narxi taraflarning yozma kelishuvisiz o‘zgartirilmaydi.</w:t>
      </w:r>
    </w:p>
    <w:p>
      <w:pPr>
        <w:keepNext/>
        <w:spacing w:after="80" w:before="160"/>
        <w:jc w:val="center"/>
      </w:pPr>
      <w:r>
        <w:rPr>
          <w:b/>
        </w:rPr>
        <w:t>3. TARAFLARNING HUQUQ VA MAJBURIYATLARI</w:t>
      </w:r>
    </w:p>
    <w:p>
      <w:pPr>
        <w:ind w:firstLine="567"/>
        <w:jc w:val="both"/>
      </w:pPr>
      <w:r>
        <w:rPr>
          <w:b w:val="0"/>
        </w:rPr>
        <w:t>3.1. Sotuvchi Xonadonni qurilish loyihasiga muvofiq qurib bitkazish va qabul qilish-topshirish dalolatnomasi asosida Xaridorga topshirish majburiyatini oladi.</w:t>
      </w:r>
    </w:p>
    <w:p>
      <w:pPr>
        <w:ind w:firstLine="567"/>
        <w:jc w:val="both"/>
      </w:pPr>
      <w:r>
        <w:rPr>
          <w:b w:val="0"/>
        </w:rPr>
        <w:t>3.2. Xaridor to‘lovlarni grafikda belgilangan muddatlarda to‘liq amalga oshirish majburiyatini oladi.</w:t>
      </w:r>
    </w:p>
    <w:p>
      <w:pPr>
        <w:ind w:firstLine="567"/>
        <w:jc w:val="both"/>
      </w:pPr>
      <w:r>
        <w:rPr>
          <w:b w:val="0"/>
        </w:rPr>
        <w:t>3.3. Xonadonga mulk huquqi Xaridor shartnoma bo‘yicha barcha to‘lovlarni to‘liq amalga oshirganidan so‘ng qonunchilikda belgilangan tartibda rasmiylashtiriladi.</w:t>
      </w:r>
    </w:p>
    <w:p>
      <w:pPr>
        <w:keepNext/>
        <w:spacing w:after="80" w:before="160"/>
        <w:jc w:val="center"/>
      </w:pPr>
      <w:r>
        <w:rPr>
          <w:b/>
        </w:rPr>
        <w:t>4. TARAFLARNING JAVOBGARLIGI</w:t>
      </w:r>
    </w:p>
    <w:p>
      <w:pPr>
        <w:ind w:firstLine="567"/>
        <w:jc w:val="both"/>
      </w:pPr>
      <w:r>
        <w:rPr>
          <w:b w:val="0"/>
        </w:rPr>
        <w:t>4.1. To‘lov muddati kechiktirilganda Xaridor qonunchilik va taraflar kelishuvida belgilangan tartibda javobgar bo‘ladi.</w:t>
      </w:r>
    </w:p>
    <w:p>
      <w:pPr>
        <w:ind w:firstLine="567"/>
        <w:jc w:val="both"/>
      </w:pPr>
      <w:r>
        <w:rPr>
          <w:b w:val="0"/>
        </w:rPr>
        <w:t>4.2. To‘lovlar ketma-ket uch oydan ortiq kechiktirilsa, Sotuvchi shartnomani bir tomonlama bekor qilish huquqiga ega. Bu holda to‘langan mablag‘lar qaytarish tartibi taraflar kelishuvi bilan belgilanadi.</w:t>
      </w:r>
    </w:p>
    <w:p>
      <w:pPr>
        <w:keepNext/>
        <w:spacing w:after="80" w:before="160"/>
        <w:jc w:val="center"/>
      </w:pPr>
      <w:r>
        <w:rPr>
          <w:b/>
        </w:rPr>
        <w:t>5. YAKUNIY QOIDALAR</w:t>
      </w:r>
    </w:p>
    <w:p>
      <w:pPr>
        <w:ind w:firstLine="567"/>
        <w:jc w:val="both"/>
      </w:pPr>
      <w:r>
        <w:rPr>
          <w:b w:val="0"/>
        </w:rPr>
        <w:t>5.1. Shartnoma imzolangan kundan boshlab kuchga kiradi va taraflar o‘z majburiyatlarini to‘liq bajargunga qadar amal qiladi.</w:t>
      </w:r>
    </w:p>
    <w:p>
      <w:pPr>
        <w:ind w:firstLine="567"/>
        <w:jc w:val="both"/>
      </w:pPr>
      <w:r>
        <w:rPr>
          <w:b w:val="0"/>
        </w:rPr>
        <w:t>5.2. Nizolar muzokara yo‘li bilan, kelishuvga erishilmasa, sud tartibida hal qilinadi.</w:t>
      </w:r>
    </w:p>
    <w:p>
      <w:pPr>
        <w:ind w:firstLine="567"/>
        <w:jc w:val="both"/>
      </w:pPr>
      <w:r>
        <w:rPr>
          <w:b w:val="0"/>
        </w:rPr>
        <w:t>5.3. Shartnoma bir xil yuridik kuchga ega ikki nusxada tuzildi, har bir tarafga bittadan.</w:t>
      </w:r>
    </w:p>
    <w:p>
      <w:pPr>
        <w:keepNext/>
        <w:spacing w:after="80" w:before="160"/>
        <w:jc w:val="center"/>
      </w:pPr>
      <w:r>
        <w:rPr>
          <w:b/>
        </w:rPr>
        <w:t>6. TARAFLARNING REKVIZITLARI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SOTUVCHI</w:t>
            </w:r>
          </w:p>
          <w:p>
            <w:r>
              <w:t>{{ company.name }}</w:t>
            </w:r>
          </w:p>
          <w:p>
            <w:r>
              <w:t>Manzil: {{ company.address }}</w:t>
            </w:r>
          </w:p>
          <w:p>
            <w:r>
              <w:t>STIR: {{ company.inn }}</w:t>
            </w:r>
          </w:p>
          <w:p>
            <w:r>
              <w:t>H/r: {{ company.account }}</w:t>
            </w:r>
          </w:p>
          <w:p>
            <w:r>
              <w:t>Bank: {{ company.bank }}</w:t>
            </w:r>
          </w:p>
          <w:p>
            <w:r>
              <w:t>MFO: {{ company.mfo }}</w:t>
            </w:r>
          </w:p>
          <w:p>
            <w:r>
              <w:t>Tel: {{ company.phone }}</w:t>
            </w:r>
          </w:p>
          <w:p/>
          <w:p>
            <w:r>
              <w:t>Direktor ____________ {{ company.director }}</w:t>
            </w:r>
          </w:p>
        </w:tc>
        <w:tc>
          <w:tcPr>
            <w:tcW w:type="dxa" w:w="4819"/>
          </w:tcPr>
          <w:p>
            <w:r>
              <w:rPr>
                <w:b/>
              </w:rPr>
              <w:t>XARIDOR</w:t>
            </w:r>
          </w:p>
          <w:p>
            <w:r>
              <w:t>{{ client.name }}</w:t>
            </w:r>
          </w:p>
          <w:p>
            <w:r>
              <w:t>Pasport: {{ client.passport }}</w:t>
            </w:r>
          </w:p>
          <w:p>
            <w:r>
              <w:t>Berilgan: {{ client.passport_issued }}</w:t>
            </w:r>
          </w:p>
          <w:p>
            <w:r>
              <w:t>JShShIR: {{ client.pinfl }}</w:t>
            </w:r>
          </w:p>
          <w:p>
            <w:r>
              <w:t>Manzil: {{ client.address }}</w:t>
            </w:r>
          </w:p>
          <w:p>
            <w:r>
              <w:t>Tel: {{ client.phone }}</w:t>
            </w:r>
          </w:p>
          <w:p/>
          <w:p/>
          <w:p>
            <w:r>
              <w:t>Imzo ____________</w:t>
            </w:r>
          </w:p>
        </w:tc>
      </w:tr>
    </w:tbl>
    <w:p>
      <w:r>
        <w:br w:type="page"/>
      </w:r>
    </w:p>
    <w:p>
      <w:pPr>
        <w:spacing w:after="0"/>
        <w:jc w:val="right"/>
      </w:pPr>
      <w:r>
        <w:rPr>
          <w:b w:val="0"/>
        </w:rPr>
        <w:t>1-ilova</w:t>
      </w:r>
    </w:p>
    <w:p>
      <w:pPr>
        <w:spacing w:after="200"/>
        <w:jc w:val="right"/>
      </w:pPr>
      <w:r>
        <w:rPr>
          <w:b w:val="0"/>
        </w:rPr>
        <w:t>№ {{ number }} shartnomaga</w:t>
      </w:r>
    </w:p>
    <w:p>
      <w:pPr>
        <w:spacing w:after="40"/>
        <w:jc w:val="center"/>
      </w:pPr>
      <w:r>
        <w:rPr>
          <w:b/>
          <w:sz w:val="26"/>
        </w:rPr>
        <w:t>TO‘LOV GRAFIGI</w:t>
      </w:r>
    </w:p>
    <w:p>
      <w:pPr>
        <w:spacing w:after="160"/>
        <w:jc w:val="center"/>
      </w:pPr>
      <w:r>
        <w:rPr>
          <w:b w:val="0"/>
        </w:rPr>
        <w:t>Xonadon {{ unit.id }}, {{ unit.area }} m², jami {{ total }} so‘m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To‘lov sanasi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Summa, so‘m</w:t>
            </w:r>
          </w:p>
        </w:tc>
      </w:tr>
      <w:tr>
        <w:tc>
          <w:tcPr>
            <w:tcW w:type="dxa" w:w="2268"/>
          </w:tcPr>
          <w:p>
            <w:r>
              <w:t>{%tr for r in schedule %}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268"/>
          </w:tcPr>
          <w:p>
            <w:pPr>
              <w:jc w:val="center"/>
            </w:pPr>
            <w:r>
              <w:t>{{ r.n }}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{{ r.date }}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{{ r.amount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</w:tbl>
    <w:p>
      <w:pPr>
        <w:spacing w:after="200"/>
        <w:ind w:firstLine="567"/>
        <w:jc w:val="both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Sotuvchi ____________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Xaridor ____________</w:t>
            </w:r>
          </w:p>
        </w:tc>
      </w:tr>
    </w:tbl>
    <w:sectPr w:rsidR="00FC693F" w:rsidRPr="0006063C" w:rsidSect="00034616">
      <w:pgSz w:w="11906" w:h="16838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