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2540"/>
          <w:sz w:val="36"/>
        </w:rPr>
        <w:t>MASTER SERVICES AGREEMENT</w:t>
      </w:r>
    </w:p>
    <w:p>
      <w:pPr>
        <w:jc w:val="center"/>
      </w:pPr>
      <w:r>
        <w:t>MED-ALL AI / MED1.UZ Digital Healthcare Ecosystem</w:t>
      </w:r>
    </w:p>
    <w:p>
      <w:pPr>
        <w:jc w:val="center"/>
      </w:pPr>
      <w:r>
        <w:t>№ LGL-MASTER-2026-0001  •  22.05.2026</w:t>
      </w:r>
    </w:p>
    <w:p>
      <w:r>
        <w:rPr>
          <w:b/>
        </w:rPr>
        <w:t>PARTIES</w:t>
      </w:r>
    </w:p>
    <w:p>
      <w:r>
        <w:t>MED-ALL AI SYSTEM MCHJ LLC (hereinafter — the “Provider”), represented by Director Shernazarov Farrux (Taxpayer ID/INN: 312972027), acting under the Charter</w:t>
      </w:r>
    </w:p>
    <w:p>
      <w:r>
        <w:t>And a natural or legal person who has accepted this Agreement electronically (hereinafter — the “Client”)</w:t>
      </w:r>
    </w:p>
    <w:p>
      <w:r>
        <w:rPr>
          <w:b/>
          <w:color w:val="0A2540"/>
          <w:sz w:val="24"/>
        </w:rPr>
        <w:t>Article 1. Subject of the Agreement</w:t>
      </w:r>
    </w:p>
    <w:p>
      <w:r>
        <w:t>1.1. The Provider delivers digital healthcare, SaaS (HMS/EMR), AI assistant, telemedicine, laboratory, pharmacy, and e-document services via MED1.UZ.</w:t>
      </w:r>
    </w:p>
    <w:p>
      <w:r>
        <w:t>1.2. Full scope — see Appendix №1 (Tariffs).</w:t>
      </w:r>
    </w:p>
    <w:p>
      <w:r>
        <w:rPr>
          <w:b/>
          <w:color w:val="0A2540"/>
          <w:sz w:val="24"/>
        </w:rPr>
        <w:t>Article 2. Legal Basis</w:t>
      </w:r>
    </w:p>
    <w:p>
      <w:r>
        <w:t>2.1. Civil Code of Uzbekistan, Laws on Personal Data, Electronic Digital Signature, and E-commerce.</w:t>
      </w:r>
    </w:p>
    <w:p>
      <w:r>
        <w:t>2.2. Ministry of Health digital and sanitary regulations.</w:t>
      </w:r>
    </w:p>
    <w:p>
      <w:r>
        <w:rPr>
          <w:b/>
          <w:color w:val="0A2540"/>
          <w:sz w:val="24"/>
        </w:rPr>
        <w:t>Article 3. Rights and Obligations</w:t>
      </w:r>
    </w:p>
    <w:p>
      <w:r>
        <w:t>3.1. Provider: service quality, SLA (99.5%), AES-256 + RLS data security.</w:t>
      </w:r>
    </w:p>
    <w:p>
      <w:r>
        <w:t>3.2. Client: accurate data, timely payment, compliance with platform rules.</w:t>
      </w:r>
    </w:p>
    <w:p>
      <w:r>
        <w:rPr>
          <w:b/>
          <w:color w:val="0A2540"/>
          <w:sz w:val="24"/>
        </w:rPr>
        <w:t>Article 4. Tariffs and Payment</w:t>
      </w:r>
    </w:p>
    <w:p>
      <w:r>
        <w:t>4.1. Click, Payme, Uzcard, Humo, Visa/Mastercard, Stripe.</w:t>
      </w:r>
    </w:p>
    <w:p>
      <w:r>
        <w:t>4.2. See Appendix №1. Prices may change with 30 days notice.</w:t>
      </w:r>
    </w:p>
    <w:p>
      <w:r>
        <w:rPr>
          <w:b/>
          <w:color w:val="0A2540"/>
          <w:sz w:val="24"/>
        </w:rPr>
        <w:t>Article 5. Intellectual Property</w:t>
      </w:r>
    </w:p>
    <w:p>
      <w:r>
        <w:t>5.1. All software, AI models, content, and trademarks belong to the Provider.</w:t>
      </w:r>
    </w:p>
    <w:p>
      <w:r>
        <w:t>5.2. Client-entered data remains the Client's property.</w:t>
      </w:r>
    </w:p>
    <w:p>
      <w:r>
        <w:rPr>
          <w:b/>
          <w:color w:val="0A2540"/>
          <w:sz w:val="24"/>
        </w:rPr>
        <w:t>Article 6. Data Protection</w:t>
      </w:r>
    </w:p>
    <w:p>
      <w:r>
        <w:t>6.1. AES-256 encryption, RLS isolation, GDPR/HIPAA-aligned.</w:t>
      </w:r>
    </w:p>
    <w:p>
      <w:r>
        <w:t>6.2. Breach notification within 72 hours.</w:t>
      </w:r>
    </w:p>
    <w:p>
      <w:r>
        <w:rPr>
          <w:b/>
          <w:color w:val="0A2540"/>
          <w:sz w:val="24"/>
        </w:rPr>
        <w:t>Article 7. AI Services &amp; Liability Limitation</w:t>
      </w:r>
    </w:p>
    <w:p>
      <w:r>
        <w:t>7.1. AI services are informational and do not replace a doctor.</w:t>
      </w:r>
    </w:p>
    <w:p>
      <w:r>
        <w:t>7.2. Medical responsibility rests with clinics and physicians.</w:t>
      </w:r>
    </w:p>
    <w:p>
      <w:r>
        <w:rPr>
          <w:b/>
          <w:color w:val="0A2540"/>
          <w:sz w:val="24"/>
        </w:rPr>
        <w:t>Article 8. SLA</w:t>
      </w:r>
    </w:p>
    <w:p>
      <w:r>
        <w:t>8.1. 24/7 availability. Guaranteed uptime — 99.5%.</w:t>
      </w:r>
    </w:p>
    <w:p>
      <w:r>
        <w:t>8.2. Compensation per Appendix №2.</w:t>
      </w:r>
    </w:p>
    <w:p>
      <w:r>
        <w:rPr>
          <w:b/>
          <w:color w:val="0A2540"/>
          <w:sz w:val="24"/>
        </w:rPr>
        <w:t>Article 9. Force Majeure</w:t>
      </w:r>
    </w:p>
    <w:p>
      <w:r>
        <w:t>9.1. Natural disasters, war, cyberattacks, government restrictions release parties from liability.</w:t>
      </w:r>
    </w:p>
    <w:p>
      <w:r>
        <w:rPr>
          <w:b/>
          <w:color w:val="0A2540"/>
          <w:sz w:val="24"/>
        </w:rPr>
        <w:t>Article 10. Confidentiality</w:t>
      </w:r>
    </w:p>
    <w:p>
      <w:r>
        <w:t>10.1. Confidential information protected for 5 years after termination.</w:t>
      </w:r>
    </w:p>
    <w:p>
      <w:r>
        <w:rPr>
          <w:b/>
          <w:color w:val="0A2540"/>
          <w:sz w:val="24"/>
        </w:rPr>
        <w:t>Article 11. Dispute Resolution</w:t>
      </w:r>
    </w:p>
    <w:p>
      <w:r>
        <w:t>11.1. Negotiation → Economic Court of Tashkent.</w:t>
      </w:r>
    </w:p>
    <w:p>
      <w:r>
        <w:rPr>
          <w:b/>
          <w:color w:val="0A2540"/>
          <w:sz w:val="24"/>
        </w:rPr>
        <w:t>Article 12. Termination</w:t>
      </w:r>
    </w:p>
    <w:p>
      <w:r>
        <w:t>12.1. 30 days written notice.</w:t>
      </w:r>
    </w:p>
    <w:p>
      <w:r>
        <w:rPr>
          <w:b/>
          <w:color w:val="0A2540"/>
          <w:sz w:val="24"/>
        </w:rPr>
        <w:t>Article 13. E-Signature &amp; Acceptance</w:t>
      </w:r>
    </w:p>
    <w:p>
      <w:r>
        <w:t>13.1. Registration + clicking “I Accept” = full acceptance.</w:t>
      </w:r>
    </w:p>
    <w:p>
      <w:r>
        <w:t>13.2. OTP / canvas / EDS signatures = handwritten signature under the law.</w:t>
      </w:r>
    </w:p>
    <w:p>
      <w:r>
        <w:rPr>
          <w:b/>
          <w:color w:val="0A2540"/>
          <w:sz w:val="24"/>
        </w:rPr>
        <w:t>Article 14. Updates</w:t>
      </w:r>
    </w:p>
    <w:p>
      <w:r>
        <w:t>14.1. New versions published at med1.uz/legal.</w:t>
      </w:r>
    </w:p>
    <w:p>
      <w:r>
        <w:rPr>
          <w:b/>
          <w:color w:val="0A2540"/>
          <w:sz w:val="24"/>
        </w:rPr>
        <w:t>Article 15. Final Provisions</w:t>
      </w:r>
    </w:p>
    <w:p>
      <w:r>
        <w:t>15.1. Governed by the laws of Uzbekistan.</w:t>
      </w:r>
    </w:p>
    <w:p>
      <w:r>
        <w:t>15.2. Concluded in electronic form.</w:t>
      </w:r>
    </w:p>
    <w:p>
      <w:r>
        <w:rPr>
          <w:b/>
          <w:color w:val="0A2540"/>
          <w:sz w:val="24"/>
        </w:rPr>
        <w:t>Article 16. Party Details</w:t>
      </w:r>
    </w:p>
    <w:p>
      <w:r>
        <w:t>PROVIDER: MED-ALL AI SYSTEM MCHJ</w:t>
      </w:r>
    </w:p>
    <w:p>
      <w:r>
        <w:t>Director: Shernazarov Farrux</w:t>
      </w:r>
    </w:p>
    <w:p>
      <w:r>
        <w:t>Taxpayer ID/INN: 312972027</w:t>
      </w:r>
    </w:p>
    <w:p>
      <w:r>
        <w:t>Address: Tashkent, Uzbekistan</w:t>
      </w:r>
    </w:p>
    <w:p>
      <w:r>
        <w:t>Web: https://med1.uz</w:t>
      </w:r>
    </w:p>
    <w:p>
      <w:r>
        <w:t>Email: legal@med1.uz</w:t>
      </w:r>
    </w:p>
    <w:p>
      <w:r>
        <w:br w:type="page"/>
      </w:r>
    </w:p>
    <w:p>
      <w:r>
        <w:rPr>
          <w:b/>
          <w:color w:val="2F80ED"/>
          <w:sz w:val="24"/>
        </w:rPr>
        <w:t>APPENDIX №1 — TARIFFS</w:t>
      </w:r>
    </w:p>
    <w:p>
      <w:r>
        <w:t>Free / Basic (490,000 UZS/mo) / Pro (1,290,000 UZS/mo) / Enterprise (custom).</w:t>
      </w:r>
    </w:p>
    <w:p>
      <w:r>
        <w:rPr>
          <w:b/>
          <w:color w:val="2F80ED"/>
          <w:sz w:val="24"/>
        </w:rPr>
        <w:t>APPENDIX №2 — SLA</w:t>
      </w:r>
    </w:p>
    <w:p>
      <w:r>
        <w:t>Uptime 99.5%. Below 99.0% — 10% refund; below 95% — 30% refund.</w:t>
      </w:r>
    </w:p>
    <w:p>
      <w:r>
        <w:rPr>
          <w:b/>
          <w:color w:val="2F80ED"/>
          <w:sz w:val="24"/>
        </w:rPr>
        <w:t>APPENDIX №3 — AI DISCLAIMER</w:t>
      </w:r>
    </w:p>
    <w:p>
      <w:r>
        <w:t>AI services are informational. Consult a licensed physician for diagnosis.</w:t>
      </w:r>
    </w:p>
    <w:p/>
    <w:p>
      <w:r>
        <w:drawing>
          <wp:inline xmlns:a="http://schemas.openxmlformats.org/drawingml/2006/main" xmlns:pic="http://schemas.openxmlformats.org/drawingml/2006/picture">
            <wp:extent cx="1260000" cy="12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12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Verify contract authenticity via QR</w:t>
        <w:br/>
        <w:t>Hash ID: 73cca99e9a75d03e4e462ba2fc0cd504</w:t>
        <w:br/>
        <w:t>https://med1.uz/verify/contract/73cca99e9a75d03e4e462ba2fc0cd504</w:t>
      </w:r>
    </w:p>
    <w:p>
      <w:pPr>
        <w:jc w:val="center"/>
      </w:pPr>
      <w:r>
        <w:rPr>
          <w:color w:val="888888"/>
          <w:sz w:val="16"/>
        </w:rPr>
        <w:t>© 2018–2026 MED-ALL AI SYSTEM MCHJ | MED1.UZ | LGL-MASTER-2026-0001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