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36"/>
        </w:rPr>
        <w:t>ГЕНЕРАЛЬНЫЙ ДОГОВОР ОКАЗАНИЯ УСЛУГ</w:t>
      </w:r>
    </w:p>
    <w:p>
      <w:pPr>
        <w:jc w:val="center"/>
      </w:pPr>
      <w:r>
        <w:t>Экосистема цифрового здравоохранения MED-ALL AI / MED1.UZ</w:t>
      </w:r>
    </w:p>
    <w:p>
      <w:pPr>
        <w:jc w:val="center"/>
      </w:pPr>
      <w:r>
        <w:t>№ LGL-MASTER-2026-0001  •  22.05.2026</w:t>
      </w:r>
    </w:p>
    <w:p>
      <w:r>
        <w:rPr>
          <w:b/>
        </w:rPr>
        <w:t>СТОРОНЫ</w:t>
      </w:r>
    </w:p>
    <w:p>
      <w:r>
        <w:t>ООО «MED-ALL AI SYSTEM MCHJ» (далее — «Исполнитель»), в лице директора Shernazarov Farrux (ИНН: 312972027), действующего на основании Устава</w:t>
      </w:r>
    </w:p>
    <w:p>
      <w:r>
        <w:t>И физическое или юридическое лицо, принявшее настоящий Договор в электронной форме (далее — «Заказчик»)</w:t>
      </w:r>
    </w:p>
    <w:p>
      <w:r>
        <w:rPr>
          <w:b/>
          <w:color w:val="0A2540"/>
          <w:sz w:val="24"/>
        </w:rPr>
        <w:t>Статья 1. Предмет договора</w:t>
      </w:r>
    </w:p>
    <w:p>
      <w:r>
        <w:t>1.1. Исполнитель оказывает Заказчику услуги цифрового здравоохранения, SaaS (HMS/EMR), AI-ассистента, телемедицины, лабораторных, аптечных и электронного документооборота.</w:t>
      </w:r>
    </w:p>
    <w:p>
      <w:r>
        <w:t>1.2. Полный перечень услуг — в Приложении №1 (Тарифы).</w:t>
      </w:r>
    </w:p>
    <w:p>
      <w:r>
        <w:rPr>
          <w:b/>
          <w:color w:val="0A2540"/>
          <w:sz w:val="24"/>
        </w:rPr>
        <w:t>Статья 2. Правовые основы</w:t>
      </w:r>
    </w:p>
    <w:p>
      <w:r>
        <w:t>2.1. ГК РУз, Законы «О персональных данных», «Об ЭЦП», «Об электронной коммерции».</w:t>
      </w:r>
    </w:p>
    <w:p>
      <w:r>
        <w:t>2.2. Санитарные и медицинские нормы Минздрава РУз.</w:t>
      </w:r>
    </w:p>
    <w:p>
      <w:r>
        <w:rPr>
          <w:b/>
          <w:color w:val="0A2540"/>
          <w:sz w:val="24"/>
        </w:rPr>
        <w:t>Статья 3. Права и обязанности</w:t>
      </w:r>
    </w:p>
    <w:p>
      <w:r>
        <w:t>3.1. Исполнитель: обеспечение качества, соблюдение SLA (99,5%), безопасность данных (AES-256, RLS).</w:t>
      </w:r>
    </w:p>
    <w:p>
      <w:r>
        <w:t>3.2. Заказчик: достоверность данных, своевременная оплата, соблюдение правил платформы.</w:t>
      </w:r>
    </w:p>
    <w:p>
      <w:r>
        <w:rPr>
          <w:b/>
          <w:color w:val="0A2540"/>
          <w:sz w:val="24"/>
        </w:rPr>
        <w:t>Статья 4. Тарифы и оплата</w:t>
      </w:r>
    </w:p>
    <w:p>
      <w:r>
        <w:t>4.1. Click, Payme, Uzcard, Humo, Visa/Mastercard, Stripe.</w:t>
      </w:r>
    </w:p>
    <w:p>
      <w:r>
        <w:t>4.2. Тарифы — Приложение №1. Изменение — с уведомлением за 30 дней.</w:t>
      </w:r>
    </w:p>
    <w:p>
      <w:r>
        <w:rPr>
          <w:b/>
          <w:color w:val="0A2540"/>
          <w:sz w:val="24"/>
        </w:rPr>
        <w:t>Статья 5. Интеллектуальная собственность</w:t>
      </w:r>
    </w:p>
    <w:p>
      <w:r>
        <w:t>5.1. ПО, AI-модели, контент, торговые знаки — собственность Исполнителя.</w:t>
      </w:r>
    </w:p>
    <w:p>
      <w:r>
        <w:t>5.2. Данные Заказчика остаются его собственностью.</w:t>
      </w:r>
    </w:p>
    <w:p>
      <w:r>
        <w:rPr>
          <w:b/>
          <w:color w:val="0A2540"/>
          <w:sz w:val="24"/>
        </w:rPr>
        <w:t>Статья 6. Защита данных</w:t>
      </w:r>
    </w:p>
    <w:p>
      <w:r>
        <w:t>6.1. Шифрование AES-256, RLS, соответствие GDPR/HIPAA.</w:t>
      </w:r>
    </w:p>
    <w:p>
      <w:r>
        <w:t>6.2. Уведомление об инциденте — в течение 72 часов.</w:t>
      </w:r>
    </w:p>
    <w:p>
      <w:r>
        <w:rPr>
          <w:b/>
          <w:color w:val="0A2540"/>
          <w:sz w:val="24"/>
        </w:rPr>
        <w:t>Статья 7. AI-услуги и ограничение ответственности</w:t>
      </w:r>
    </w:p>
    <w:p>
      <w:r>
        <w:t>7.1. AI носит информационный характер и не заменяет врача.</w:t>
      </w:r>
    </w:p>
    <w:p>
      <w:r>
        <w:t>7.2. Медицинская ответственность — на клинике и враче.</w:t>
      </w:r>
    </w:p>
    <w:p>
      <w:r>
        <w:rPr>
          <w:b/>
          <w:color w:val="0A2540"/>
          <w:sz w:val="24"/>
        </w:rPr>
        <w:t>Статья 8. SLA</w:t>
      </w:r>
    </w:p>
    <w:p>
      <w:r>
        <w:t>8.1. Доступность 24/7. Гарантированный uptime — 99,5%.</w:t>
      </w:r>
    </w:p>
    <w:p>
      <w:r>
        <w:t>8.2. Компенсация — Приложение №2.</w:t>
      </w:r>
    </w:p>
    <w:p>
      <w:r>
        <w:rPr>
          <w:b/>
          <w:color w:val="0A2540"/>
          <w:sz w:val="24"/>
        </w:rPr>
        <w:t>Статья 9. Форс-мажор</w:t>
      </w:r>
    </w:p>
    <w:p>
      <w:r>
        <w:t>9.1. Стихийные бедствия, война, кибератаки, ограничения — освобождают от ответственности.</w:t>
      </w:r>
    </w:p>
    <w:p>
      <w:r>
        <w:rPr>
          <w:b/>
          <w:color w:val="0A2540"/>
          <w:sz w:val="24"/>
        </w:rPr>
        <w:t>Статья 10. Конфиденциальность</w:t>
      </w:r>
    </w:p>
    <w:p>
      <w:r>
        <w:t>10.1. Конфиденциальная информация хранится 5 лет после окончания Договора.</w:t>
      </w:r>
    </w:p>
    <w:p>
      <w:r>
        <w:rPr>
          <w:b/>
          <w:color w:val="0A2540"/>
          <w:sz w:val="24"/>
        </w:rPr>
        <w:t>Статья 11. Разрешение споров</w:t>
      </w:r>
    </w:p>
    <w:p>
      <w:r>
        <w:t>11.1. Переговоры → Экономический суд г. Ташкента.</w:t>
      </w:r>
    </w:p>
    <w:p>
      <w:r>
        <w:rPr>
          <w:b/>
          <w:color w:val="0A2540"/>
          <w:sz w:val="24"/>
        </w:rPr>
        <w:t>Статья 12. Расторжение</w:t>
      </w:r>
    </w:p>
    <w:p>
      <w:r>
        <w:t>12.1. Письменное уведомление за 30 дней.</w:t>
      </w:r>
    </w:p>
    <w:p>
      <w:r>
        <w:rPr>
          <w:b/>
          <w:color w:val="0A2540"/>
          <w:sz w:val="24"/>
        </w:rPr>
        <w:t>Статья 13. Электронная подпись и акцепт</w:t>
      </w:r>
    </w:p>
    <w:p>
      <w:r>
        <w:t>13.1. Регистрация и нажатие «Принимаю» — полный акцепт.</w:t>
      </w:r>
    </w:p>
    <w:p>
      <w:r>
        <w:t>13.2. ЭЦП/OTP/canvas — равны рукописной подписи.</w:t>
      </w:r>
    </w:p>
    <w:p>
      <w:r>
        <w:rPr>
          <w:b/>
          <w:color w:val="0A2540"/>
          <w:sz w:val="24"/>
        </w:rPr>
        <w:t>Статья 14. Обновления</w:t>
      </w:r>
    </w:p>
    <w:p>
      <w:r>
        <w:t>14.1. Новая версия публикуется на med1.uz/legal.</w:t>
      </w:r>
    </w:p>
    <w:p>
      <w:r>
        <w:rPr>
          <w:b/>
          <w:color w:val="0A2540"/>
          <w:sz w:val="24"/>
        </w:rPr>
        <w:t>Статья 15. Заключительные положения</w:t>
      </w:r>
    </w:p>
    <w:p>
      <w:r>
        <w:t>15.1. Применяется законодательство РУз.</w:t>
      </w:r>
    </w:p>
    <w:p>
      <w:r>
        <w:t>15.2. Договор заключён в электронной форме.</w:t>
      </w:r>
    </w:p>
    <w:p>
      <w:r>
        <w:rPr>
          <w:b/>
          <w:color w:val="0A2540"/>
          <w:sz w:val="24"/>
        </w:rPr>
        <w:t>Статья 16. Реквизиты сторон</w:t>
      </w:r>
    </w:p>
    <w:p>
      <w:r>
        <w:t>ИСПОЛНИТЕЛЬ: MED-ALL AI SYSTEM MCHJ</w:t>
      </w:r>
    </w:p>
    <w:p>
      <w:r>
        <w:t>Директор: Shernazarov Farrux</w:t>
      </w:r>
    </w:p>
    <w:p>
      <w:r>
        <w:t>ИНН: 312972027</w:t>
      </w:r>
    </w:p>
    <w:p>
      <w:r>
        <w:t>Адрес: г. Ташкент, Узбекистан</w:t>
      </w:r>
    </w:p>
    <w:p>
      <w:r>
        <w:t>Веб: https://med1.uz</w:t>
      </w:r>
    </w:p>
    <w:p>
      <w:r>
        <w:t>E-mail: legal@med1.uz</w:t>
      </w:r>
    </w:p>
    <w:p>
      <w:r>
        <w:br w:type="page"/>
      </w:r>
    </w:p>
    <w:p>
      <w:r>
        <w:rPr>
          <w:b/>
          <w:color w:val="2F80ED"/>
          <w:sz w:val="24"/>
        </w:rPr>
        <w:t>ПРИЛОЖЕНИЕ №1 — ТАРИФЫ</w:t>
      </w:r>
    </w:p>
    <w:p>
      <w:r>
        <w:t>Free / Basic (490 000 сум/мес) / Pro (1 290 000 сум/мес) / Enterprise (по согласованию).</w:t>
      </w:r>
    </w:p>
    <w:p>
      <w:r>
        <w:rPr>
          <w:b/>
          <w:color w:val="2F80ED"/>
          <w:sz w:val="24"/>
        </w:rPr>
        <w:t>ПРИЛОЖЕНИЕ №2 — SLA</w:t>
      </w:r>
    </w:p>
    <w:p>
      <w:r>
        <w:t>Uptime 99,5%. Ниже 99,0% — возврат 10%; ниже 95% — возврат 30%.</w:t>
      </w:r>
    </w:p>
    <w:p>
      <w:r>
        <w:rPr>
          <w:b/>
          <w:color w:val="2F80ED"/>
          <w:sz w:val="24"/>
        </w:rPr>
        <w:t>ПРИЛОЖЕНИЕ №3 — AI DISCLAIMER</w:t>
      </w:r>
    </w:p>
    <w:p>
      <w:r>
        <w:t>AI-услуги носят информационный характер. По вопросам диагностики обращайтесь к лицензированному врачу.</w:t>
      </w:r>
    </w:p>
    <w:p/>
    <w:p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Проверьте подлинность договора через QR-код</w:t>
        <w:br/>
        <w:t>Hash ID: 73cca99e9a75d03e4e462ba2fc0cd504</w:t>
        <w:br/>
        <w:t>https://med1.uz/verify/contract/73cca99e9a75d03e4e462ba2fc0cd504</w:t>
      </w:r>
    </w:p>
    <w:p>
      <w:pPr>
        <w:jc w:val="center"/>
      </w:pPr>
      <w:r>
        <w:rPr>
          <w:color w:val="888888"/>
          <w:sz w:val="16"/>
        </w:rPr>
        <w:t>© 2018–2026 MED-ALL AI SYSTEM MCHJ | MED1.UZ | LGL-MASTER-2026-0001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