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072"/>
      </w:tblGrid>
      <w:tr w:rsidR="0039251A">
        <w:trPr>
          <w:trHeight w:val="6000"/>
        </w:trPr>
        <w:tc>
          <w:tcPr>
            <w:tcW w:w="9305" w:type="dxa"/>
          </w:tcPr>
          <w:p w:rsidR="0039251A" w:rsidRDefault="0039251A">
            <w:pPr>
              <w:spacing w:after="120"/>
              <w:jc w:val="center"/>
            </w:pPr>
          </w:p>
          <w:p w:rsidR="0039251A" w:rsidRDefault="0039251A">
            <w:pPr>
              <w:spacing w:after="120"/>
              <w:jc w:val="center"/>
            </w:pPr>
          </w:p>
          <w:p w:rsidR="0039251A" w:rsidRDefault="00B1103A">
            <w:pPr>
              <w:spacing w:after="120"/>
              <w:jc w:val="center"/>
            </w:pPr>
            <w:r>
              <w:rPr>
                <w:b/>
                <w:sz w:val="48"/>
                <w:szCs w:val="48"/>
              </w:rPr>
              <w:t>Internal and Confidential</w:t>
            </w:r>
          </w:p>
          <w:p w:rsidR="0039251A" w:rsidRDefault="0039251A">
            <w:pPr>
              <w:spacing w:after="120"/>
              <w:jc w:val="center"/>
            </w:pPr>
          </w:p>
          <w:p w:rsidR="0039251A" w:rsidRDefault="0039251A">
            <w:pPr>
              <w:spacing w:after="120"/>
              <w:jc w:val="center"/>
            </w:pPr>
          </w:p>
          <w:p w:rsidR="0039251A" w:rsidRDefault="005E3033">
            <w:pPr>
              <w:spacing w:after="120"/>
              <w:jc w:val="center"/>
            </w:pPr>
            <w:r>
              <w:rPr>
                <w:b/>
                <w:sz w:val="36"/>
                <w:szCs w:val="36"/>
              </w:rPr>
              <w:t>Specification for Proof-of-Delivery</w:t>
            </w:r>
            <w:r w:rsidR="00C6068B">
              <w:rPr>
                <w:b/>
                <w:sz w:val="36"/>
                <w:szCs w:val="36"/>
              </w:rPr>
              <w:t xml:space="preserve"> on Revenue Accounting Engine</w:t>
            </w:r>
          </w:p>
          <w:p w:rsidR="0039251A" w:rsidRDefault="00B1103A">
            <w:pPr>
              <w:spacing w:after="120"/>
              <w:jc w:val="center"/>
            </w:pPr>
            <w:r>
              <w:rPr>
                <w:b/>
                <w:sz w:val="32"/>
                <w:szCs w:val="32"/>
              </w:rPr>
              <w:t>PR 30174</w:t>
            </w:r>
          </w:p>
          <w:p w:rsidR="0039251A" w:rsidRDefault="0039251A">
            <w:pPr>
              <w:spacing w:after="120"/>
              <w:jc w:val="center"/>
            </w:pPr>
          </w:p>
          <w:p w:rsidR="0039251A" w:rsidRDefault="0039251A">
            <w:pPr>
              <w:spacing w:after="120"/>
              <w:jc w:val="center"/>
            </w:pPr>
          </w:p>
          <w:p w:rsidR="0039251A" w:rsidRDefault="00B1103A">
            <w:pPr>
              <w:spacing w:after="120"/>
              <w:jc w:val="center"/>
            </w:pPr>
            <w:r>
              <w:rPr>
                <w:b/>
                <w:sz w:val="28"/>
                <w:szCs w:val="28"/>
              </w:rPr>
              <w:t>Working Version</w:t>
            </w:r>
          </w:p>
          <w:p w:rsidR="0039251A" w:rsidRDefault="00AA07E2">
            <w:pPr>
              <w:spacing w:after="120"/>
              <w:jc w:val="center"/>
            </w:pPr>
            <w:r>
              <w:rPr>
                <w:b/>
                <w:sz w:val="28"/>
                <w:szCs w:val="28"/>
              </w:rPr>
              <w:t xml:space="preserve">Changed on </w:t>
            </w:r>
            <w:r w:rsidR="00C6068B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>1.</w:t>
            </w:r>
            <w:r w:rsidR="00C6068B">
              <w:rPr>
                <w:b/>
                <w:sz w:val="28"/>
                <w:szCs w:val="28"/>
              </w:rPr>
              <w:t>2</w:t>
            </w:r>
            <w:r w:rsidR="00B1103A">
              <w:rPr>
                <w:b/>
                <w:sz w:val="28"/>
                <w:szCs w:val="28"/>
              </w:rPr>
              <w:t>2.201</w:t>
            </w:r>
            <w:r>
              <w:rPr>
                <w:b/>
                <w:sz w:val="28"/>
                <w:szCs w:val="28"/>
              </w:rPr>
              <w:t>7</w:t>
            </w:r>
          </w:p>
          <w:p w:rsidR="0039251A" w:rsidRDefault="0039251A">
            <w:pPr>
              <w:spacing w:after="120"/>
              <w:jc w:val="center"/>
            </w:pPr>
          </w:p>
          <w:p w:rsidR="0039251A" w:rsidRDefault="0039251A">
            <w:pPr>
              <w:spacing w:after="120"/>
              <w:jc w:val="center"/>
            </w:pPr>
          </w:p>
        </w:tc>
      </w:tr>
    </w:tbl>
    <w:p w:rsidR="0039251A" w:rsidRDefault="0039251A"/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000"/>
        <w:gridCol w:w="2000"/>
      </w:tblGrid>
      <w:tr w:rsidR="0039251A">
        <w:trPr>
          <w:tblHeader/>
          <w:jc w:val="center"/>
        </w:trPr>
        <w:tc>
          <w:tcPr>
            <w:tcW w:w="7000" w:type="dxa"/>
            <w:gridSpan w:val="2"/>
            <w:shd w:val="clear" w:color="auto" w:fill="CCCCCC"/>
          </w:tcPr>
          <w:p w:rsidR="0039251A" w:rsidRDefault="00B1103A">
            <w:r>
              <w:rPr>
                <w:b/>
              </w:rPr>
              <w:t>Users who have change authorization in the Working Version</w:t>
            </w:r>
          </w:p>
        </w:tc>
      </w:tr>
      <w:tr w:rsidR="0039251A">
        <w:trPr>
          <w:cantSplit/>
          <w:jc w:val="center"/>
        </w:trPr>
        <w:tc>
          <w:tcPr>
            <w:tcW w:w="5000" w:type="dxa"/>
          </w:tcPr>
          <w:p w:rsidR="0039251A" w:rsidRDefault="00B1103A">
            <w:r>
              <w:t>Xin Fang</w:t>
            </w:r>
          </w:p>
        </w:tc>
        <w:tc>
          <w:tcPr>
            <w:tcW w:w="2000" w:type="dxa"/>
          </w:tcPr>
          <w:p w:rsidR="0039251A" w:rsidRDefault="00B1103A">
            <w:r>
              <w:t>I042117</w:t>
            </w:r>
          </w:p>
        </w:tc>
      </w:tr>
      <w:tr w:rsidR="0039251A">
        <w:trPr>
          <w:cantSplit/>
          <w:jc w:val="center"/>
        </w:trPr>
        <w:tc>
          <w:tcPr>
            <w:tcW w:w="7000" w:type="dxa"/>
            <w:gridSpan w:val="2"/>
          </w:tcPr>
          <w:p w:rsidR="0039251A" w:rsidRDefault="00B1103A">
            <w:r>
              <w:rPr>
                <w:color w:val="666666"/>
              </w:rPr>
              <w:t>*A list of all users and their roles can be found in the Appendix</w:t>
            </w:r>
          </w:p>
        </w:tc>
      </w:tr>
    </w:tbl>
    <w:p w:rsidR="0039251A" w:rsidRDefault="0039251A"/>
    <w:p w:rsidR="0039251A" w:rsidRDefault="00B1103A">
      <w:pPr>
        <w:spacing w:after="120"/>
      </w:pPr>
      <w:r>
        <w:br w:type="page"/>
      </w:r>
      <w:r>
        <w:rPr>
          <w:b/>
          <w:sz w:val="36"/>
          <w:szCs w:val="36"/>
        </w:rPr>
        <w:lastRenderedPageBreak/>
        <w:t>Document Versions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0"/>
        <w:gridCol w:w="1750"/>
        <w:gridCol w:w="1750"/>
        <w:gridCol w:w="1350"/>
        <w:gridCol w:w="3305"/>
      </w:tblGrid>
      <w:tr w:rsidR="0039251A">
        <w:trPr>
          <w:tblHeader/>
        </w:trPr>
        <w:tc>
          <w:tcPr>
            <w:tcW w:w="1150" w:type="dxa"/>
            <w:shd w:val="clear" w:color="auto" w:fill="CCCCCC"/>
          </w:tcPr>
          <w:p w:rsidR="0039251A" w:rsidRDefault="00B1103A">
            <w:r>
              <w:rPr>
                <w:b/>
              </w:rPr>
              <w:t>Version</w:t>
            </w:r>
          </w:p>
        </w:tc>
        <w:tc>
          <w:tcPr>
            <w:tcW w:w="1750" w:type="dxa"/>
            <w:shd w:val="clear" w:color="auto" w:fill="CCCCCC"/>
          </w:tcPr>
          <w:p w:rsidR="0039251A" w:rsidRDefault="00B1103A">
            <w:r>
              <w:rPr>
                <w:b/>
              </w:rPr>
              <w:t>Status</w:t>
            </w:r>
          </w:p>
        </w:tc>
        <w:tc>
          <w:tcPr>
            <w:tcW w:w="1750" w:type="dxa"/>
            <w:shd w:val="clear" w:color="auto" w:fill="CCCCCC"/>
          </w:tcPr>
          <w:p w:rsidR="0039251A" w:rsidRDefault="00B1103A">
            <w:r>
              <w:rPr>
                <w:b/>
              </w:rPr>
              <w:t>Created By</w:t>
            </w:r>
          </w:p>
        </w:tc>
        <w:tc>
          <w:tcPr>
            <w:tcW w:w="1350" w:type="dxa"/>
            <w:shd w:val="clear" w:color="auto" w:fill="CCCCCC"/>
          </w:tcPr>
          <w:p w:rsidR="0039251A" w:rsidRDefault="00B1103A">
            <w:r>
              <w:rPr>
                <w:b/>
              </w:rPr>
              <w:t>Created On</w:t>
            </w:r>
          </w:p>
        </w:tc>
        <w:tc>
          <w:tcPr>
            <w:tcW w:w="3305" w:type="dxa"/>
            <w:shd w:val="clear" w:color="auto" w:fill="CCCCCC"/>
          </w:tcPr>
          <w:p w:rsidR="0039251A" w:rsidRDefault="00B1103A">
            <w:r>
              <w:rPr>
                <w:b/>
              </w:rPr>
              <w:t>Remark</w:t>
            </w:r>
          </w:p>
        </w:tc>
      </w:tr>
      <w:tr w:rsidR="0039251A">
        <w:tc>
          <w:tcPr>
            <w:tcW w:w="1150" w:type="dxa"/>
          </w:tcPr>
          <w:p w:rsidR="0039251A" w:rsidRDefault="00430141">
            <w:hyperlink r:id="rId7" w:history="1">
              <w:r w:rsidR="00B1103A">
                <w:rPr>
                  <w:rStyle w:val="Hyperlink"/>
                </w:rPr>
                <w:t>Work</w:t>
              </w:r>
            </w:hyperlink>
          </w:p>
        </w:tc>
        <w:tc>
          <w:tcPr>
            <w:tcW w:w="1750" w:type="dxa"/>
          </w:tcPr>
          <w:p w:rsidR="0039251A" w:rsidRDefault="00B1103A">
            <w:r>
              <w:t>Document Created</w:t>
            </w:r>
          </w:p>
        </w:tc>
        <w:tc>
          <w:tcPr>
            <w:tcW w:w="1750" w:type="dxa"/>
          </w:tcPr>
          <w:p w:rsidR="0039251A" w:rsidRDefault="00B1103A">
            <w:r>
              <w:t>I042117</w:t>
            </w:r>
          </w:p>
        </w:tc>
        <w:tc>
          <w:tcPr>
            <w:tcW w:w="1350" w:type="dxa"/>
          </w:tcPr>
          <w:p w:rsidR="0039251A" w:rsidRDefault="0096476D">
            <w:r>
              <w:t>01.02</w:t>
            </w:r>
            <w:r w:rsidR="00B1103A">
              <w:t>.201</w:t>
            </w:r>
            <w:r>
              <w:t>7</w:t>
            </w:r>
          </w:p>
        </w:tc>
        <w:tc>
          <w:tcPr>
            <w:tcW w:w="3305" w:type="dxa"/>
          </w:tcPr>
          <w:p w:rsidR="0039251A" w:rsidRDefault="00B1103A">
            <w:r>
              <w:t>Print Preview of Working Version</w:t>
            </w:r>
          </w:p>
        </w:tc>
      </w:tr>
    </w:tbl>
    <w:p w:rsidR="0039251A" w:rsidRDefault="0039251A"/>
    <w:p w:rsidR="0039251A" w:rsidRDefault="00B1103A">
      <w:pPr>
        <w:spacing w:after="120"/>
      </w:pPr>
      <w:r>
        <w:br w:type="page"/>
      </w:r>
      <w:r>
        <w:rPr>
          <w:b/>
          <w:sz w:val="36"/>
          <w:szCs w:val="36"/>
        </w:rPr>
        <w:lastRenderedPageBreak/>
        <w:t>Table of Contents</w:t>
      </w:r>
    </w:p>
    <w:p w:rsidR="00D60A74" w:rsidRDefault="00B1103A">
      <w:pPr>
        <w:pStyle w:val="TOC1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3896163" w:history="1">
        <w:r w:rsidR="00D60A74" w:rsidRPr="003430E8">
          <w:rPr>
            <w:rStyle w:val="Hyperlink"/>
            <w:rFonts w:cs="Times New Roman"/>
            <w:noProof/>
          </w:rPr>
          <w:t>1</w:t>
        </w:r>
        <w:r w:rsidR="00D60A74">
          <w:rPr>
            <w:rFonts w:asciiTheme="minorHAnsi" w:hAnsiTheme="minorHAnsi" w:cstheme="minorBidi"/>
            <w:noProof/>
            <w:sz w:val="22"/>
            <w:szCs w:val="22"/>
            <w:lang w:eastAsia="zh-CN"/>
          </w:rPr>
          <w:tab/>
        </w:r>
        <w:r w:rsidR="00D60A74" w:rsidRPr="003430E8">
          <w:rPr>
            <w:rStyle w:val="Hyperlink"/>
            <w:noProof/>
          </w:rPr>
          <w:t>Software Requirements</w:t>
        </w:r>
        <w:r w:rsidR="00D60A74">
          <w:rPr>
            <w:noProof/>
            <w:webHidden/>
          </w:rPr>
          <w:tab/>
        </w:r>
        <w:r w:rsidR="00D60A74">
          <w:rPr>
            <w:noProof/>
            <w:webHidden/>
          </w:rPr>
          <w:fldChar w:fldCharType="begin"/>
        </w:r>
        <w:r w:rsidR="00D60A74">
          <w:rPr>
            <w:noProof/>
            <w:webHidden/>
          </w:rPr>
          <w:instrText xml:space="preserve"> PAGEREF _Toc473896163 \h </w:instrText>
        </w:r>
        <w:r w:rsidR="00D60A74">
          <w:rPr>
            <w:noProof/>
            <w:webHidden/>
          </w:rPr>
        </w:r>
        <w:r w:rsidR="00D60A74">
          <w:rPr>
            <w:noProof/>
            <w:webHidden/>
          </w:rPr>
          <w:fldChar w:fldCharType="separate"/>
        </w:r>
        <w:r w:rsidR="00D60A74">
          <w:rPr>
            <w:noProof/>
            <w:webHidden/>
          </w:rPr>
          <w:t>4</w:t>
        </w:r>
        <w:r w:rsidR="00D60A74">
          <w:rPr>
            <w:noProof/>
            <w:webHidden/>
          </w:rPr>
          <w:fldChar w:fldCharType="end"/>
        </w:r>
      </w:hyperlink>
    </w:p>
    <w:p w:rsidR="00D60A74" w:rsidRDefault="00430141">
      <w:pPr>
        <w:pStyle w:val="TOC2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473896164" w:history="1">
        <w:r w:rsidR="00D60A74" w:rsidRPr="003430E8">
          <w:rPr>
            <w:rStyle w:val="Hyperlink"/>
            <w:rFonts w:cs="Times New Roman"/>
            <w:noProof/>
          </w:rPr>
          <w:t>1.1</w:t>
        </w:r>
        <w:r w:rsidR="00D60A74">
          <w:rPr>
            <w:rFonts w:asciiTheme="minorHAnsi" w:hAnsiTheme="minorHAnsi" w:cstheme="minorBidi"/>
            <w:noProof/>
            <w:sz w:val="22"/>
            <w:szCs w:val="22"/>
            <w:lang w:eastAsia="zh-CN"/>
          </w:rPr>
          <w:tab/>
        </w:r>
        <w:r w:rsidR="00D60A74" w:rsidRPr="003430E8">
          <w:rPr>
            <w:rStyle w:val="Hyperlink"/>
            <w:noProof/>
          </w:rPr>
          <w:t>Functional Requirement to Sender component</w:t>
        </w:r>
        <w:r w:rsidR="00D60A74">
          <w:rPr>
            <w:noProof/>
            <w:webHidden/>
          </w:rPr>
          <w:tab/>
        </w:r>
        <w:r w:rsidR="00D60A74">
          <w:rPr>
            <w:noProof/>
            <w:webHidden/>
          </w:rPr>
          <w:fldChar w:fldCharType="begin"/>
        </w:r>
        <w:r w:rsidR="00D60A74">
          <w:rPr>
            <w:noProof/>
            <w:webHidden/>
          </w:rPr>
          <w:instrText xml:space="preserve"> PAGEREF _Toc473896164 \h </w:instrText>
        </w:r>
        <w:r w:rsidR="00D60A74">
          <w:rPr>
            <w:noProof/>
            <w:webHidden/>
          </w:rPr>
        </w:r>
        <w:r w:rsidR="00D60A74">
          <w:rPr>
            <w:noProof/>
            <w:webHidden/>
          </w:rPr>
          <w:fldChar w:fldCharType="separate"/>
        </w:r>
        <w:r w:rsidR="00D60A74">
          <w:rPr>
            <w:noProof/>
            <w:webHidden/>
          </w:rPr>
          <w:t>4</w:t>
        </w:r>
        <w:r w:rsidR="00D60A74">
          <w:rPr>
            <w:noProof/>
            <w:webHidden/>
          </w:rPr>
          <w:fldChar w:fldCharType="end"/>
        </w:r>
      </w:hyperlink>
    </w:p>
    <w:p w:rsidR="00D60A74" w:rsidRDefault="00430141">
      <w:pPr>
        <w:pStyle w:val="TOC2"/>
        <w:tabs>
          <w:tab w:val="right" w:leader="dot" w:pos="9062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473896165" w:history="1">
        <w:r w:rsidR="00D60A74" w:rsidRPr="003430E8">
          <w:rPr>
            <w:rStyle w:val="Hyperlink"/>
            <w:noProof/>
          </w:rPr>
          <w:t>Reference to specification:</w:t>
        </w:r>
        <w:r w:rsidR="00D60A74">
          <w:rPr>
            <w:noProof/>
            <w:webHidden/>
          </w:rPr>
          <w:tab/>
        </w:r>
        <w:r w:rsidR="00D60A74">
          <w:rPr>
            <w:noProof/>
            <w:webHidden/>
          </w:rPr>
          <w:fldChar w:fldCharType="begin"/>
        </w:r>
        <w:r w:rsidR="00D60A74">
          <w:rPr>
            <w:noProof/>
            <w:webHidden/>
          </w:rPr>
          <w:instrText xml:space="preserve"> PAGEREF _Toc473896165 \h </w:instrText>
        </w:r>
        <w:r w:rsidR="00D60A74">
          <w:rPr>
            <w:noProof/>
            <w:webHidden/>
          </w:rPr>
        </w:r>
        <w:r w:rsidR="00D60A74">
          <w:rPr>
            <w:noProof/>
            <w:webHidden/>
          </w:rPr>
          <w:fldChar w:fldCharType="separate"/>
        </w:r>
        <w:r w:rsidR="00D60A74">
          <w:rPr>
            <w:noProof/>
            <w:webHidden/>
          </w:rPr>
          <w:t>4</w:t>
        </w:r>
        <w:r w:rsidR="00D60A74">
          <w:rPr>
            <w:noProof/>
            <w:webHidden/>
          </w:rPr>
          <w:fldChar w:fldCharType="end"/>
        </w:r>
      </w:hyperlink>
    </w:p>
    <w:p w:rsidR="00D60A74" w:rsidRDefault="00430141">
      <w:pPr>
        <w:pStyle w:val="TOC2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473896166" w:history="1">
        <w:r w:rsidR="00D60A74" w:rsidRPr="003430E8">
          <w:rPr>
            <w:rStyle w:val="Hyperlink"/>
            <w:rFonts w:cs="Times New Roman"/>
            <w:noProof/>
          </w:rPr>
          <w:t>1.2</w:t>
        </w:r>
        <w:r w:rsidR="00D60A74">
          <w:rPr>
            <w:rFonts w:asciiTheme="minorHAnsi" w:hAnsiTheme="minorHAnsi" w:cstheme="minorBidi"/>
            <w:noProof/>
            <w:sz w:val="22"/>
            <w:szCs w:val="22"/>
            <w:lang w:eastAsia="zh-CN"/>
          </w:rPr>
          <w:tab/>
        </w:r>
        <w:r w:rsidR="00D60A74" w:rsidRPr="003430E8">
          <w:rPr>
            <w:rStyle w:val="Hyperlink"/>
            <w:noProof/>
          </w:rPr>
          <w:t>Functional Requirements to Revenue Accounting Engine</w:t>
        </w:r>
        <w:r w:rsidR="00D60A74">
          <w:rPr>
            <w:noProof/>
            <w:webHidden/>
          </w:rPr>
          <w:tab/>
        </w:r>
        <w:r w:rsidR="00D60A74">
          <w:rPr>
            <w:noProof/>
            <w:webHidden/>
          </w:rPr>
          <w:fldChar w:fldCharType="begin"/>
        </w:r>
        <w:r w:rsidR="00D60A74">
          <w:rPr>
            <w:noProof/>
            <w:webHidden/>
          </w:rPr>
          <w:instrText xml:space="preserve"> PAGEREF _Toc473896166 \h </w:instrText>
        </w:r>
        <w:r w:rsidR="00D60A74">
          <w:rPr>
            <w:noProof/>
            <w:webHidden/>
          </w:rPr>
        </w:r>
        <w:r w:rsidR="00D60A74">
          <w:rPr>
            <w:noProof/>
            <w:webHidden/>
          </w:rPr>
          <w:fldChar w:fldCharType="separate"/>
        </w:r>
        <w:r w:rsidR="00D60A74">
          <w:rPr>
            <w:noProof/>
            <w:webHidden/>
          </w:rPr>
          <w:t>4</w:t>
        </w:r>
        <w:r w:rsidR="00D60A74">
          <w:rPr>
            <w:noProof/>
            <w:webHidden/>
          </w:rPr>
          <w:fldChar w:fldCharType="end"/>
        </w:r>
      </w:hyperlink>
    </w:p>
    <w:p w:rsidR="00D60A74" w:rsidRDefault="00430141">
      <w:pPr>
        <w:pStyle w:val="TOC1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473896167" w:history="1">
        <w:r w:rsidR="00D60A74" w:rsidRPr="003430E8">
          <w:rPr>
            <w:rStyle w:val="Hyperlink"/>
            <w:rFonts w:cs="Times New Roman"/>
            <w:noProof/>
          </w:rPr>
          <w:t>2</w:t>
        </w:r>
        <w:r w:rsidR="00D60A74">
          <w:rPr>
            <w:rFonts w:asciiTheme="minorHAnsi" w:hAnsiTheme="minorHAnsi" w:cstheme="minorBidi"/>
            <w:noProof/>
            <w:sz w:val="22"/>
            <w:szCs w:val="22"/>
            <w:lang w:eastAsia="zh-CN"/>
          </w:rPr>
          <w:tab/>
        </w:r>
        <w:r w:rsidR="00D60A74" w:rsidRPr="003430E8">
          <w:rPr>
            <w:rStyle w:val="Hyperlink"/>
            <w:noProof/>
          </w:rPr>
          <w:t>Appendix (generated)</w:t>
        </w:r>
        <w:r w:rsidR="00D60A74">
          <w:rPr>
            <w:noProof/>
            <w:webHidden/>
          </w:rPr>
          <w:tab/>
        </w:r>
        <w:r w:rsidR="00D60A74">
          <w:rPr>
            <w:noProof/>
            <w:webHidden/>
          </w:rPr>
          <w:fldChar w:fldCharType="begin"/>
        </w:r>
        <w:r w:rsidR="00D60A74">
          <w:rPr>
            <w:noProof/>
            <w:webHidden/>
          </w:rPr>
          <w:instrText xml:space="preserve"> PAGEREF _Toc473896167 \h </w:instrText>
        </w:r>
        <w:r w:rsidR="00D60A74">
          <w:rPr>
            <w:noProof/>
            <w:webHidden/>
          </w:rPr>
        </w:r>
        <w:r w:rsidR="00D60A74">
          <w:rPr>
            <w:noProof/>
            <w:webHidden/>
          </w:rPr>
          <w:fldChar w:fldCharType="separate"/>
        </w:r>
        <w:r w:rsidR="00D60A74">
          <w:rPr>
            <w:noProof/>
            <w:webHidden/>
          </w:rPr>
          <w:t>6</w:t>
        </w:r>
        <w:r w:rsidR="00D60A74">
          <w:rPr>
            <w:noProof/>
            <w:webHidden/>
          </w:rPr>
          <w:fldChar w:fldCharType="end"/>
        </w:r>
      </w:hyperlink>
    </w:p>
    <w:p w:rsidR="0039251A" w:rsidRDefault="00B1103A">
      <w:r>
        <w:fldChar w:fldCharType="end"/>
      </w:r>
    </w:p>
    <w:p w:rsidR="0039251A" w:rsidRDefault="0039251A">
      <w:pPr>
        <w:sectPr w:rsidR="0039251A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6C077D" w:rsidRDefault="00B1103A">
      <w:pPr>
        <w:pStyle w:val="Heading1"/>
      </w:pPr>
      <w:bookmarkStart w:id="0" w:name="_Toc473896163"/>
      <w:r>
        <w:lastRenderedPageBreak/>
        <w:t>Software Requirements</w:t>
      </w:r>
      <w:bookmarkEnd w:id="0"/>
    </w:p>
    <w:p w:rsidR="002D473B" w:rsidRDefault="002D473B" w:rsidP="002D473B">
      <w:pPr>
        <w:pStyle w:val="Heading2"/>
      </w:pPr>
      <w:bookmarkStart w:id="1" w:name="_Toc473896164"/>
      <w:r>
        <w:t>Functional Requirement to Sender component</w:t>
      </w:r>
      <w:bookmarkEnd w:id="1"/>
    </w:p>
    <w:p w:rsidR="006C077D" w:rsidRPr="002D473B" w:rsidRDefault="006C077D" w:rsidP="002D473B">
      <w:pPr>
        <w:pStyle w:val="Heading2"/>
        <w:numPr>
          <w:ilvl w:val="0"/>
          <w:numId w:val="0"/>
        </w:numPr>
        <w:rPr>
          <w:b w:val="0"/>
          <w:bCs w:val="0"/>
          <w:i w:val="0"/>
          <w:iCs w:val="0"/>
          <w:sz w:val="24"/>
          <w:szCs w:val="24"/>
        </w:rPr>
      </w:pPr>
      <w:bookmarkStart w:id="2" w:name="_Toc473896165"/>
      <w:r w:rsidRPr="002D473B">
        <w:rPr>
          <w:b w:val="0"/>
          <w:bCs w:val="0"/>
          <w:i w:val="0"/>
          <w:iCs w:val="0"/>
          <w:sz w:val="24"/>
          <w:szCs w:val="24"/>
        </w:rPr>
        <w:t>Reference to specification</w:t>
      </w:r>
      <w:r w:rsidR="002D473B">
        <w:rPr>
          <w:b w:val="0"/>
          <w:bCs w:val="0"/>
          <w:i w:val="0"/>
          <w:iCs w:val="0"/>
          <w:sz w:val="24"/>
          <w:szCs w:val="24"/>
        </w:rPr>
        <w:t>:</w:t>
      </w:r>
      <w:bookmarkEnd w:id="2"/>
    </w:p>
    <w:p w:rsidR="006C077D" w:rsidRDefault="00430141" w:rsidP="006C077D">
      <w:hyperlink r:id="rId8" w:history="1">
        <w:r w:rsidR="006C077D" w:rsidRPr="00787E0E">
          <w:rPr>
            <w:rStyle w:val="Hyperlink"/>
          </w:rPr>
          <w:t>\\dwdf213\CFP\30_FIN\30_ProductTeams\Financial_Accounting\30_RevenueRecognition\70 Solution Management\30_ProductBacklog\ProofOfDelivery\Specification_ProofOfDelivery_StockInTransit_V1.docx</w:t>
        </w:r>
      </w:hyperlink>
    </w:p>
    <w:p w:rsidR="006C077D" w:rsidRDefault="006C077D" w:rsidP="006C077D"/>
    <w:p w:rsidR="006C077D" w:rsidRDefault="009934A1" w:rsidP="006C077D">
      <w:pPr>
        <w:rPr>
          <w:noProof/>
          <w:lang w:eastAsia="zh-CN"/>
        </w:rPr>
      </w:pPr>
      <w:r w:rsidRPr="00BE0564">
        <w:rPr>
          <w:noProof/>
          <w:lang w:eastAsia="zh-CN"/>
        </w:rPr>
        <w:drawing>
          <wp:inline distT="0" distB="0" distL="0" distR="0">
            <wp:extent cx="4344670" cy="238887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37" w:rsidRDefault="00183537" w:rsidP="006C077D">
      <w:pPr>
        <w:rPr>
          <w:noProof/>
          <w:lang w:eastAsia="zh-CN"/>
        </w:rPr>
      </w:pPr>
      <w:r>
        <w:rPr>
          <w:noProof/>
          <w:lang w:eastAsia="zh-CN"/>
        </w:rPr>
        <w:t>Notice:</w:t>
      </w:r>
    </w:p>
    <w:p w:rsidR="00183537" w:rsidRDefault="00183537" w:rsidP="006C077D">
      <w:pPr>
        <w:rPr>
          <w:noProof/>
          <w:lang w:eastAsia="zh-CN"/>
        </w:rPr>
      </w:pPr>
      <w:r>
        <w:rPr>
          <w:noProof/>
          <w:lang w:eastAsia="zh-CN"/>
        </w:rPr>
        <w:t>Proof-of-Delivery is not a document in SD doc flow, on the other hand it is a ‘tab’(information) of Outbound delivery(Document).</w:t>
      </w:r>
      <w:r w:rsidR="00AB210A">
        <w:rPr>
          <w:noProof/>
          <w:lang w:eastAsia="zh-CN"/>
        </w:rPr>
        <w:t xml:space="preserve">  </w:t>
      </w:r>
      <w:r>
        <w:rPr>
          <w:noProof/>
          <w:lang w:eastAsia="zh-CN"/>
        </w:rPr>
        <w:t>Therefore, the source doce id of Proof-of-Delivery is outbound delivery.</w:t>
      </w:r>
    </w:p>
    <w:p w:rsidR="00183537" w:rsidRDefault="00183537" w:rsidP="006C077D">
      <w:pPr>
        <w:rPr>
          <w:noProof/>
          <w:lang w:eastAsia="zh-CN"/>
        </w:rPr>
      </w:pPr>
    </w:p>
    <w:p w:rsidR="006C077D" w:rsidRDefault="006C077D" w:rsidP="006C077D">
      <w:pPr>
        <w:rPr>
          <w:noProof/>
          <w:lang w:eastAsia="zh-CN"/>
        </w:rPr>
      </w:pPr>
      <w:r>
        <w:rPr>
          <w:noProof/>
          <w:lang w:eastAsia="zh-CN"/>
        </w:rPr>
        <w:t>Key requirements:</w:t>
      </w:r>
    </w:p>
    <w:p w:rsidR="006C077D" w:rsidRDefault="00765025" w:rsidP="00765025">
      <w:pPr>
        <w:numPr>
          <w:ilvl w:val="0"/>
          <w:numId w:val="5"/>
        </w:numPr>
      </w:pPr>
      <w:r>
        <w:t>Sender component will create new fulfillment event type ‘PD</w:t>
      </w:r>
      <w:proofErr w:type="gramStart"/>
      <w:r>
        <w:t>’(</w:t>
      </w:r>
      <w:proofErr w:type="gramEnd"/>
      <w:r>
        <w:t>Proof of Delivery).</w:t>
      </w:r>
    </w:p>
    <w:p w:rsidR="003171FC" w:rsidRDefault="003171FC" w:rsidP="00765025">
      <w:pPr>
        <w:numPr>
          <w:ilvl w:val="0"/>
          <w:numId w:val="5"/>
        </w:numPr>
      </w:pPr>
      <w:r>
        <w:t>POB with event type ‘PD’ recognize revenue and cost at event PD</w:t>
      </w:r>
    </w:p>
    <w:p w:rsidR="00765025" w:rsidRDefault="00765025" w:rsidP="00765025">
      <w:pPr>
        <w:numPr>
          <w:ilvl w:val="0"/>
          <w:numId w:val="5"/>
        </w:numPr>
      </w:pPr>
      <w:r>
        <w:t xml:space="preserve">The quantity of confirmed </w:t>
      </w:r>
      <w:r w:rsidR="00CC3F6E">
        <w:t xml:space="preserve">Proof of Delivery </w:t>
      </w:r>
      <w:r>
        <w:t>can be changed.</w:t>
      </w:r>
    </w:p>
    <w:p w:rsidR="003171FC" w:rsidRDefault="00765025" w:rsidP="00765025">
      <w:pPr>
        <w:numPr>
          <w:ilvl w:val="0"/>
          <w:numId w:val="5"/>
        </w:numPr>
      </w:pPr>
      <w:r>
        <w:t>Quantity difference shall adjust the quantity of performance obligation.</w:t>
      </w:r>
    </w:p>
    <w:p w:rsidR="00765025" w:rsidRDefault="00765025" w:rsidP="002D473B"/>
    <w:p w:rsidR="002D473B" w:rsidRDefault="002D473B" w:rsidP="002D473B">
      <w:pPr>
        <w:pStyle w:val="Heading2"/>
      </w:pPr>
      <w:bookmarkStart w:id="3" w:name="_Toc427849984"/>
      <w:bookmarkStart w:id="4" w:name="_Toc427850159"/>
      <w:bookmarkStart w:id="5" w:name="_Toc427850496"/>
      <w:bookmarkStart w:id="6" w:name="_Toc427850659"/>
      <w:bookmarkStart w:id="7" w:name="_Toc472316898"/>
      <w:bookmarkStart w:id="8" w:name="_Toc473896166"/>
      <w:r>
        <w:t>Functional Requirements</w:t>
      </w:r>
      <w:bookmarkEnd w:id="3"/>
      <w:bookmarkEnd w:id="4"/>
      <w:bookmarkEnd w:id="5"/>
      <w:bookmarkEnd w:id="6"/>
      <w:bookmarkEnd w:id="7"/>
      <w:r>
        <w:t xml:space="preserve"> to Revenue Accounting Engine</w:t>
      </w:r>
      <w:bookmarkEnd w:id="8"/>
    </w:p>
    <w:p w:rsidR="002D473B" w:rsidRPr="002D473B" w:rsidRDefault="002D473B" w:rsidP="002D473B">
      <w:pPr>
        <w:rPr>
          <w:rFonts w:eastAsia="Times New Roman"/>
          <w:color w:val="000000"/>
          <w:lang w:eastAsia="zh-CN"/>
        </w:rPr>
      </w:pPr>
      <w:r w:rsidRPr="002D473B">
        <w:rPr>
          <w:rFonts w:eastAsia="Times New Roman"/>
          <w:b/>
          <w:bCs/>
          <w:color w:val="000000"/>
          <w:lang w:eastAsia="zh-CN"/>
        </w:rPr>
        <w:t>REQ #1: Engine shall have new event type 'PD'(Proof of Delivery).</w:t>
      </w:r>
    </w:p>
    <w:p w:rsidR="002D473B" w:rsidRPr="002D473B" w:rsidRDefault="002D473B" w:rsidP="002D473B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 xml:space="preserve">Event type ‘PD’ will be a new </w:t>
      </w:r>
      <w:r w:rsidR="00137C49">
        <w:rPr>
          <w:rFonts w:eastAsia="Times New Roman"/>
          <w:color w:val="000000"/>
          <w:lang w:eastAsia="zh-CN"/>
        </w:rPr>
        <w:t xml:space="preserve">event type in customizing table </w:t>
      </w:r>
      <w:r w:rsidR="00137C49" w:rsidRPr="00137C49">
        <w:rPr>
          <w:rFonts w:eastAsia="Times New Roman"/>
          <w:color w:val="000000"/>
          <w:lang w:eastAsia="zh-CN"/>
        </w:rPr>
        <w:t>FARR_C_EVNT_TY</w:t>
      </w:r>
      <w:r w:rsidRPr="002D473B">
        <w:rPr>
          <w:rFonts w:eastAsia="Times New Roman"/>
          <w:color w:val="000000"/>
          <w:lang w:eastAsia="zh-CN"/>
        </w:rPr>
        <w:t> </w:t>
      </w:r>
      <w:r w:rsidR="00137C49">
        <w:rPr>
          <w:rFonts w:eastAsia="Times New Roman"/>
          <w:color w:val="000000"/>
          <w:lang w:eastAsia="zh-CN"/>
        </w:rPr>
        <w:t>delivered by SAP.</w:t>
      </w:r>
    </w:p>
    <w:p w:rsidR="002D473B" w:rsidRDefault="002D473B" w:rsidP="002D473B">
      <w:pPr>
        <w:rPr>
          <w:rFonts w:eastAsia="Times New Roman"/>
          <w:b/>
          <w:bCs/>
          <w:color w:val="000000"/>
          <w:lang w:eastAsia="zh-CN"/>
        </w:rPr>
      </w:pPr>
    </w:p>
    <w:p w:rsidR="00CB17E3" w:rsidRDefault="002D473B" w:rsidP="002D473B">
      <w:pPr>
        <w:rPr>
          <w:rFonts w:eastAsia="Times New Roman"/>
          <w:b/>
          <w:bCs/>
          <w:color w:val="000000"/>
          <w:lang w:eastAsia="zh-CN"/>
        </w:rPr>
      </w:pPr>
      <w:r w:rsidRPr="002D473B">
        <w:rPr>
          <w:rFonts w:eastAsia="Times New Roman"/>
          <w:b/>
          <w:bCs/>
          <w:color w:val="000000"/>
          <w:lang w:eastAsia="zh-CN"/>
        </w:rPr>
        <w:t xml:space="preserve">REQ #2: </w:t>
      </w:r>
      <w:r w:rsidR="004423AA">
        <w:rPr>
          <w:rFonts w:eastAsia="Times New Roman"/>
          <w:b/>
          <w:bCs/>
          <w:color w:val="000000"/>
          <w:lang w:eastAsia="zh-CN"/>
        </w:rPr>
        <w:t xml:space="preserve">POB with event type 'PD' shall </w:t>
      </w:r>
      <w:r w:rsidRPr="002D473B">
        <w:rPr>
          <w:rFonts w:eastAsia="Times New Roman"/>
          <w:b/>
          <w:bCs/>
          <w:color w:val="000000"/>
          <w:lang w:eastAsia="zh-CN"/>
        </w:rPr>
        <w:t>be</w:t>
      </w:r>
      <w:r w:rsidR="004423AA">
        <w:rPr>
          <w:rFonts w:eastAsia="Times New Roman"/>
          <w:b/>
          <w:bCs/>
          <w:color w:val="000000"/>
          <w:lang w:eastAsia="zh-CN"/>
        </w:rPr>
        <w:t xml:space="preserve"> possible to define as</w:t>
      </w:r>
      <w:r w:rsidRPr="002D473B">
        <w:rPr>
          <w:rFonts w:eastAsia="Times New Roman"/>
          <w:b/>
          <w:bCs/>
          <w:color w:val="000000"/>
          <w:lang w:eastAsia="zh-CN"/>
        </w:rPr>
        <w:t xml:space="preserve"> quantity relevant</w:t>
      </w:r>
      <w:r w:rsidR="004423AA">
        <w:rPr>
          <w:rFonts w:eastAsia="Times New Roman"/>
          <w:b/>
          <w:bCs/>
          <w:color w:val="000000"/>
          <w:lang w:eastAsia="zh-CN"/>
        </w:rPr>
        <w:t xml:space="preserve"> or value relevant.</w:t>
      </w:r>
    </w:p>
    <w:p w:rsidR="00CB17E3" w:rsidRDefault="00CB17E3" w:rsidP="002D473B">
      <w:pPr>
        <w:rPr>
          <w:rFonts w:eastAsia="Times New Roman"/>
          <w:b/>
          <w:bCs/>
          <w:color w:val="000000"/>
          <w:lang w:eastAsia="zh-CN"/>
        </w:rPr>
      </w:pPr>
    </w:p>
    <w:p w:rsidR="004423AA" w:rsidRPr="00852348" w:rsidRDefault="004423AA" w:rsidP="002D473B">
      <w:pPr>
        <w:rPr>
          <w:rFonts w:eastAsia="Times New Roman"/>
          <w:bCs/>
          <w:color w:val="000000"/>
          <w:lang w:eastAsia="zh-CN"/>
        </w:rPr>
      </w:pPr>
      <w:r w:rsidRPr="00852348">
        <w:rPr>
          <w:rFonts w:eastAsia="Times New Roman"/>
          <w:bCs/>
          <w:color w:val="000000"/>
          <w:lang w:eastAsia="zh-CN"/>
        </w:rPr>
        <w:t xml:space="preserve">If POB with event type ‘PD’ is defined as quantity relevant, the quantity difference on </w:t>
      </w:r>
      <w:r w:rsidR="000B21A7" w:rsidRPr="00852348">
        <w:rPr>
          <w:rFonts w:eastAsia="Times New Roman"/>
          <w:bCs/>
          <w:color w:val="000000"/>
          <w:lang w:eastAsia="zh-CN"/>
        </w:rPr>
        <w:t xml:space="preserve">each Proof-of-Delivery shall adjust the POB </w:t>
      </w:r>
      <w:r w:rsidR="00852348" w:rsidRPr="00852348">
        <w:rPr>
          <w:rFonts w:eastAsia="Times New Roman"/>
          <w:bCs/>
          <w:color w:val="000000"/>
          <w:lang w:eastAsia="zh-CN"/>
        </w:rPr>
        <w:t>quantity</w:t>
      </w:r>
      <w:r w:rsidR="000B21A7" w:rsidRPr="00852348">
        <w:rPr>
          <w:rFonts w:eastAsia="Times New Roman"/>
          <w:bCs/>
          <w:color w:val="000000"/>
          <w:lang w:eastAsia="zh-CN"/>
        </w:rPr>
        <w:t>.</w:t>
      </w:r>
    </w:p>
    <w:p w:rsidR="000B21A7" w:rsidRPr="00852348" w:rsidRDefault="000B21A7" w:rsidP="002D473B">
      <w:pPr>
        <w:rPr>
          <w:rFonts w:eastAsia="Times New Roman"/>
          <w:bCs/>
          <w:color w:val="000000"/>
          <w:lang w:eastAsia="zh-CN"/>
        </w:rPr>
      </w:pPr>
    </w:p>
    <w:p w:rsidR="000A1A4B" w:rsidRPr="00852348" w:rsidRDefault="000B21A7" w:rsidP="002D473B">
      <w:pPr>
        <w:rPr>
          <w:rFonts w:eastAsia="Times New Roman"/>
          <w:bCs/>
          <w:color w:val="000000"/>
          <w:lang w:eastAsia="zh-CN"/>
        </w:rPr>
      </w:pPr>
      <w:r w:rsidRPr="00852348">
        <w:rPr>
          <w:rFonts w:eastAsia="Times New Roman"/>
          <w:bCs/>
          <w:color w:val="000000"/>
          <w:lang w:eastAsia="zh-CN"/>
        </w:rPr>
        <w:lastRenderedPageBreak/>
        <w:t>If</w:t>
      </w:r>
      <w:r w:rsidR="00134D33" w:rsidRPr="00852348">
        <w:rPr>
          <w:rFonts w:eastAsia="Times New Roman"/>
          <w:bCs/>
          <w:color w:val="000000"/>
          <w:lang w:eastAsia="zh-CN"/>
        </w:rPr>
        <w:t xml:space="preserve"> POB with event type of </w:t>
      </w:r>
      <w:r w:rsidRPr="00852348">
        <w:rPr>
          <w:rFonts w:eastAsia="Times New Roman"/>
          <w:bCs/>
          <w:color w:val="000000"/>
          <w:lang w:eastAsia="zh-CN"/>
        </w:rPr>
        <w:t>‘</w:t>
      </w:r>
      <w:r w:rsidR="00134D33" w:rsidRPr="00852348">
        <w:rPr>
          <w:rFonts w:eastAsia="Times New Roman"/>
          <w:bCs/>
          <w:color w:val="000000"/>
          <w:lang w:eastAsia="zh-CN"/>
        </w:rPr>
        <w:t>PD</w:t>
      </w:r>
      <w:r w:rsidRPr="00852348">
        <w:rPr>
          <w:rFonts w:eastAsia="Times New Roman"/>
          <w:bCs/>
          <w:color w:val="000000"/>
          <w:lang w:eastAsia="zh-CN"/>
        </w:rPr>
        <w:t>’</w:t>
      </w:r>
      <w:r w:rsidR="00134D33" w:rsidRPr="00852348">
        <w:rPr>
          <w:rFonts w:eastAsia="Times New Roman"/>
          <w:bCs/>
          <w:color w:val="000000"/>
          <w:lang w:eastAsia="zh-CN"/>
        </w:rPr>
        <w:t xml:space="preserve"> </w:t>
      </w:r>
      <w:r w:rsidRPr="00852348">
        <w:rPr>
          <w:rFonts w:eastAsia="Times New Roman"/>
          <w:bCs/>
          <w:color w:val="000000"/>
          <w:lang w:eastAsia="zh-CN"/>
        </w:rPr>
        <w:t>is defined as value relevant (t</w:t>
      </w:r>
      <w:r w:rsidR="000A1A4B" w:rsidRPr="00852348">
        <w:rPr>
          <w:rFonts w:eastAsia="Times New Roman"/>
          <w:bCs/>
          <w:color w:val="000000"/>
          <w:lang w:eastAsia="zh-CN"/>
        </w:rPr>
        <w:t>his means the POB has a billing plan</w:t>
      </w:r>
      <w:r w:rsidR="00852348" w:rsidRPr="00852348">
        <w:rPr>
          <w:rFonts w:eastAsia="Times New Roman"/>
          <w:bCs/>
          <w:color w:val="000000"/>
          <w:lang w:eastAsia="zh-CN"/>
        </w:rPr>
        <w:t>), the</w:t>
      </w:r>
      <w:r w:rsidR="000A1A4B" w:rsidRPr="00852348">
        <w:rPr>
          <w:rFonts w:eastAsia="Times New Roman"/>
          <w:bCs/>
          <w:color w:val="000000"/>
          <w:lang w:eastAsia="zh-CN"/>
        </w:rPr>
        <w:t xml:space="preserve"> quantity difference on the POD </w:t>
      </w:r>
      <w:r w:rsidRPr="00852348">
        <w:rPr>
          <w:rFonts w:eastAsia="Times New Roman"/>
          <w:bCs/>
          <w:color w:val="000000"/>
          <w:lang w:eastAsia="zh-CN"/>
        </w:rPr>
        <w:t>shall</w:t>
      </w:r>
      <w:r w:rsidR="000A1A4B" w:rsidRPr="00852348">
        <w:rPr>
          <w:rFonts w:eastAsia="Times New Roman"/>
          <w:bCs/>
          <w:color w:val="000000"/>
          <w:lang w:eastAsia="zh-CN"/>
        </w:rPr>
        <w:t xml:space="preserve"> not adjust the quantity and amount of the POB at POD.</w:t>
      </w:r>
    </w:p>
    <w:p w:rsidR="00134D33" w:rsidRDefault="000A1A4B" w:rsidP="002D473B">
      <w:pPr>
        <w:rPr>
          <w:rFonts w:eastAsia="Times New Roman"/>
          <w:b/>
          <w:bCs/>
          <w:color w:val="000000"/>
          <w:lang w:eastAsia="zh-CN"/>
        </w:rPr>
      </w:pPr>
      <w:r>
        <w:rPr>
          <w:rFonts w:eastAsia="Times New Roman"/>
          <w:b/>
          <w:bCs/>
          <w:color w:val="000000"/>
          <w:lang w:eastAsia="zh-CN"/>
        </w:rPr>
        <w:t xml:space="preserve"> </w:t>
      </w:r>
    </w:p>
    <w:p w:rsidR="002D473B" w:rsidRDefault="002D473B" w:rsidP="002D473B">
      <w:pPr>
        <w:rPr>
          <w:rFonts w:eastAsia="Times New Roman"/>
          <w:b/>
          <w:bCs/>
          <w:color w:val="000000"/>
          <w:lang w:eastAsia="zh-CN"/>
        </w:rPr>
      </w:pPr>
      <w:r w:rsidRPr="002D473B">
        <w:rPr>
          <w:rFonts w:eastAsia="Times New Roman"/>
          <w:b/>
          <w:bCs/>
          <w:color w:val="000000"/>
          <w:lang w:eastAsia="zh-CN"/>
        </w:rPr>
        <w:t xml:space="preserve">REQ #3: POB with event type 'PD' shall post cost correction </w:t>
      </w:r>
      <w:r w:rsidR="00137C49">
        <w:rPr>
          <w:rFonts w:eastAsia="Times New Roman"/>
          <w:b/>
          <w:bCs/>
          <w:color w:val="000000"/>
          <w:lang w:eastAsia="zh-CN"/>
        </w:rPr>
        <w:t xml:space="preserve">from Goods Issue which is </w:t>
      </w:r>
      <w:r w:rsidRPr="002D473B">
        <w:rPr>
          <w:rFonts w:eastAsia="Times New Roman"/>
          <w:b/>
          <w:bCs/>
          <w:color w:val="000000"/>
          <w:lang w:eastAsia="zh-CN"/>
        </w:rPr>
        <w:t xml:space="preserve">sent to Engine using the amount </w:t>
      </w:r>
      <w:r w:rsidR="00797BB4">
        <w:rPr>
          <w:rFonts w:eastAsia="Times New Roman"/>
          <w:b/>
          <w:bCs/>
          <w:color w:val="000000"/>
          <w:lang w:eastAsia="zh-CN"/>
        </w:rPr>
        <w:t>c</w:t>
      </w:r>
      <w:r w:rsidR="002A70F8">
        <w:rPr>
          <w:rFonts w:eastAsia="Times New Roman"/>
          <w:b/>
          <w:bCs/>
          <w:color w:val="000000"/>
          <w:lang w:eastAsia="zh-CN"/>
        </w:rPr>
        <w:t>arried by G</w:t>
      </w:r>
      <w:r w:rsidR="00797BB4">
        <w:rPr>
          <w:rFonts w:eastAsia="Times New Roman"/>
          <w:b/>
          <w:bCs/>
          <w:color w:val="000000"/>
          <w:lang w:eastAsia="zh-CN"/>
        </w:rPr>
        <w:t xml:space="preserve">oods </w:t>
      </w:r>
      <w:r w:rsidR="002A70F8">
        <w:rPr>
          <w:rFonts w:eastAsia="Times New Roman"/>
          <w:b/>
          <w:bCs/>
          <w:color w:val="000000"/>
          <w:lang w:eastAsia="zh-CN"/>
        </w:rPr>
        <w:t>I</w:t>
      </w:r>
      <w:r w:rsidR="00797BB4">
        <w:rPr>
          <w:rFonts w:eastAsia="Times New Roman"/>
          <w:b/>
          <w:bCs/>
          <w:color w:val="000000"/>
          <w:lang w:eastAsia="zh-CN"/>
        </w:rPr>
        <w:t>ssue</w:t>
      </w:r>
      <w:r w:rsidR="00137C49">
        <w:rPr>
          <w:rFonts w:eastAsia="Times New Roman"/>
          <w:b/>
          <w:bCs/>
          <w:color w:val="000000"/>
          <w:lang w:eastAsia="zh-CN"/>
        </w:rPr>
        <w:t>.</w:t>
      </w:r>
    </w:p>
    <w:p w:rsidR="002D473B" w:rsidRPr="002D473B" w:rsidRDefault="002D473B" w:rsidP="002D473B">
      <w:pPr>
        <w:rPr>
          <w:rFonts w:eastAsia="Times New Roman"/>
          <w:color w:val="000000"/>
          <w:lang w:eastAsia="zh-CN"/>
        </w:rPr>
      </w:pPr>
      <w:r w:rsidRPr="002D473B">
        <w:rPr>
          <w:rFonts w:eastAsia="Times New Roman"/>
          <w:color w:val="000000"/>
          <w:lang w:eastAsia="zh-CN"/>
        </w:rPr>
        <w:t> </w:t>
      </w:r>
    </w:p>
    <w:p w:rsidR="002D473B" w:rsidRPr="002D473B" w:rsidRDefault="002D473B" w:rsidP="002D473B">
      <w:pPr>
        <w:rPr>
          <w:rFonts w:eastAsia="Times New Roman"/>
          <w:color w:val="000000"/>
          <w:lang w:eastAsia="zh-CN"/>
        </w:rPr>
      </w:pPr>
      <w:r w:rsidRPr="002D473B">
        <w:rPr>
          <w:rFonts w:eastAsia="Times New Roman"/>
          <w:b/>
          <w:bCs/>
          <w:color w:val="000000"/>
          <w:lang w:eastAsia="zh-CN"/>
        </w:rPr>
        <w:t>REQ #4: Engi</w:t>
      </w:r>
      <w:r w:rsidR="00137C49">
        <w:rPr>
          <w:rFonts w:eastAsia="Times New Roman"/>
          <w:b/>
          <w:bCs/>
          <w:color w:val="000000"/>
          <w:lang w:eastAsia="zh-CN"/>
        </w:rPr>
        <w:t xml:space="preserve">ne shall recognize revenue at Proof of </w:t>
      </w:r>
      <w:r w:rsidRPr="002D473B">
        <w:rPr>
          <w:rFonts w:eastAsia="Times New Roman"/>
          <w:b/>
          <w:bCs/>
          <w:color w:val="000000"/>
          <w:lang w:eastAsia="zh-CN"/>
        </w:rPr>
        <w:t>D</w:t>
      </w:r>
      <w:r w:rsidR="00137C49">
        <w:rPr>
          <w:rFonts w:eastAsia="Times New Roman"/>
          <w:b/>
          <w:bCs/>
          <w:color w:val="000000"/>
          <w:lang w:eastAsia="zh-CN"/>
        </w:rPr>
        <w:t xml:space="preserve">elivery using </w:t>
      </w:r>
      <w:r w:rsidR="00CC3F6E">
        <w:rPr>
          <w:rFonts w:eastAsia="Times New Roman"/>
          <w:b/>
          <w:bCs/>
          <w:color w:val="000000"/>
          <w:lang w:eastAsia="zh-CN"/>
        </w:rPr>
        <w:t>the quantity on Proof of Delivery</w:t>
      </w:r>
    </w:p>
    <w:p w:rsidR="002D473B" w:rsidRDefault="002D473B" w:rsidP="002D473B">
      <w:pPr>
        <w:rPr>
          <w:rFonts w:eastAsia="Times New Roman"/>
          <w:color w:val="000000"/>
          <w:lang w:eastAsia="zh-CN"/>
        </w:rPr>
      </w:pPr>
      <w:r w:rsidRPr="002D473B">
        <w:rPr>
          <w:rFonts w:eastAsia="Times New Roman"/>
          <w:color w:val="000000"/>
          <w:lang w:eastAsia="zh-CN"/>
        </w:rPr>
        <w:t>Once sender component sends 'PD' as a fulfillment RAI, Revenue Accounting with event type 'PD' shall recognize revenue using the Quantity on fulfillment entries</w:t>
      </w:r>
    </w:p>
    <w:p w:rsidR="00093642" w:rsidRDefault="00093642" w:rsidP="00137C49">
      <w:pPr>
        <w:rPr>
          <w:rFonts w:eastAsia="Times New Roman"/>
          <w:b/>
          <w:bCs/>
          <w:color w:val="000000"/>
          <w:lang w:eastAsia="zh-CN"/>
        </w:rPr>
      </w:pPr>
    </w:p>
    <w:p w:rsidR="00137C49" w:rsidRDefault="00137C49" w:rsidP="00137C49">
      <w:pPr>
        <w:rPr>
          <w:rFonts w:eastAsia="Times New Roman"/>
          <w:b/>
          <w:bCs/>
          <w:color w:val="000000"/>
          <w:lang w:eastAsia="zh-CN"/>
        </w:rPr>
      </w:pPr>
      <w:r w:rsidRPr="002D473B">
        <w:rPr>
          <w:rFonts w:eastAsia="Times New Roman"/>
          <w:b/>
          <w:bCs/>
          <w:color w:val="000000"/>
          <w:lang w:eastAsia="zh-CN"/>
        </w:rPr>
        <w:t>REQ</w:t>
      </w:r>
      <w:r>
        <w:rPr>
          <w:rFonts w:eastAsia="Times New Roman"/>
          <w:b/>
          <w:bCs/>
          <w:color w:val="000000"/>
          <w:lang w:eastAsia="zh-CN"/>
        </w:rPr>
        <w:t xml:space="preserve"> </w:t>
      </w:r>
      <w:r w:rsidRPr="002D473B">
        <w:rPr>
          <w:rFonts w:eastAsia="Times New Roman"/>
          <w:b/>
          <w:bCs/>
          <w:color w:val="000000"/>
          <w:lang w:eastAsia="zh-CN"/>
        </w:rPr>
        <w:t>#</w:t>
      </w:r>
      <w:r>
        <w:rPr>
          <w:rFonts w:eastAsia="Times New Roman"/>
          <w:b/>
          <w:bCs/>
          <w:color w:val="000000"/>
          <w:lang w:eastAsia="zh-CN"/>
        </w:rPr>
        <w:t>5</w:t>
      </w:r>
      <w:r w:rsidRPr="002D473B">
        <w:rPr>
          <w:rFonts w:eastAsia="Times New Roman"/>
          <w:b/>
          <w:bCs/>
          <w:color w:val="000000"/>
          <w:lang w:eastAsia="zh-CN"/>
        </w:rPr>
        <w:t xml:space="preserve">: </w:t>
      </w:r>
      <w:r>
        <w:rPr>
          <w:rFonts w:eastAsia="Times New Roman"/>
          <w:b/>
          <w:bCs/>
          <w:color w:val="000000"/>
          <w:lang w:eastAsia="zh-CN"/>
        </w:rPr>
        <w:t>Engine shall be able to adjust the fulfilled quantity</w:t>
      </w:r>
      <w:r w:rsidR="006C0D10">
        <w:rPr>
          <w:rFonts w:eastAsia="Times New Roman"/>
          <w:b/>
          <w:bCs/>
          <w:color w:val="000000"/>
          <w:lang w:eastAsia="zh-CN"/>
        </w:rPr>
        <w:t xml:space="preserve"> and recognized revenue</w:t>
      </w:r>
      <w:r>
        <w:rPr>
          <w:rFonts w:eastAsia="Times New Roman"/>
          <w:b/>
          <w:bCs/>
          <w:color w:val="000000"/>
          <w:lang w:eastAsia="zh-CN"/>
        </w:rPr>
        <w:t xml:space="preserve"> if the quantity of confirmed Proof-of-Delivery is changed.</w:t>
      </w:r>
    </w:p>
    <w:p w:rsidR="00880CBC" w:rsidRPr="002D473B" w:rsidRDefault="00880CBC" w:rsidP="00137C49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 xml:space="preserve">If </w:t>
      </w:r>
      <w:r w:rsidR="002A70F8">
        <w:rPr>
          <w:rFonts w:eastAsia="Times New Roman"/>
          <w:color w:val="000000"/>
          <w:lang w:eastAsia="zh-CN"/>
        </w:rPr>
        <w:t>s</w:t>
      </w:r>
      <w:r>
        <w:rPr>
          <w:rFonts w:eastAsia="Times New Roman"/>
          <w:color w:val="000000"/>
          <w:lang w:eastAsia="zh-CN"/>
        </w:rPr>
        <w:t xml:space="preserve">ender </w:t>
      </w:r>
      <w:r w:rsidR="002A70F8">
        <w:rPr>
          <w:rFonts w:eastAsia="Times New Roman"/>
          <w:color w:val="000000"/>
          <w:lang w:eastAsia="zh-CN"/>
        </w:rPr>
        <w:t>c</w:t>
      </w:r>
      <w:r>
        <w:rPr>
          <w:rFonts w:eastAsia="Times New Roman"/>
          <w:color w:val="000000"/>
          <w:lang w:eastAsia="zh-CN"/>
        </w:rPr>
        <w:t>omponent has changed the quantity of a confirmed Proof-of-Delivery, RAR shall adjust the recognized revenue base on the changed quantity.</w:t>
      </w:r>
    </w:p>
    <w:p w:rsidR="00183537" w:rsidRDefault="00183537" w:rsidP="002D473B">
      <w:pPr>
        <w:rPr>
          <w:rFonts w:eastAsia="Times New Roman"/>
          <w:b/>
          <w:color w:val="000000"/>
          <w:lang w:eastAsia="zh-CN"/>
        </w:rPr>
      </w:pPr>
    </w:p>
    <w:p w:rsidR="006D2D95" w:rsidRDefault="006D2D95" w:rsidP="002D473B">
      <w:pPr>
        <w:rPr>
          <w:rFonts w:eastAsia="Times New Roman"/>
          <w:b/>
          <w:color w:val="000000"/>
          <w:lang w:eastAsia="zh-CN"/>
        </w:rPr>
      </w:pPr>
      <w:r w:rsidRPr="00FC3B86">
        <w:rPr>
          <w:rFonts w:eastAsia="Times New Roman"/>
          <w:b/>
          <w:color w:val="000000"/>
          <w:lang w:eastAsia="zh-CN"/>
        </w:rPr>
        <w:t xml:space="preserve">Boundary condition: </w:t>
      </w:r>
    </w:p>
    <w:p w:rsidR="00183537" w:rsidRPr="00183537" w:rsidRDefault="00183537" w:rsidP="00CB3231">
      <w:pPr>
        <w:pStyle w:val="ListParagraph"/>
        <w:numPr>
          <w:ilvl w:val="0"/>
          <w:numId w:val="12"/>
        </w:numPr>
        <w:rPr>
          <w:rFonts w:eastAsia="Times New Roman"/>
          <w:b/>
          <w:color w:val="000000"/>
          <w:lang w:eastAsia="zh-CN"/>
        </w:rPr>
      </w:pPr>
      <w:r w:rsidRPr="00183537">
        <w:rPr>
          <w:rFonts w:eastAsia="Times New Roman"/>
          <w:color w:val="000000"/>
          <w:lang w:eastAsia="zh-CN"/>
        </w:rPr>
        <w:t>When the quantity of confirmed Proof of Delivery is changed, sender component (SD) always sends the latest total value instead of with a new fulfillment RAI with delta quantity.</w:t>
      </w:r>
    </w:p>
    <w:p w:rsidR="00FC3B86" w:rsidRPr="00183537" w:rsidRDefault="00FC3B86" w:rsidP="00183537">
      <w:pPr>
        <w:pStyle w:val="ListParagraph"/>
        <w:numPr>
          <w:ilvl w:val="0"/>
          <w:numId w:val="12"/>
        </w:numPr>
        <w:rPr>
          <w:rFonts w:eastAsia="Times New Roman"/>
          <w:color w:val="000000"/>
          <w:lang w:eastAsia="zh-CN"/>
        </w:rPr>
      </w:pPr>
      <w:r w:rsidRPr="00183537">
        <w:rPr>
          <w:rFonts w:eastAsia="Times New Roman"/>
          <w:color w:val="000000"/>
          <w:lang w:eastAsia="zh-CN"/>
        </w:rPr>
        <w:t>SD can only update the existing sourc</w:t>
      </w:r>
      <w:r w:rsidR="00997DD5" w:rsidRPr="00183537">
        <w:rPr>
          <w:rFonts w:eastAsia="Times New Roman"/>
          <w:color w:val="000000"/>
          <w:lang w:eastAsia="zh-CN"/>
        </w:rPr>
        <w:t>e doc id</w:t>
      </w:r>
      <w:r w:rsidR="00183537">
        <w:rPr>
          <w:rFonts w:eastAsia="Times New Roman"/>
          <w:color w:val="000000"/>
          <w:lang w:eastAsia="zh-CN"/>
        </w:rPr>
        <w:t xml:space="preserve"> </w:t>
      </w:r>
      <w:r w:rsidR="00997DD5" w:rsidRPr="00183537">
        <w:rPr>
          <w:rFonts w:eastAsia="Times New Roman"/>
          <w:color w:val="000000"/>
          <w:lang w:eastAsia="zh-CN"/>
        </w:rPr>
        <w:t>(</w:t>
      </w:r>
      <w:r w:rsidR="00183537">
        <w:rPr>
          <w:rFonts w:eastAsia="Times New Roman"/>
          <w:color w:val="000000"/>
          <w:lang w:eastAsia="zh-CN"/>
        </w:rPr>
        <w:t xml:space="preserve">Outbound delivery of the </w:t>
      </w:r>
      <w:proofErr w:type="spellStart"/>
      <w:r w:rsidR="00183537">
        <w:rPr>
          <w:rFonts w:eastAsia="Times New Roman"/>
          <w:color w:val="000000"/>
          <w:lang w:eastAsia="zh-CN"/>
        </w:rPr>
        <w:t>PoD</w:t>
      </w:r>
      <w:proofErr w:type="spellEnd"/>
      <w:r w:rsidR="00997DD5" w:rsidRPr="00183537">
        <w:rPr>
          <w:rFonts w:eastAsia="Times New Roman"/>
          <w:color w:val="000000"/>
          <w:lang w:eastAsia="zh-CN"/>
        </w:rPr>
        <w:t>)</w:t>
      </w:r>
    </w:p>
    <w:p w:rsidR="00F13C9B" w:rsidRDefault="00F13C9B" w:rsidP="00F13C9B">
      <w:pPr>
        <w:pStyle w:val="ListParagraph"/>
        <w:numPr>
          <w:ilvl w:val="0"/>
          <w:numId w:val="12"/>
        </w:numPr>
        <w:rPr>
          <w:rFonts w:eastAsia="Times New Roman"/>
          <w:color w:val="000000"/>
          <w:lang w:eastAsia="zh-CN"/>
        </w:rPr>
      </w:pPr>
      <w:r w:rsidRPr="00183537">
        <w:rPr>
          <w:rFonts w:eastAsia="Times New Roman"/>
          <w:color w:val="000000"/>
          <w:lang w:eastAsia="zh-CN"/>
        </w:rPr>
        <w:t xml:space="preserve">A new RAI </w:t>
      </w:r>
      <w:r>
        <w:rPr>
          <w:rFonts w:eastAsia="Times New Roman"/>
          <w:color w:val="000000"/>
          <w:lang w:eastAsia="zh-CN"/>
        </w:rPr>
        <w:t xml:space="preserve">shall be </w:t>
      </w:r>
      <w:r w:rsidRPr="00183537">
        <w:rPr>
          <w:rFonts w:eastAsia="Times New Roman"/>
          <w:color w:val="000000"/>
          <w:lang w:eastAsia="zh-CN"/>
        </w:rPr>
        <w:t>created with the same source doc id.</w:t>
      </w:r>
    </w:p>
    <w:p w:rsidR="00F13C9B" w:rsidRPr="00183537" w:rsidRDefault="00F13C9B" w:rsidP="00F13C9B">
      <w:pPr>
        <w:pStyle w:val="ListParagraph"/>
        <w:numPr>
          <w:ilvl w:val="0"/>
          <w:numId w:val="12"/>
        </w:numPr>
        <w:rPr>
          <w:rFonts w:eastAsia="Times New Roman"/>
          <w:color w:val="000000"/>
          <w:lang w:eastAsia="zh-CN"/>
        </w:rPr>
      </w:pPr>
      <w:r w:rsidRPr="00183537">
        <w:rPr>
          <w:rFonts w:eastAsia="Times New Roman"/>
          <w:color w:val="000000"/>
          <w:lang w:eastAsia="zh-CN"/>
        </w:rPr>
        <w:t>RAIs must be processed in time in the period.</w:t>
      </w:r>
    </w:p>
    <w:p w:rsidR="006D2D95" w:rsidRPr="00183537" w:rsidRDefault="006D2D95" w:rsidP="00183537">
      <w:pPr>
        <w:pStyle w:val="ListParagraph"/>
        <w:numPr>
          <w:ilvl w:val="0"/>
          <w:numId w:val="12"/>
        </w:numPr>
        <w:rPr>
          <w:rFonts w:eastAsia="Times New Roman"/>
          <w:color w:val="000000"/>
          <w:lang w:eastAsia="zh-CN"/>
        </w:rPr>
      </w:pPr>
      <w:r w:rsidRPr="00183537">
        <w:rPr>
          <w:rFonts w:eastAsia="Times New Roman"/>
          <w:color w:val="000000"/>
          <w:lang w:eastAsia="zh-CN"/>
        </w:rPr>
        <w:t xml:space="preserve">There </w:t>
      </w:r>
      <w:r w:rsidR="00F13C9B">
        <w:rPr>
          <w:rFonts w:eastAsia="Times New Roman"/>
          <w:color w:val="000000"/>
          <w:lang w:eastAsia="zh-CN"/>
        </w:rPr>
        <w:t xml:space="preserve">shall </w:t>
      </w:r>
      <w:r w:rsidRPr="00183537">
        <w:rPr>
          <w:rFonts w:eastAsia="Times New Roman"/>
          <w:color w:val="000000"/>
          <w:lang w:eastAsia="zh-CN"/>
        </w:rPr>
        <w:t>be a new fulfillment entry in FARR_D_FULFILLMENT as the change may happen at different period.</w:t>
      </w:r>
    </w:p>
    <w:p w:rsidR="00FC3B86" w:rsidRPr="00183537" w:rsidRDefault="00FC3B86" w:rsidP="00183537">
      <w:pPr>
        <w:pStyle w:val="ListParagraph"/>
        <w:numPr>
          <w:ilvl w:val="0"/>
          <w:numId w:val="12"/>
        </w:numPr>
        <w:rPr>
          <w:rFonts w:eastAsia="Times New Roman"/>
          <w:color w:val="000000"/>
          <w:lang w:eastAsia="zh-CN"/>
        </w:rPr>
      </w:pPr>
      <w:r w:rsidRPr="00183537">
        <w:rPr>
          <w:rFonts w:eastAsia="Times New Roman"/>
          <w:color w:val="000000"/>
          <w:lang w:eastAsia="zh-CN"/>
        </w:rPr>
        <w:t xml:space="preserve">This new fulfillment entry </w:t>
      </w:r>
      <w:r w:rsidR="00997DD5" w:rsidRPr="00183537">
        <w:rPr>
          <w:rFonts w:eastAsia="Times New Roman"/>
          <w:color w:val="000000"/>
          <w:lang w:eastAsia="zh-CN"/>
        </w:rPr>
        <w:t xml:space="preserve">in FARR_D_FULFILLMENT </w:t>
      </w:r>
      <w:r w:rsidR="00F13C9B">
        <w:rPr>
          <w:rFonts w:eastAsia="Times New Roman"/>
          <w:color w:val="000000"/>
          <w:lang w:eastAsia="zh-CN"/>
        </w:rPr>
        <w:t xml:space="preserve">shall </w:t>
      </w:r>
      <w:r w:rsidRPr="00183537">
        <w:rPr>
          <w:rFonts w:eastAsia="Times New Roman"/>
          <w:color w:val="000000"/>
          <w:lang w:eastAsia="zh-CN"/>
        </w:rPr>
        <w:t>contain the delta information.</w:t>
      </w:r>
    </w:p>
    <w:p w:rsidR="00F13C9B" w:rsidRDefault="00F13C9B" w:rsidP="002D473B">
      <w:pPr>
        <w:rPr>
          <w:rFonts w:eastAsia="Times New Roman"/>
          <w:b/>
          <w:color w:val="000000"/>
          <w:lang w:eastAsia="zh-CN"/>
        </w:rPr>
      </w:pPr>
    </w:p>
    <w:p w:rsidR="006D2D95" w:rsidRPr="00F13C9B" w:rsidRDefault="00F13C9B" w:rsidP="002D473B">
      <w:pPr>
        <w:rPr>
          <w:rFonts w:eastAsia="Times New Roman"/>
          <w:b/>
          <w:color w:val="000000"/>
          <w:lang w:eastAsia="zh-CN"/>
        </w:rPr>
      </w:pPr>
      <w:r w:rsidRPr="00F13C9B">
        <w:rPr>
          <w:rFonts w:eastAsia="Times New Roman"/>
          <w:b/>
          <w:color w:val="000000"/>
          <w:lang w:eastAsia="zh-CN"/>
        </w:rPr>
        <w:t>Delta handling of the fulfillment</w:t>
      </w:r>
    </w:p>
    <w:p w:rsidR="00F13C9B" w:rsidRDefault="00F13C9B" w:rsidP="002D473B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 xml:space="preserve">When the new RAI is created, and it leads to a creation of the new fulfillment RAIs, there are 2 options on delta handling of the changed </w:t>
      </w:r>
      <w:proofErr w:type="spellStart"/>
      <w:r>
        <w:rPr>
          <w:rFonts w:eastAsia="Times New Roman"/>
          <w:color w:val="000000"/>
          <w:lang w:eastAsia="zh-CN"/>
        </w:rPr>
        <w:t>PoD</w:t>
      </w:r>
      <w:proofErr w:type="spellEnd"/>
    </w:p>
    <w:p w:rsidR="00880CBC" w:rsidRDefault="00880CBC" w:rsidP="002D473B">
      <w:pPr>
        <w:rPr>
          <w:rFonts w:eastAsia="Times New Roman"/>
          <w:color w:val="000000"/>
          <w:lang w:eastAsia="zh-CN"/>
        </w:rPr>
      </w:pPr>
      <w:r w:rsidRPr="00797BB4">
        <w:rPr>
          <w:rFonts w:eastAsia="Times New Roman"/>
          <w:b/>
          <w:color w:val="000000"/>
          <w:lang w:eastAsia="zh-CN"/>
        </w:rPr>
        <w:t>Option 1</w:t>
      </w:r>
      <w:r>
        <w:rPr>
          <w:rFonts w:eastAsia="Times New Roman"/>
          <w:color w:val="000000"/>
          <w:lang w:eastAsia="zh-CN"/>
        </w:rPr>
        <w:t>: ARL create a new fulfillment RAI with delta quantity</w:t>
      </w:r>
      <w:r w:rsidR="00797BB4">
        <w:rPr>
          <w:rFonts w:eastAsia="Times New Roman"/>
          <w:color w:val="000000"/>
          <w:lang w:eastAsia="zh-CN"/>
        </w:rPr>
        <w:t xml:space="preserve"> and Engine will also create a new entry in FARR_D_FULFILLMENT. </w:t>
      </w:r>
    </w:p>
    <w:p w:rsidR="00F13C9B" w:rsidRDefault="00F13C9B" w:rsidP="00880CBC">
      <w:pPr>
        <w:rPr>
          <w:rFonts w:eastAsia="Times New Roman"/>
          <w:b/>
          <w:color w:val="000000"/>
          <w:lang w:eastAsia="zh-CN"/>
        </w:rPr>
      </w:pPr>
    </w:p>
    <w:p w:rsidR="00880CBC" w:rsidRDefault="00880CBC" w:rsidP="00880CBC">
      <w:pPr>
        <w:rPr>
          <w:rFonts w:eastAsia="Times New Roman"/>
          <w:color w:val="000000"/>
          <w:lang w:eastAsia="zh-CN"/>
        </w:rPr>
      </w:pPr>
      <w:r w:rsidRPr="002A70F8">
        <w:rPr>
          <w:rFonts w:eastAsia="Times New Roman"/>
          <w:b/>
          <w:color w:val="000000"/>
          <w:lang w:eastAsia="zh-CN"/>
        </w:rPr>
        <w:t xml:space="preserve">Option </w:t>
      </w:r>
      <w:r w:rsidR="00F13C9B">
        <w:rPr>
          <w:rFonts w:eastAsia="Times New Roman"/>
          <w:b/>
          <w:color w:val="000000"/>
          <w:lang w:eastAsia="zh-CN"/>
        </w:rPr>
        <w:t>2</w:t>
      </w:r>
      <w:r>
        <w:rPr>
          <w:rFonts w:eastAsia="Times New Roman"/>
          <w:color w:val="000000"/>
          <w:lang w:eastAsia="zh-CN"/>
        </w:rPr>
        <w:t xml:space="preserve">: ARL </w:t>
      </w:r>
      <w:r w:rsidR="00EB0A55">
        <w:rPr>
          <w:rFonts w:eastAsia="Times New Roman"/>
          <w:color w:val="000000"/>
          <w:lang w:eastAsia="zh-CN"/>
        </w:rPr>
        <w:t>update existing</w:t>
      </w:r>
      <w:r>
        <w:rPr>
          <w:rFonts w:eastAsia="Times New Roman"/>
          <w:color w:val="000000"/>
          <w:lang w:eastAsia="zh-CN"/>
        </w:rPr>
        <w:t xml:space="preserve"> fulfillment RAI</w:t>
      </w:r>
      <w:r w:rsidR="004C6D2D">
        <w:rPr>
          <w:rFonts w:eastAsia="Times New Roman"/>
          <w:color w:val="000000"/>
          <w:lang w:eastAsia="zh-CN"/>
        </w:rPr>
        <w:t xml:space="preserve"> with total quantity</w:t>
      </w:r>
      <w:r>
        <w:rPr>
          <w:rFonts w:eastAsia="Times New Roman"/>
          <w:color w:val="000000"/>
          <w:lang w:eastAsia="zh-CN"/>
        </w:rPr>
        <w:t xml:space="preserve"> and Engine </w:t>
      </w:r>
      <w:r w:rsidR="004C6D2D">
        <w:rPr>
          <w:rFonts w:eastAsia="Times New Roman"/>
          <w:color w:val="000000"/>
          <w:lang w:eastAsia="zh-CN"/>
        </w:rPr>
        <w:t>do the delta handling.</w:t>
      </w:r>
    </w:p>
    <w:p w:rsidR="00797BB4" w:rsidRDefault="000B293A" w:rsidP="00880CBC">
      <w:pPr>
        <w:rPr>
          <w:rFonts w:eastAsia="Times New Roman"/>
          <w:color w:val="000000"/>
          <w:lang w:eastAsia="zh-CN"/>
        </w:rPr>
      </w:pPr>
      <w:r w:rsidRPr="00F13C9B">
        <w:rPr>
          <w:rFonts w:eastAsia="Times New Roman"/>
          <w:b/>
          <w:color w:val="000000"/>
          <w:lang w:eastAsia="zh-CN"/>
        </w:rPr>
        <w:t>Option 2 is preferred</w:t>
      </w:r>
      <w:r>
        <w:rPr>
          <w:rFonts w:eastAsia="Times New Roman"/>
          <w:color w:val="000000"/>
          <w:lang w:eastAsia="zh-CN"/>
        </w:rPr>
        <w:t xml:space="preserve"> because with</w:t>
      </w:r>
      <w:r w:rsidR="00EB0A55">
        <w:rPr>
          <w:rFonts w:eastAsia="Times New Roman"/>
          <w:color w:val="000000"/>
          <w:lang w:eastAsia="zh-CN"/>
        </w:rPr>
        <w:t xml:space="preserve"> this total quantity of the </w:t>
      </w:r>
      <w:r>
        <w:rPr>
          <w:rFonts w:eastAsia="Times New Roman"/>
          <w:color w:val="000000"/>
          <w:lang w:eastAsia="zh-CN"/>
        </w:rPr>
        <w:t xml:space="preserve">RAIs, </w:t>
      </w:r>
      <w:r w:rsidR="008C25E4">
        <w:rPr>
          <w:rFonts w:eastAsia="Times New Roman"/>
          <w:color w:val="000000"/>
          <w:lang w:eastAsia="zh-CN"/>
        </w:rPr>
        <w:t xml:space="preserve">it is possible to </w:t>
      </w:r>
      <w:r w:rsidR="00EB0A55">
        <w:rPr>
          <w:rFonts w:eastAsia="Times New Roman"/>
          <w:color w:val="000000"/>
          <w:lang w:eastAsia="zh-CN"/>
        </w:rPr>
        <w:t xml:space="preserve">always </w:t>
      </w:r>
      <w:r w:rsidR="008C25E4">
        <w:rPr>
          <w:rFonts w:eastAsia="Times New Roman"/>
          <w:color w:val="000000"/>
          <w:lang w:eastAsia="zh-CN"/>
        </w:rPr>
        <w:t>get the latest quantity and adjust to the latest total quantity.</w:t>
      </w:r>
    </w:p>
    <w:p w:rsidR="00F13C9B" w:rsidRDefault="00F13C9B" w:rsidP="00880CBC">
      <w:pPr>
        <w:rPr>
          <w:rFonts w:eastAsia="Times New Roman"/>
          <w:color w:val="000000"/>
          <w:lang w:eastAsia="zh-CN"/>
        </w:rPr>
      </w:pPr>
      <w:r w:rsidRPr="00F13C9B">
        <w:rPr>
          <w:rFonts w:eastAsia="Times New Roman"/>
          <w:b/>
          <w:color w:val="000000"/>
          <w:lang w:eastAsia="zh-CN"/>
        </w:rPr>
        <w:t>Requirement related to option 2:</w:t>
      </w:r>
    </w:p>
    <w:p w:rsidR="008C25E4" w:rsidRDefault="008C25E4" w:rsidP="00F13C9B">
      <w:pPr>
        <w:pStyle w:val="ListParagraph"/>
        <w:numPr>
          <w:ilvl w:val="0"/>
          <w:numId w:val="13"/>
        </w:numPr>
        <w:rPr>
          <w:rFonts w:eastAsia="Times New Roman"/>
          <w:b/>
          <w:color w:val="000000"/>
          <w:lang w:eastAsia="zh-CN"/>
        </w:rPr>
      </w:pPr>
      <w:r w:rsidRPr="00F13C9B">
        <w:rPr>
          <w:rFonts w:eastAsia="Times New Roman"/>
          <w:b/>
          <w:color w:val="000000"/>
          <w:lang w:eastAsia="zh-CN"/>
        </w:rPr>
        <w:t xml:space="preserve">Existing fulfillment RAI4 </w:t>
      </w:r>
      <w:r w:rsidR="00F13C9B">
        <w:rPr>
          <w:rFonts w:eastAsia="Times New Roman"/>
          <w:b/>
          <w:color w:val="000000"/>
          <w:lang w:eastAsia="zh-CN"/>
        </w:rPr>
        <w:t>will be overwritten and changed based on the source doc id</w:t>
      </w:r>
    </w:p>
    <w:p w:rsidR="00F13C9B" w:rsidRPr="00F13C9B" w:rsidRDefault="00F13C9B" w:rsidP="00F13C9B">
      <w:pPr>
        <w:pStyle w:val="ListParagraph"/>
        <w:numPr>
          <w:ilvl w:val="0"/>
          <w:numId w:val="13"/>
        </w:numPr>
        <w:rPr>
          <w:rFonts w:eastAsia="Times New Roman"/>
          <w:b/>
          <w:color w:val="000000"/>
          <w:lang w:eastAsia="zh-CN"/>
        </w:rPr>
      </w:pPr>
      <w:r>
        <w:rPr>
          <w:rFonts w:eastAsia="Times New Roman"/>
          <w:b/>
          <w:color w:val="000000"/>
          <w:lang w:eastAsia="zh-CN"/>
        </w:rPr>
        <w:t xml:space="preserve">Revenue accounting engine shall calculate the delta and generate new entries in FARR_D_FULFILLMENT. </w:t>
      </w:r>
    </w:p>
    <w:p w:rsidR="00F13C9B" w:rsidRDefault="00F13C9B" w:rsidP="00880CBC">
      <w:pPr>
        <w:rPr>
          <w:rFonts w:eastAsia="Times New Roman"/>
          <w:color w:val="000000"/>
          <w:lang w:eastAsia="zh-CN"/>
        </w:rPr>
      </w:pPr>
    </w:p>
    <w:p w:rsidR="008C25E4" w:rsidRDefault="00F13C9B" w:rsidP="00880CBC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>With this option, t</w:t>
      </w:r>
      <w:r w:rsidR="00814E5A">
        <w:rPr>
          <w:rFonts w:eastAsia="Times New Roman"/>
          <w:color w:val="000000"/>
          <w:lang w:eastAsia="zh-CN"/>
        </w:rPr>
        <w:t xml:space="preserve">he granularity of </w:t>
      </w:r>
      <w:r>
        <w:rPr>
          <w:rFonts w:eastAsia="Times New Roman"/>
          <w:color w:val="000000"/>
          <w:lang w:eastAsia="zh-CN"/>
        </w:rPr>
        <w:t>Fulfillment Source doc ID: F</w:t>
      </w:r>
      <w:r w:rsidR="008C25E4">
        <w:rPr>
          <w:rFonts w:eastAsia="Times New Roman"/>
          <w:color w:val="000000"/>
          <w:lang w:eastAsia="zh-CN"/>
        </w:rPr>
        <w:t xml:space="preserve">ulfillment RAI4: </w:t>
      </w:r>
      <w:r>
        <w:rPr>
          <w:rFonts w:eastAsia="Times New Roman"/>
          <w:color w:val="000000"/>
          <w:lang w:eastAsia="zh-CN"/>
        </w:rPr>
        <w:t>F</w:t>
      </w:r>
      <w:r w:rsidR="008C25E4">
        <w:rPr>
          <w:rFonts w:eastAsia="Times New Roman"/>
          <w:color w:val="000000"/>
          <w:lang w:eastAsia="zh-CN"/>
        </w:rPr>
        <w:t xml:space="preserve">ulfillment </w:t>
      </w:r>
      <w:r>
        <w:rPr>
          <w:rFonts w:eastAsia="Times New Roman"/>
          <w:color w:val="000000"/>
          <w:lang w:eastAsia="zh-CN"/>
        </w:rPr>
        <w:t>entries =</w:t>
      </w:r>
      <w:r w:rsidR="008C25E4">
        <w:rPr>
          <w:rFonts w:eastAsia="Times New Roman"/>
          <w:color w:val="000000"/>
          <w:lang w:eastAsia="zh-CN"/>
        </w:rPr>
        <w:t xml:space="preserve"> 1:</w:t>
      </w:r>
      <w:r>
        <w:rPr>
          <w:rFonts w:eastAsia="Times New Roman"/>
          <w:color w:val="000000"/>
          <w:lang w:eastAsia="zh-CN"/>
        </w:rPr>
        <w:t>1: N.</w:t>
      </w:r>
    </w:p>
    <w:p w:rsidR="00EB0A55" w:rsidRDefault="00EB0A55" w:rsidP="00880CBC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>Detail to be discussed to avoid reading mapping ta</w:t>
      </w:r>
      <w:r w:rsidR="004208B6">
        <w:rPr>
          <w:rFonts w:eastAsia="Times New Roman"/>
          <w:color w:val="000000"/>
          <w:lang w:eastAsia="zh-CN"/>
        </w:rPr>
        <w:t xml:space="preserve">ble </w:t>
      </w:r>
      <w:r w:rsidR="006916D4">
        <w:rPr>
          <w:rFonts w:eastAsia="Times New Roman"/>
          <w:color w:val="000000"/>
          <w:lang w:eastAsia="zh-CN"/>
        </w:rPr>
        <w:t>unnecessarily</w:t>
      </w:r>
      <w:r w:rsidR="009B3204">
        <w:rPr>
          <w:rFonts w:eastAsia="Times New Roman"/>
          <w:color w:val="000000"/>
          <w:lang w:eastAsia="zh-CN"/>
        </w:rPr>
        <w:t>. For example: hard code to some logic of PD and pass a flag via parameter.</w:t>
      </w:r>
    </w:p>
    <w:p w:rsidR="009B3204" w:rsidRDefault="009B3204" w:rsidP="00880CBC">
      <w:pPr>
        <w:rPr>
          <w:rFonts w:eastAsia="Times New Roman"/>
          <w:color w:val="000000"/>
          <w:lang w:eastAsia="zh-CN"/>
        </w:rPr>
      </w:pPr>
    </w:p>
    <w:p w:rsidR="006916D4" w:rsidRDefault="006916D4" w:rsidP="00880CBC">
      <w:pPr>
        <w:rPr>
          <w:rFonts w:eastAsia="Times New Roman"/>
          <w:color w:val="000000"/>
          <w:lang w:eastAsia="zh-CN"/>
        </w:rPr>
      </w:pPr>
    </w:p>
    <w:p w:rsidR="002D473B" w:rsidRDefault="002A70F8" w:rsidP="002D473B">
      <w:pPr>
        <w:rPr>
          <w:rFonts w:eastAsia="Times New Roman"/>
          <w:b/>
          <w:bCs/>
          <w:color w:val="000000"/>
          <w:lang w:eastAsia="zh-CN"/>
        </w:rPr>
      </w:pPr>
      <w:r>
        <w:rPr>
          <w:rFonts w:eastAsia="Times New Roman"/>
          <w:b/>
          <w:bCs/>
          <w:color w:val="000000"/>
          <w:lang w:eastAsia="zh-CN"/>
        </w:rPr>
        <w:t>REQ #6</w:t>
      </w:r>
      <w:r w:rsidR="002D473B" w:rsidRPr="002D473B">
        <w:rPr>
          <w:rFonts w:eastAsia="Times New Roman"/>
          <w:b/>
          <w:bCs/>
          <w:color w:val="000000"/>
          <w:lang w:eastAsia="zh-CN"/>
        </w:rPr>
        <w:t>: RAR sha</w:t>
      </w:r>
      <w:r>
        <w:rPr>
          <w:rFonts w:eastAsia="Times New Roman"/>
          <w:b/>
          <w:bCs/>
          <w:color w:val="000000"/>
          <w:lang w:eastAsia="zh-CN"/>
        </w:rPr>
        <w:t>ll recognize cost at P</w:t>
      </w:r>
      <w:r w:rsidR="006C0D10">
        <w:rPr>
          <w:rFonts w:eastAsia="Times New Roman"/>
          <w:b/>
          <w:bCs/>
          <w:color w:val="000000"/>
          <w:lang w:eastAsia="zh-CN"/>
        </w:rPr>
        <w:t xml:space="preserve">roof of </w:t>
      </w:r>
      <w:r>
        <w:rPr>
          <w:rFonts w:eastAsia="Times New Roman"/>
          <w:b/>
          <w:bCs/>
          <w:color w:val="000000"/>
          <w:lang w:eastAsia="zh-CN"/>
        </w:rPr>
        <w:t>D</w:t>
      </w:r>
      <w:r w:rsidR="006C0D10">
        <w:rPr>
          <w:rFonts w:eastAsia="Times New Roman"/>
          <w:b/>
          <w:bCs/>
          <w:color w:val="000000"/>
          <w:lang w:eastAsia="zh-CN"/>
        </w:rPr>
        <w:t>elivery</w:t>
      </w:r>
      <w:r>
        <w:rPr>
          <w:rFonts w:eastAsia="Times New Roman"/>
          <w:b/>
          <w:bCs/>
          <w:color w:val="000000"/>
          <w:lang w:eastAsia="zh-CN"/>
        </w:rPr>
        <w:t xml:space="preserve"> based </w:t>
      </w:r>
      <w:r w:rsidR="006C0D10">
        <w:rPr>
          <w:rFonts w:eastAsia="Times New Roman"/>
          <w:b/>
          <w:bCs/>
          <w:color w:val="000000"/>
          <w:lang w:eastAsia="zh-CN"/>
        </w:rPr>
        <w:t xml:space="preserve">on the cost </w:t>
      </w:r>
      <w:r w:rsidR="00CC3F6E">
        <w:rPr>
          <w:rFonts w:eastAsia="Times New Roman"/>
          <w:b/>
          <w:bCs/>
          <w:color w:val="000000"/>
          <w:lang w:eastAsia="zh-CN"/>
        </w:rPr>
        <w:t>correction</w:t>
      </w:r>
      <w:r w:rsidR="006C0D10">
        <w:rPr>
          <w:rFonts w:eastAsia="Times New Roman"/>
          <w:b/>
          <w:bCs/>
          <w:color w:val="000000"/>
          <w:lang w:eastAsia="zh-CN"/>
        </w:rPr>
        <w:t xml:space="preserve"> of the Goods Issue related to Proof of Delivery.</w:t>
      </w:r>
    </w:p>
    <w:p w:rsidR="006C0D10" w:rsidRDefault="006C0D10" w:rsidP="002D473B">
      <w:pPr>
        <w:rPr>
          <w:rFonts w:eastAsia="Times New Roman"/>
          <w:bCs/>
          <w:color w:val="000000"/>
          <w:lang w:eastAsia="zh-CN"/>
        </w:rPr>
      </w:pPr>
    </w:p>
    <w:p w:rsidR="0034036F" w:rsidRDefault="0034036F" w:rsidP="002D473B">
      <w:pPr>
        <w:rPr>
          <w:rFonts w:eastAsia="Times New Roman"/>
          <w:bCs/>
          <w:color w:val="000000"/>
          <w:lang w:eastAsia="zh-CN"/>
        </w:rPr>
      </w:pPr>
    </w:p>
    <w:p w:rsidR="00AB210A" w:rsidRDefault="0034036F" w:rsidP="002D473B">
      <w:pPr>
        <w:rPr>
          <w:rFonts w:eastAsia="Times New Roman"/>
          <w:bCs/>
          <w:color w:val="000000"/>
          <w:lang w:eastAsia="zh-CN"/>
        </w:rPr>
      </w:pPr>
      <w:r>
        <w:rPr>
          <w:rFonts w:eastAsia="Times New Roman"/>
          <w:bCs/>
          <w:color w:val="000000"/>
          <w:lang w:eastAsia="zh-CN"/>
        </w:rPr>
        <w:t xml:space="preserve">RAR recognize cost </w:t>
      </w:r>
      <w:r w:rsidR="00AB210A">
        <w:rPr>
          <w:rFonts w:eastAsia="Times New Roman"/>
          <w:bCs/>
          <w:color w:val="000000"/>
          <w:lang w:eastAsia="zh-CN"/>
        </w:rPr>
        <w:t>with the formula:</w:t>
      </w:r>
    </w:p>
    <w:p w:rsidR="00067AEB" w:rsidRPr="00AB210A" w:rsidRDefault="00AB210A" w:rsidP="002D473B">
      <w:pPr>
        <w:rPr>
          <w:rFonts w:eastAsia="Times New Roman"/>
          <w:bCs/>
          <w:i/>
          <w:color w:val="000000"/>
          <w:lang w:eastAsia="zh-CN"/>
        </w:rPr>
      </w:pPr>
      <w:r w:rsidRPr="00AB210A">
        <w:rPr>
          <w:rFonts w:eastAsia="Times New Roman"/>
          <w:bCs/>
          <w:i/>
          <w:color w:val="000000"/>
          <w:lang w:eastAsia="zh-CN"/>
        </w:rPr>
        <w:t>Total Recognized Cost = T</w:t>
      </w:r>
      <w:r w:rsidR="0034036F" w:rsidRPr="00AB210A">
        <w:rPr>
          <w:rFonts w:eastAsia="Times New Roman"/>
          <w:bCs/>
          <w:i/>
          <w:color w:val="000000"/>
          <w:lang w:eastAsia="zh-CN"/>
        </w:rPr>
        <w:t xml:space="preserve">otal amount of </w:t>
      </w:r>
      <w:r>
        <w:rPr>
          <w:rFonts w:eastAsia="Times New Roman"/>
          <w:bCs/>
          <w:i/>
          <w:color w:val="000000"/>
          <w:lang w:eastAsia="zh-CN"/>
        </w:rPr>
        <w:t>P</w:t>
      </w:r>
      <w:r w:rsidR="00990D42" w:rsidRPr="00AB210A">
        <w:rPr>
          <w:rFonts w:eastAsia="Times New Roman"/>
          <w:bCs/>
          <w:i/>
          <w:color w:val="000000"/>
          <w:lang w:eastAsia="zh-CN"/>
        </w:rPr>
        <w:t xml:space="preserve">lanned </w:t>
      </w:r>
      <w:proofErr w:type="gramStart"/>
      <w:r>
        <w:rPr>
          <w:rFonts w:eastAsia="Times New Roman"/>
          <w:bCs/>
          <w:i/>
          <w:color w:val="000000"/>
          <w:lang w:eastAsia="zh-CN"/>
        </w:rPr>
        <w:t>C</w:t>
      </w:r>
      <w:r w:rsidR="00990D42" w:rsidRPr="00AB210A">
        <w:rPr>
          <w:rFonts w:eastAsia="Times New Roman"/>
          <w:bCs/>
          <w:i/>
          <w:color w:val="000000"/>
          <w:lang w:eastAsia="zh-CN"/>
        </w:rPr>
        <w:t>ost</w:t>
      </w:r>
      <w:r w:rsidR="0034036F" w:rsidRPr="00AB210A">
        <w:rPr>
          <w:rFonts w:eastAsia="Times New Roman"/>
          <w:bCs/>
          <w:i/>
          <w:color w:val="000000"/>
          <w:lang w:eastAsia="zh-CN"/>
        </w:rPr>
        <w:t xml:space="preserve"> </w:t>
      </w:r>
      <w:r w:rsidRPr="00AB210A">
        <w:rPr>
          <w:rFonts w:eastAsia="Times New Roman"/>
          <w:bCs/>
          <w:i/>
          <w:color w:val="000000"/>
          <w:lang w:eastAsia="zh-CN"/>
        </w:rPr>
        <w:t xml:space="preserve"> </w:t>
      </w:r>
      <w:r w:rsidR="0034036F" w:rsidRPr="00AB210A">
        <w:rPr>
          <w:rFonts w:eastAsia="Times New Roman"/>
          <w:bCs/>
          <w:i/>
          <w:color w:val="000000"/>
          <w:lang w:eastAsia="zh-CN"/>
        </w:rPr>
        <w:t>*</w:t>
      </w:r>
      <w:proofErr w:type="gramEnd"/>
      <w:r w:rsidRPr="00AB210A">
        <w:rPr>
          <w:rFonts w:eastAsia="Times New Roman"/>
          <w:bCs/>
          <w:i/>
          <w:color w:val="000000"/>
          <w:lang w:eastAsia="zh-CN"/>
        </w:rPr>
        <w:t xml:space="preserve"> </w:t>
      </w:r>
      <w:r w:rsidR="0034036F" w:rsidRPr="00AB210A">
        <w:rPr>
          <w:rFonts w:eastAsia="Times New Roman"/>
          <w:bCs/>
          <w:i/>
          <w:color w:val="000000"/>
          <w:lang w:eastAsia="zh-CN"/>
        </w:rPr>
        <w:t xml:space="preserve"> </w:t>
      </w:r>
      <w:r>
        <w:rPr>
          <w:rFonts w:eastAsia="Times New Roman"/>
          <w:bCs/>
          <w:i/>
          <w:color w:val="000000"/>
          <w:lang w:eastAsia="zh-CN"/>
        </w:rPr>
        <w:t>F</w:t>
      </w:r>
      <w:r w:rsidR="0034036F" w:rsidRPr="00AB210A">
        <w:rPr>
          <w:rFonts w:eastAsia="Times New Roman"/>
          <w:bCs/>
          <w:i/>
          <w:color w:val="000000"/>
          <w:lang w:eastAsia="zh-CN"/>
        </w:rPr>
        <w:t>ulfilled quantity/</w:t>
      </w:r>
      <w:r>
        <w:rPr>
          <w:rFonts w:eastAsia="Times New Roman"/>
          <w:bCs/>
          <w:i/>
          <w:color w:val="000000"/>
          <w:lang w:eastAsia="zh-CN"/>
        </w:rPr>
        <w:t>T</w:t>
      </w:r>
      <w:r w:rsidR="0034036F" w:rsidRPr="00AB210A">
        <w:rPr>
          <w:rFonts w:eastAsia="Times New Roman"/>
          <w:bCs/>
          <w:i/>
          <w:color w:val="000000"/>
          <w:lang w:eastAsia="zh-CN"/>
        </w:rPr>
        <w:t xml:space="preserve">otal </w:t>
      </w:r>
      <w:r w:rsidR="00990D42" w:rsidRPr="00AB210A">
        <w:rPr>
          <w:rFonts w:eastAsia="Times New Roman"/>
          <w:bCs/>
          <w:i/>
          <w:color w:val="000000"/>
          <w:lang w:eastAsia="zh-CN"/>
        </w:rPr>
        <w:t xml:space="preserve">effective </w:t>
      </w:r>
      <w:r w:rsidR="0034036F" w:rsidRPr="00AB210A">
        <w:rPr>
          <w:rFonts w:eastAsia="Times New Roman"/>
          <w:bCs/>
          <w:i/>
          <w:color w:val="000000"/>
          <w:lang w:eastAsia="zh-CN"/>
        </w:rPr>
        <w:t>POB quantity</w:t>
      </w:r>
      <w:r w:rsidR="00990D42" w:rsidRPr="00AB210A">
        <w:rPr>
          <w:rFonts w:eastAsia="Times New Roman"/>
          <w:bCs/>
          <w:i/>
          <w:color w:val="000000"/>
          <w:lang w:eastAsia="zh-CN"/>
        </w:rPr>
        <w:t xml:space="preserve"> </w:t>
      </w:r>
      <w:r w:rsidR="00630906" w:rsidRPr="00AB210A">
        <w:rPr>
          <w:rFonts w:eastAsia="Times New Roman"/>
          <w:bCs/>
          <w:i/>
          <w:color w:val="000000"/>
          <w:lang w:eastAsia="zh-CN"/>
        </w:rPr>
        <w:t>(</w:t>
      </w:r>
      <w:r w:rsidR="00990D42" w:rsidRPr="00AB210A">
        <w:rPr>
          <w:rFonts w:eastAsia="Times New Roman"/>
          <w:bCs/>
          <w:i/>
          <w:color w:val="000000"/>
          <w:lang w:eastAsia="zh-CN"/>
        </w:rPr>
        <w:t>adjusted quantity by POD)</w:t>
      </w:r>
    </w:p>
    <w:p w:rsidR="00AB210A" w:rsidRDefault="00AB210A" w:rsidP="002D473B">
      <w:pPr>
        <w:rPr>
          <w:rFonts w:eastAsia="Times New Roman"/>
          <w:bCs/>
          <w:color w:val="000000"/>
          <w:lang w:eastAsia="zh-CN"/>
        </w:rPr>
      </w:pPr>
    </w:p>
    <w:p w:rsidR="00AB210A" w:rsidRDefault="00AB210A" w:rsidP="002D473B">
      <w:pPr>
        <w:rPr>
          <w:rFonts w:eastAsia="Times New Roman"/>
          <w:bCs/>
          <w:color w:val="000000"/>
          <w:lang w:eastAsia="zh-CN"/>
        </w:rPr>
      </w:pPr>
      <w:r>
        <w:rPr>
          <w:rFonts w:eastAsia="Times New Roman"/>
          <w:bCs/>
          <w:color w:val="000000"/>
          <w:lang w:eastAsia="zh-CN"/>
        </w:rPr>
        <w:t xml:space="preserve">The formula above is using the Percentage of Revenue Recognition to recognized cost because </w:t>
      </w:r>
      <w:proofErr w:type="spellStart"/>
      <w:r w:rsidRPr="00AB210A">
        <w:rPr>
          <w:rFonts w:eastAsia="Times New Roman"/>
          <w:bCs/>
          <w:i/>
          <w:color w:val="000000"/>
          <w:lang w:eastAsia="zh-CN"/>
        </w:rPr>
        <w:t>PoC</w:t>
      </w:r>
      <w:proofErr w:type="spellEnd"/>
      <w:r w:rsidRPr="00AB210A">
        <w:rPr>
          <w:rFonts w:eastAsia="Times New Roman"/>
          <w:bCs/>
          <w:i/>
          <w:color w:val="000000"/>
          <w:lang w:eastAsia="zh-CN"/>
        </w:rPr>
        <w:t xml:space="preserve"> of revenue = Fulfilled Quantity/Total Effective POB quantity.</w:t>
      </w:r>
    </w:p>
    <w:p w:rsidR="00AB210A" w:rsidRDefault="00AB210A" w:rsidP="002D473B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AB210A" w:rsidRDefault="00AB210A" w:rsidP="00AB210A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bCs/>
          <w:color w:val="000000"/>
          <w:lang w:eastAsia="zh-CN"/>
        </w:rPr>
        <w:t>RAR shall adjust the planned total cost if cost of each quantity on Goods Issue is different than the planned cost of each quantity</w:t>
      </w:r>
    </w:p>
    <w:p w:rsidR="00AB210A" w:rsidRDefault="00AB210A" w:rsidP="002D473B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4E440F" w:rsidRDefault="003E2C54" w:rsidP="002D473B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Examples to be specified:</w:t>
      </w:r>
    </w:p>
    <w:p w:rsidR="003E2C54" w:rsidRDefault="003E2C54" w:rsidP="003E2C54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No planned cost adjustment</w:t>
      </w:r>
    </w:p>
    <w:p w:rsidR="003E2C54" w:rsidRDefault="003E2C54" w:rsidP="003E2C54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Planned cost is changed by goods issue</w:t>
      </w:r>
    </w:p>
    <w:p w:rsidR="003E2C54" w:rsidRPr="003E2C54" w:rsidRDefault="003E2C54" w:rsidP="003E2C54">
      <w:pPr>
        <w:pStyle w:val="ListParagraph"/>
        <w:numPr>
          <w:ilvl w:val="0"/>
          <w:numId w:val="11"/>
        </w:num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Over delivery scenario</w:t>
      </w:r>
    </w:p>
    <w:p w:rsidR="003E2C54" w:rsidRDefault="003E2C54" w:rsidP="002D473B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2D473B" w:rsidRPr="002D473B" w:rsidRDefault="002D473B" w:rsidP="002D473B">
      <w:pPr>
        <w:rPr>
          <w:rFonts w:eastAsia="Times New Roman"/>
          <w:color w:val="000000"/>
          <w:lang w:eastAsia="zh-CN"/>
        </w:rPr>
      </w:pPr>
    </w:p>
    <w:p w:rsidR="002D473B" w:rsidRDefault="002D473B" w:rsidP="002D473B">
      <w:pPr>
        <w:rPr>
          <w:rFonts w:eastAsia="Times New Roman"/>
          <w:b/>
          <w:bCs/>
          <w:color w:val="000000"/>
          <w:lang w:eastAsia="zh-CN"/>
        </w:rPr>
      </w:pPr>
      <w:r w:rsidRPr="002D473B">
        <w:rPr>
          <w:rFonts w:eastAsia="Times New Roman"/>
          <w:b/>
          <w:bCs/>
          <w:color w:val="000000"/>
          <w:lang w:eastAsia="zh-CN"/>
        </w:rPr>
        <w:t>REQ#</w:t>
      </w:r>
      <w:r w:rsidR="006C0D10">
        <w:rPr>
          <w:rFonts w:eastAsia="Times New Roman"/>
          <w:b/>
          <w:bCs/>
          <w:color w:val="000000"/>
          <w:lang w:eastAsia="zh-CN"/>
        </w:rPr>
        <w:t>7</w:t>
      </w:r>
      <w:r w:rsidRPr="002D473B">
        <w:rPr>
          <w:rFonts w:eastAsia="Times New Roman"/>
          <w:b/>
          <w:bCs/>
          <w:color w:val="000000"/>
          <w:lang w:eastAsia="zh-CN"/>
        </w:rPr>
        <w:t xml:space="preserve">: </w:t>
      </w:r>
      <w:r w:rsidR="00AB210A">
        <w:rPr>
          <w:rFonts w:eastAsia="Times New Roman"/>
          <w:b/>
          <w:bCs/>
          <w:color w:val="000000"/>
          <w:lang w:eastAsia="zh-CN"/>
        </w:rPr>
        <w:t>A</w:t>
      </w:r>
      <w:r w:rsidRPr="002D473B">
        <w:rPr>
          <w:rFonts w:eastAsia="Times New Roman"/>
          <w:b/>
          <w:bCs/>
          <w:color w:val="000000"/>
          <w:lang w:eastAsia="zh-CN"/>
        </w:rPr>
        <w:t xml:space="preserve">djust quantity </w:t>
      </w:r>
      <w:r w:rsidR="006C0D10">
        <w:rPr>
          <w:rFonts w:eastAsia="Times New Roman"/>
          <w:b/>
          <w:bCs/>
          <w:color w:val="000000"/>
          <w:lang w:eastAsia="zh-CN"/>
        </w:rPr>
        <w:t xml:space="preserve">difference from </w:t>
      </w:r>
      <w:proofErr w:type="spellStart"/>
      <w:r w:rsidR="006C0D10">
        <w:rPr>
          <w:rFonts w:eastAsia="Times New Roman"/>
          <w:b/>
          <w:bCs/>
          <w:color w:val="000000"/>
          <w:lang w:eastAsia="zh-CN"/>
        </w:rPr>
        <w:t>PoD</w:t>
      </w:r>
      <w:proofErr w:type="spellEnd"/>
      <w:r w:rsidR="006C0D10">
        <w:rPr>
          <w:rFonts w:eastAsia="Times New Roman"/>
          <w:b/>
          <w:bCs/>
          <w:color w:val="000000"/>
          <w:lang w:eastAsia="zh-CN"/>
        </w:rPr>
        <w:t xml:space="preserve"> and Goods Issue.</w:t>
      </w:r>
    </w:p>
    <w:p w:rsidR="006916D4" w:rsidRDefault="006C0D10" w:rsidP="002D473B">
      <w:pPr>
        <w:rPr>
          <w:rFonts w:eastAsia="Times New Roman"/>
          <w:b/>
          <w:bCs/>
          <w:color w:val="000000"/>
          <w:lang w:eastAsia="zh-CN"/>
        </w:rPr>
      </w:pPr>
      <w:r w:rsidRPr="006C0D10">
        <w:rPr>
          <w:rFonts w:eastAsia="Times New Roman"/>
          <w:bCs/>
          <w:color w:val="000000"/>
          <w:lang w:eastAsia="zh-CN"/>
        </w:rPr>
        <w:t>It is possible that the quantity confirmed by Proof of Delivery is different than the quantity of</w:t>
      </w:r>
      <w:r>
        <w:rPr>
          <w:rFonts w:eastAsia="Times New Roman"/>
          <w:bCs/>
          <w:color w:val="000000"/>
          <w:lang w:eastAsia="zh-CN"/>
        </w:rPr>
        <w:t xml:space="preserve"> Goods I</w:t>
      </w:r>
      <w:r w:rsidRPr="006C0D10">
        <w:rPr>
          <w:rFonts w:eastAsia="Times New Roman"/>
          <w:bCs/>
          <w:color w:val="000000"/>
          <w:lang w:eastAsia="zh-CN"/>
        </w:rPr>
        <w:t>ssue</w:t>
      </w:r>
      <w:r w:rsidR="00CE73AB">
        <w:rPr>
          <w:rFonts w:eastAsia="Times New Roman"/>
          <w:bCs/>
          <w:color w:val="000000"/>
          <w:lang w:eastAsia="zh-CN"/>
        </w:rPr>
        <w:t xml:space="preserve">. </w:t>
      </w:r>
    </w:p>
    <w:p w:rsidR="002D473B" w:rsidRDefault="00AB210A" w:rsidP="002D473B">
      <w:pPr>
        <w:rPr>
          <w:rFonts w:eastAsia="Times New Roman"/>
          <w:b/>
          <w:bCs/>
          <w:color w:val="000000"/>
          <w:lang w:eastAsia="zh-CN"/>
        </w:rPr>
      </w:pPr>
      <w:r>
        <w:rPr>
          <w:rFonts w:eastAsia="Times New Roman"/>
          <w:b/>
          <w:bCs/>
          <w:color w:val="000000"/>
          <w:lang w:eastAsia="zh-CN"/>
        </w:rPr>
        <w:t xml:space="preserve">RAR shall </w:t>
      </w:r>
      <w:r w:rsidR="00D856AA">
        <w:rPr>
          <w:rFonts w:eastAsia="Times New Roman"/>
          <w:b/>
          <w:bCs/>
          <w:color w:val="000000"/>
          <w:lang w:eastAsia="zh-CN"/>
        </w:rPr>
        <w:t xml:space="preserve">Adjust quantity difference </w:t>
      </w:r>
      <w:r w:rsidR="002D473B" w:rsidRPr="002D473B">
        <w:rPr>
          <w:rFonts w:eastAsia="Times New Roman"/>
          <w:b/>
          <w:bCs/>
          <w:color w:val="000000"/>
          <w:lang w:eastAsia="zh-CN"/>
        </w:rPr>
        <w:t xml:space="preserve">at </w:t>
      </w:r>
      <w:r w:rsidR="00D856AA">
        <w:rPr>
          <w:rFonts w:eastAsia="Times New Roman"/>
          <w:b/>
          <w:bCs/>
          <w:color w:val="000000"/>
          <w:lang w:eastAsia="zh-CN"/>
        </w:rPr>
        <w:t xml:space="preserve">each </w:t>
      </w:r>
      <w:r w:rsidR="002D473B" w:rsidRPr="002D473B">
        <w:rPr>
          <w:rFonts w:eastAsia="Times New Roman"/>
          <w:b/>
          <w:bCs/>
          <w:color w:val="000000"/>
          <w:lang w:eastAsia="zh-CN"/>
        </w:rPr>
        <w:t>P</w:t>
      </w:r>
      <w:r w:rsidR="00DD1B8E">
        <w:rPr>
          <w:rFonts w:eastAsia="Times New Roman"/>
          <w:b/>
          <w:bCs/>
          <w:color w:val="000000"/>
          <w:lang w:eastAsia="zh-CN"/>
        </w:rPr>
        <w:t>roof-</w:t>
      </w:r>
      <w:r w:rsidR="002D473B" w:rsidRPr="002D473B">
        <w:rPr>
          <w:rFonts w:eastAsia="Times New Roman"/>
          <w:b/>
          <w:bCs/>
          <w:color w:val="000000"/>
          <w:lang w:eastAsia="zh-CN"/>
        </w:rPr>
        <w:t>o</w:t>
      </w:r>
      <w:r w:rsidR="00DD1B8E">
        <w:rPr>
          <w:rFonts w:eastAsia="Times New Roman"/>
          <w:b/>
          <w:bCs/>
          <w:color w:val="000000"/>
          <w:lang w:eastAsia="zh-CN"/>
        </w:rPr>
        <w:t>f-</w:t>
      </w:r>
      <w:r w:rsidR="002D473B" w:rsidRPr="002D473B">
        <w:rPr>
          <w:rFonts w:eastAsia="Times New Roman"/>
          <w:b/>
          <w:bCs/>
          <w:color w:val="000000"/>
          <w:lang w:eastAsia="zh-CN"/>
        </w:rPr>
        <w:t>D</w:t>
      </w:r>
      <w:r w:rsidR="00DD1B8E">
        <w:rPr>
          <w:rFonts w:eastAsia="Times New Roman"/>
          <w:b/>
          <w:bCs/>
          <w:color w:val="000000"/>
          <w:lang w:eastAsia="zh-CN"/>
        </w:rPr>
        <w:t>elivery</w:t>
      </w:r>
    </w:p>
    <w:p w:rsidR="006916D4" w:rsidRPr="00AB210A" w:rsidRDefault="006916D4" w:rsidP="00AB210A">
      <w:pPr>
        <w:pStyle w:val="ListParagraph"/>
        <w:numPr>
          <w:ilvl w:val="0"/>
          <w:numId w:val="15"/>
        </w:numPr>
        <w:rPr>
          <w:rFonts w:eastAsia="Times New Roman"/>
          <w:bCs/>
          <w:color w:val="000000"/>
          <w:lang w:eastAsia="zh-CN"/>
        </w:rPr>
      </w:pPr>
      <w:r w:rsidRPr="00AB210A">
        <w:rPr>
          <w:rFonts w:eastAsia="Times New Roman"/>
          <w:bCs/>
          <w:color w:val="000000"/>
          <w:lang w:eastAsia="zh-CN"/>
        </w:rPr>
        <w:t xml:space="preserve">Sender component shall send additional on quantity difference. </w:t>
      </w:r>
    </w:p>
    <w:p w:rsidR="006916D4" w:rsidRPr="00AB210A" w:rsidRDefault="00971437" w:rsidP="00AB210A">
      <w:pPr>
        <w:pStyle w:val="ListParagraph"/>
        <w:numPr>
          <w:ilvl w:val="0"/>
          <w:numId w:val="15"/>
        </w:numPr>
        <w:rPr>
          <w:rFonts w:eastAsia="Times New Roman"/>
          <w:color w:val="000000"/>
          <w:lang w:eastAsia="zh-CN"/>
        </w:rPr>
      </w:pPr>
      <w:r w:rsidRPr="00AB210A">
        <w:rPr>
          <w:rFonts w:eastAsia="Times New Roman"/>
          <w:color w:val="000000"/>
          <w:lang w:eastAsia="zh-CN"/>
        </w:rPr>
        <w:t>The quantity difference is the TOTAL difference.</w:t>
      </w:r>
    </w:p>
    <w:p w:rsidR="00121826" w:rsidRPr="00AB210A" w:rsidRDefault="00121826" w:rsidP="00AB210A">
      <w:pPr>
        <w:pStyle w:val="ListParagraph"/>
        <w:numPr>
          <w:ilvl w:val="0"/>
          <w:numId w:val="15"/>
        </w:numPr>
        <w:rPr>
          <w:rFonts w:eastAsia="Times New Roman"/>
          <w:color w:val="000000"/>
          <w:lang w:eastAsia="zh-CN"/>
        </w:rPr>
      </w:pPr>
      <w:r w:rsidRPr="00AB210A">
        <w:rPr>
          <w:rFonts w:eastAsia="Times New Roman"/>
          <w:color w:val="000000"/>
          <w:lang w:eastAsia="zh-CN"/>
        </w:rPr>
        <w:t>At P</w:t>
      </w:r>
      <w:r w:rsidR="00AB210A">
        <w:rPr>
          <w:rFonts w:eastAsia="Times New Roman"/>
          <w:color w:val="000000"/>
          <w:lang w:eastAsia="zh-CN"/>
        </w:rPr>
        <w:t>roof-of-</w:t>
      </w:r>
      <w:r w:rsidRPr="00AB210A">
        <w:rPr>
          <w:rFonts w:eastAsia="Times New Roman"/>
          <w:color w:val="000000"/>
          <w:lang w:eastAsia="zh-CN"/>
        </w:rPr>
        <w:t>D</w:t>
      </w:r>
      <w:r w:rsidR="00AB210A">
        <w:rPr>
          <w:rFonts w:eastAsia="Times New Roman"/>
          <w:color w:val="000000"/>
          <w:lang w:eastAsia="zh-CN"/>
        </w:rPr>
        <w:t>elivery</w:t>
      </w:r>
      <w:r w:rsidRPr="00AB210A">
        <w:rPr>
          <w:rFonts w:eastAsia="Times New Roman"/>
          <w:color w:val="000000"/>
          <w:lang w:eastAsia="zh-CN"/>
        </w:rPr>
        <w:t>, the sender component sends confirmed quantity</w:t>
      </w:r>
      <w:r w:rsidR="00AB210A">
        <w:rPr>
          <w:rFonts w:eastAsia="Times New Roman"/>
          <w:color w:val="000000"/>
          <w:lang w:eastAsia="zh-CN"/>
        </w:rPr>
        <w:t xml:space="preserve"> on POD and quantity difference together.</w:t>
      </w:r>
    </w:p>
    <w:p w:rsidR="00AB210A" w:rsidRDefault="00AB210A" w:rsidP="002D473B">
      <w:pPr>
        <w:rPr>
          <w:rFonts w:eastAsia="Times New Roman"/>
          <w:color w:val="000000"/>
          <w:lang w:eastAsia="zh-CN"/>
        </w:rPr>
      </w:pPr>
    </w:p>
    <w:p w:rsidR="00AB210A" w:rsidRPr="00AB210A" w:rsidRDefault="00AB210A" w:rsidP="002D473B">
      <w:pPr>
        <w:rPr>
          <w:rFonts w:eastAsia="Times New Roman"/>
          <w:b/>
          <w:color w:val="000000"/>
          <w:lang w:eastAsia="zh-CN"/>
        </w:rPr>
      </w:pPr>
      <w:r w:rsidRPr="00AB210A">
        <w:rPr>
          <w:rFonts w:eastAsia="Times New Roman"/>
          <w:b/>
          <w:color w:val="000000"/>
          <w:lang w:eastAsia="zh-CN"/>
        </w:rPr>
        <w:t xml:space="preserve">At POB completion, RAR shall </w:t>
      </w:r>
      <w:r w:rsidR="00121826" w:rsidRPr="00AB210A">
        <w:rPr>
          <w:rFonts w:eastAsia="Times New Roman"/>
          <w:b/>
          <w:color w:val="000000"/>
          <w:lang w:eastAsia="zh-CN"/>
        </w:rPr>
        <w:t xml:space="preserve">set the POB quantity to delivered quantity </w:t>
      </w:r>
      <w:r w:rsidRPr="00AB210A">
        <w:rPr>
          <w:rFonts w:eastAsia="Times New Roman"/>
          <w:b/>
          <w:color w:val="000000"/>
          <w:lang w:eastAsia="zh-CN"/>
        </w:rPr>
        <w:t>from Proof-of-</w:t>
      </w:r>
      <w:r w:rsidR="00121826" w:rsidRPr="00AB210A">
        <w:rPr>
          <w:rFonts w:eastAsia="Times New Roman"/>
          <w:b/>
          <w:color w:val="000000"/>
          <w:lang w:eastAsia="zh-CN"/>
        </w:rPr>
        <w:t>D</w:t>
      </w:r>
      <w:r w:rsidRPr="00AB210A">
        <w:rPr>
          <w:rFonts w:eastAsia="Times New Roman"/>
          <w:b/>
          <w:color w:val="000000"/>
          <w:lang w:eastAsia="zh-CN"/>
        </w:rPr>
        <w:t>elivery</w:t>
      </w:r>
      <w:r w:rsidR="00121826" w:rsidRPr="00AB210A">
        <w:rPr>
          <w:rFonts w:eastAsia="Times New Roman"/>
          <w:b/>
          <w:color w:val="000000"/>
          <w:lang w:eastAsia="zh-CN"/>
        </w:rPr>
        <w:t xml:space="preserve">. </w:t>
      </w:r>
    </w:p>
    <w:p w:rsidR="00AB210A" w:rsidRPr="00AB210A" w:rsidRDefault="00AB210A" w:rsidP="002D473B">
      <w:pPr>
        <w:rPr>
          <w:rFonts w:eastAsia="Times New Roman"/>
          <w:b/>
          <w:color w:val="000000"/>
          <w:lang w:eastAsia="zh-CN"/>
        </w:rPr>
      </w:pPr>
    </w:p>
    <w:p w:rsidR="00121826" w:rsidRDefault="00121826" w:rsidP="002D473B">
      <w:pPr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 xml:space="preserve">The quantity difference in fulfillment table </w:t>
      </w:r>
      <w:r w:rsidR="00AB210A">
        <w:rPr>
          <w:rFonts w:eastAsia="Times New Roman"/>
          <w:color w:val="000000"/>
          <w:lang w:eastAsia="zh-CN"/>
        </w:rPr>
        <w:t>shall not be adjusted even the at POB completion the quantity difference &lt;&gt; Quantity from Goods Issue – Quantity on the POB.</w:t>
      </w:r>
      <w:bookmarkStart w:id="9" w:name="_GoBack"/>
      <w:bookmarkEnd w:id="9"/>
    </w:p>
    <w:p w:rsidR="00AB210A" w:rsidRDefault="00AB210A" w:rsidP="002D473B">
      <w:pPr>
        <w:rPr>
          <w:rFonts w:eastAsia="Times New Roman"/>
          <w:color w:val="000000"/>
          <w:lang w:eastAsia="zh-CN"/>
        </w:rPr>
      </w:pPr>
    </w:p>
    <w:p w:rsidR="00AB210A" w:rsidRPr="00AB210A" w:rsidRDefault="00AB210A" w:rsidP="00AB210A">
      <w:pPr>
        <w:rPr>
          <w:rFonts w:eastAsia="Times New Roman"/>
          <w:b/>
          <w:color w:val="000000"/>
          <w:lang w:eastAsia="zh-CN"/>
        </w:rPr>
      </w:pPr>
      <w:r w:rsidRPr="00AB210A">
        <w:rPr>
          <w:rFonts w:eastAsia="Times New Roman"/>
          <w:b/>
          <w:color w:val="000000"/>
          <w:lang w:eastAsia="zh-CN"/>
        </w:rPr>
        <w:t>REQ #8: Requirement to RAI monitor</w:t>
      </w:r>
    </w:p>
    <w:p w:rsidR="00AB210A" w:rsidRPr="00AB210A" w:rsidRDefault="00AB210A" w:rsidP="00AB210A">
      <w:pPr>
        <w:pStyle w:val="ListParagraph"/>
        <w:numPr>
          <w:ilvl w:val="0"/>
          <w:numId w:val="14"/>
        </w:numPr>
        <w:rPr>
          <w:rFonts w:eastAsia="Times New Roman"/>
          <w:color w:val="000000"/>
          <w:lang w:eastAsia="zh-CN"/>
        </w:rPr>
      </w:pPr>
      <w:r w:rsidRPr="00AB210A">
        <w:rPr>
          <w:rFonts w:eastAsia="Times New Roman"/>
          <w:color w:val="000000"/>
          <w:lang w:eastAsia="zh-CN"/>
        </w:rPr>
        <w:t xml:space="preserve">POD’s source doc id </w:t>
      </w:r>
      <w:r w:rsidRPr="00AB210A">
        <w:rPr>
          <w:rFonts w:eastAsia="Times New Roman"/>
          <w:color w:val="000000"/>
          <w:lang w:eastAsia="zh-CN"/>
        </w:rPr>
        <w:t>shall use</w:t>
      </w:r>
      <w:r w:rsidRPr="00AB210A">
        <w:rPr>
          <w:rFonts w:eastAsia="Times New Roman"/>
          <w:color w:val="000000"/>
          <w:lang w:eastAsia="zh-CN"/>
        </w:rPr>
        <w:t xml:space="preserve"> outbound delivery number.</w:t>
      </w:r>
    </w:p>
    <w:p w:rsidR="00AB210A" w:rsidRPr="00AB210A" w:rsidRDefault="00AB210A" w:rsidP="00AB210A">
      <w:pPr>
        <w:pStyle w:val="ListParagraph"/>
        <w:numPr>
          <w:ilvl w:val="0"/>
          <w:numId w:val="14"/>
        </w:numPr>
        <w:rPr>
          <w:rFonts w:eastAsia="Times New Roman"/>
          <w:color w:val="000000"/>
          <w:lang w:eastAsia="zh-CN"/>
        </w:rPr>
      </w:pPr>
      <w:r w:rsidRPr="00AB210A">
        <w:rPr>
          <w:rFonts w:eastAsia="Times New Roman"/>
          <w:color w:val="000000"/>
          <w:lang w:eastAsia="zh-CN"/>
        </w:rPr>
        <w:t>In RAI monitor, it shall be able to navigate to outbound delivery by the source doc id using transaction for outbound delivery.</w:t>
      </w:r>
    </w:p>
    <w:p w:rsidR="00AB210A" w:rsidRPr="00AB210A" w:rsidRDefault="00AB210A" w:rsidP="00AB210A">
      <w:pPr>
        <w:pStyle w:val="ListParagraph"/>
        <w:numPr>
          <w:ilvl w:val="0"/>
          <w:numId w:val="14"/>
        </w:numPr>
        <w:rPr>
          <w:rFonts w:eastAsia="Times New Roman"/>
          <w:color w:val="000000"/>
          <w:lang w:eastAsia="zh-CN"/>
        </w:rPr>
      </w:pPr>
      <w:r w:rsidRPr="00AB210A">
        <w:rPr>
          <w:rFonts w:eastAsia="Times New Roman"/>
          <w:color w:val="000000"/>
          <w:lang w:eastAsia="zh-CN"/>
        </w:rPr>
        <w:t>New source doc type shall be created for outbound delivery because currently there is no source doc type for outbound delivery.</w:t>
      </w:r>
    </w:p>
    <w:p w:rsidR="00AB210A" w:rsidRDefault="00AB210A" w:rsidP="00AB210A">
      <w:pPr>
        <w:rPr>
          <w:rFonts w:eastAsia="Times New Roman"/>
          <w:color w:val="000000"/>
          <w:lang w:eastAsia="zh-CN"/>
        </w:rPr>
      </w:pPr>
    </w:p>
    <w:p w:rsidR="00AB210A" w:rsidRPr="002D473B" w:rsidRDefault="00AB210A" w:rsidP="002D473B">
      <w:pPr>
        <w:rPr>
          <w:rFonts w:eastAsia="Times New Roman"/>
          <w:color w:val="000000"/>
          <w:lang w:eastAsia="zh-CN"/>
        </w:rPr>
      </w:pPr>
    </w:p>
    <w:p w:rsidR="002D473B" w:rsidRPr="002D473B" w:rsidRDefault="002D473B" w:rsidP="002D473B"/>
    <w:p w:rsidR="00765025" w:rsidRDefault="00765025" w:rsidP="00765025"/>
    <w:p w:rsidR="00765025" w:rsidRPr="006C077D" w:rsidRDefault="00765025" w:rsidP="00765025"/>
    <w:p w:rsidR="0039251A" w:rsidRDefault="00B1103A">
      <w:pPr>
        <w:pStyle w:val="Heading1"/>
      </w:pPr>
      <w:bookmarkStart w:id="10" w:name="_Toc473896167"/>
      <w:r>
        <w:lastRenderedPageBreak/>
        <w:t>Appendix (generated)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6305"/>
      </w:tblGrid>
      <w:tr w:rsidR="0039251A">
        <w:trPr>
          <w:tblHeader/>
        </w:trPr>
        <w:tc>
          <w:tcPr>
            <w:tcW w:w="9305" w:type="dxa"/>
            <w:gridSpan w:val="2"/>
            <w:shd w:val="clear" w:color="auto" w:fill="CCCCCC"/>
          </w:tcPr>
          <w:p w:rsidR="0039251A" w:rsidRDefault="00B1103A">
            <w:r>
              <w:rPr>
                <w:b/>
              </w:rPr>
              <w:t>Assigned Users</w:t>
            </w:r>
          </w:p>
        </w:tc>
      </w:tr>
      <w:tr w:rsidR="0039251A">
        <w:trPr>
          <w:tblHeader/>
        </w:trPr>
        <w:tc>
          <w:tcPr>
            <w:tcW w:w="3000" w:type="dxa"/>
            <w:shd w:val="clear" w:color="auto" w:fill="CCCCCC"/>
          </w:tcPr>
          <w:p w:rsidR="0039251A" w:rsidRDefault="00B1103A">
            <w:r>
              <w:rPr>
                <w:b/>
              </w:rPr>
              <w:t>Role</w:t>
            </w:r>
          </w:p>
        </w:tc>
        <w:tc>
          <w:tcPr>
            <w:tcW w:w="6305" w:type="dxa"/>
            <w:shd w:val="clear" w:color="auto" w:fill="CCCCCC"/>
          </w:tcPr>
          <w:p w:rsidR="0039251A" w:rsidRDefault="00B1103A">
            <w:r>
              <w:rPr>
                <w:b/>
              </w:rPr>
              <w:t>Name</w:t>
            </w:r>
          </w:p>
        </w:tc>
      </w:tr>
      <w:tr w:rsidR="0039251A">
        <w:trPr>
          <w:cantSplit/>
        </w:trPr>
        <w:tc>
          <w:tcPr>
            <w:tcW w:w="3000" w:type="dxa"/>
          </w:tcPr>
          <w:p w:rsidR="0039251A" w:rsidRDefault="00B1103A">
            <w:r>
              <w:t>SRS Admin</w:t>
            </w:r>
          </w:p>
        </w:tc>
        <w:tc>
          <w:tcPr>
            <w:tcW w:w="6305" w:type="dxa"/>
          </w:tcPr>
          <w:p w:rsidR="0039251A" w:rsidRDefault="00B1103A">
            <w:r>
              <w:t>Xin Fang (I042117)</w:t>
            </w:r>
          </w:p>
        </w:tc>
      </w:tr>
    </w:tbl>
    <w:p w:rsidR="0039251A" w:rsidRDefault="0039251A"/>
    <w:sectPr w:rsidR="0039251A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141" w:rsidRDefault="00430141">
      <w:r>
        <w:separator/>
      </w:r>
    </w:p>
  </w:endnote>
  <w:endnote w:type="continuationSeparator" w:id="0">
    <w:p w:rsidR="00430141" w:rsidRDefault="00430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193"/>
      <w:gridCol w:w="4721"/>
      <w:gridCol w:w="2158"/>
    </w:tblGrid>
    <w:tr w:rsidR="0039251A">
      <w:tc>
        <w:tcPr>
          <w:tcW w:w="2250" w:type="dxa"/>
        </w:tcPr>
        <w:p w:rsidR="0039251A" w:rsidRDefault="00B1103A">
          <w:pPr>
            <w:tabs>
              <w:tab w:val="left" w:pos="1200"/>
            </w:tabs>
          </w:pPr>
          <w:r>
            <w:rPr>
              <w:sz w:val="16"/>
              <w:szCs w:val="16"/>
            </w:rPr>
            <w:t>Changed by</w:t>
          </w:r>
          <w:r>
            <w:rPr>
              <w:sz w:val="16"/>
              <w:szCs w:val="16"/>
            </w:rPr>
            <w:tab/>
            <w:t>I042117</w:t>
          </w:r>
        </w:p>
        <w:p w:rsidR="0039251A" w:rsidRDefault="00B1103A">
          <w:pPr>
            <w:tabs>
              <w:tab w:val="left" w:pos="1200"/>
            </w:tabs>
          </w:pPr>
          <w:r>
            <w:rPr>
              <w:sz w:val="16"/>
              <w:szCs w:val="16"/>
            </w:rPr>
            <w:t>Changed on</w:t>
          </w:r>
          <w:r>
            <w:rPr>
              <w:sz w:val="16"/>
              <w:szCs w:val="16"/>
            </w:rPr>
            <w:tab/>
            <w:t>28.12.2015</w:t>
          </w:r>
        </w:p>
        <w:p w:rsidR="0039251A" w:rsidRDefault="00B1103A">
          <w:pPr>
            <w:tabs>
              <w:tab w:val="left" w:pos="1200"/>
            </w:tabs>
          </w:pPr>
          <w:r>
            <w:rPr>
              <w:sz w:val="16"/>
              <w:szCs w:val="16"/>
            </w:rPr>
            <w:t>Changed at</w:t>
          </w:r>
          <w:r>
            <w:rPr>
              <w:sz w:val="16"/>
              <w:szCs w:val="16"/>
            </w:rPr>
            <w:tab/>
            <w:t>03:17:06</w:t>
          </w:r>
        </w:p>
      </w:tc>
      <w:tc>
        <w:tcPr>
          <w:tcW w:w="5000" w:type="dxa"/>
          <w:vAlign w:val="bottom"/>
        </w:tcPr>
        <w:p w:rsidR="0039251A" w:rsidRDefault="00B1103A">
          <w:pPr>
            <w:jc w:val="center"/>
          </w:pPr>
          <w:r>
            <w:rPr>
              <w:sz w:val="16"/>
              <w:szCs w:val="16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B210A">
            <w:rPr>
              <w:noProof/>
            </w:rPr>
            <w:t>6</w:t>
          </w:r>
          <w:r>
            <w:rPr>
              <w:noProof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B210A">
            <w:rPr>
              <w:noProof/>
            </w:rPr>
            <w:t>7</w:t>
          </w:r>
          <w:r>
            <w:rPr>
              <w:noProof/>
              <w:sz w:val="16"/>
              <w:szCs w:val="16"/>
            </w:rPr>
            <w:fldChar w:fldCharType="end"/>
          </w:r>
        </w:p>
      </w:tc>
      <w:tc>
        <w:tcPr>
          <w:tcW w:w="2250" w:type="dxa"/>
        </w:tcPr>
        <w:p w:rsidR="0039251A" w:rsidRDefault="00B1103A">
          <w:r>
            <w:rPr>
              <w:sz w:val="16"/>
              <w:szCs w:val="16"/>
            </w:rPr>
            <w:t>PR 30174</w:t>
          </w:r>
        </w:p>
        <w:p w:rsidR="0039251A" w:rsidRDefault="00B1103A">
          <w:r>
            <w:rPr>
              <w:sz w:val="16"/>
              <w:szCs w:val="16"/>
            </w:rPr>
            <w:t>Working Version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141" w:rsidRDefault="00430141">
      <w:r>
        <w:separator/>
      </w:r>
    </w:p>
  </w:footnote>
  <w:footnote w:type="continuationSeparator" w:id="0">
    <w:p w:rsidR="00430141" w:rsidRDefault="00430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1968"/>
      <w:gridCol w:w="5184"/>
      <w:gridCol w:w="1920"/>
    </w:tblGrid>
    <w:tr w:rsidR="0039251A">
      <w:tc>
        <w:tcPr>
          <w:tcW w:w="2000" w:type="dxa"/>
        </w:tcPr>
        <w:p w:rsidR="0039251A" w:rsidRDefault="009934A1">
          <w:r>
            <w:rPr>
              <w:noProof/>
              <w:lang w:eastAsia="zh-CN"/>
            </w:rPr>
            <w:drawing>
              <wp:inline distT="0" distB="0" distL="0" distR="0">
                <wp:extent cx="829945" cy="407035"/>
                <wp:effectExtent l="0" t="0" r="8255" b="0"/>
                <wp:docPr id="2" name="PR00000000000000000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00000000000000000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94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0" w:type="dxa"/>
        </w:tcPr>
        <w:p w:rsidR="0039251A" w:rsidRDefault="00B1103A">
          <w:proofErr w:type="spellStart"/>
          <w:r>
            <w:rPr>
              <w:sz w:val="16"/>
              <w:szCs w:val="16"/>
            </w:rPr>
            <w:t>SAPSpec</w:t>
          </w:r>
          <w:proofErr w:type="spellEnd"/>
          <w:r>
            <w:rPr>
              <w:sz w:val="16"/>
              <w:szCs w:val="16"/>
            </w:rPr>
            <w:t xml:space="preserve"> Lean Template (for Scrum Projects)</w:t>
          </w:r>
        </w:p>
      </w:tc>
      <w:tc>
        <w:tcPr>
          <w:tcW w:w="2000" w:type="dxa"/>
        </w:tcPr>
        <w:p w:rsidR="0039251A" w:rsidRDefault="00B1103A">
          <w:r>
            <w:rPr>
              <w:sz w:val="16"/>
              <w:szCs w:val="16"/>
            </w:rPr>
            <w:t>© 2015 SAP AG</w:t>
          </w:r>
        </w:p>
        <w:p w:rsidR="0039251A" w:rsidRDefault="00B1103A">
          <w:proofErr w:type="spellStart"/>
          <w:r>
            <w:rPr>
              <w:sz w:val="16"/>
              <w:szCs w:val="16"/>
            </w:rPr>
            <w:t>Dietmar-Hopp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Allee</w:t>
          </w:r>
          <w:proofErr w:type="spellEnd"/>
          <w:r>
            <w:rPr>
              <w:sz w:val="16"/>
              <w:szCs w:val="16"/>
            </w:rPr>
            <w:t xml:space="preserve"> 16</w:t>
          </w:r>
        </w:p>
        <w:p w:rsidR="0039251A" w:rsidRDefault="00B1103A">
          <w:r>
            <w:rPr>
              <w:sz w:val="16"/>
              <w:szCs w:val="16"/>
            </w:rPr>
            <w:t xml:space="preserve">D-69190 </w:t>
          </w:r>
          <w:proofErr w:type="spellStart"/>
          <w:r>
            <w:rPr>
              <w:sz w:val="16"/>
              <w:szCs w:val="16"/>
            </w:rPr>
            <w:t>Walldorf</w:t>
          </w:r>
          <w:proofErr w:type="spellEnd"/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853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C7E60AF"/>
    <w:multiLevelType w:val="multilevel"/>
    <w:tmpl w:val="CC74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C5F88"/>
    <w:multiLevelType w:val="multilevel"/>
    <w:tmpl w:val="49A4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65DA7"/>
    <w:multiLevelType w:val="hybridMultilevel"/>
    <w:tmpl w:val="42AC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E6E43"/>
    <w:multiLevelType w:val="hybridMultilevel"/>
    <w:tmpl w:val="8D4E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F3488"/>
    <w:multiLevelType w:val="hybridMultilevel"/>
    <w:tmpl w:val="2068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32C49"/>
    <w:multiLevelType w:val="hybridMultilevel"/>
    <w:tmpl w:val="7074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7692C"/>
    <w:multiLevelType w:val="hybridMultilevel"/>
    <w:tmpl w:val="36D0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7629C"/>
    <w:multiLevelType w:val="hybridMultilevel"/>
    <w:tmpl w:val="91C2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73473"/>
    <w:multiLevelType w:val="hybridMultilevel"/>
    <w:tmpl w:val="2084F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62008"/>
    <w:multiLevelType w:val="hybridMultilevel"/>
    <w:tmpl w:val="F4C6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C135B"/>
    <w:multiLevelType w:val="hybridMultilevel"/>
    <w:tmpl w:val="DAE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D7E18"/>
    <w:multiLevelType w:val="hybridMultilevel"/>
    <w:tmpl w:val="9A00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1"/>
  </w:num>
  <w:num w:numId="5">
    <w:abstractNumId w:val="10"/>
  </w:num>
  <w:num w:numId="6">
    <w:abstractNumId w:val="0"/>
  </w:num>
  <w:num w:numId="7">
    <w:abstractNumId w:val="0"/>
  </w:num>
  <w:num w:numId="8">
    <w:abstractNumId w:val="1"/>
    <w:lvlOverride w:ilvl="0">
      <w:startOverride w:val="1"/>
    </w:lvlOverride>
  </w:num>
  <w:num w:numId="9">
    <w:abstractNumId w:val="2"/>
  </w:num>
  <w:num w:numId="10">
    <w:abstractNumId w:val="8"/>
  </w:num>
  <w:num w:numId="11">
    <w:abstractNumId w:val="9"/>
  </w:num>
  <w:num w:numId="12">
    <w:abstractNumId w:val="3"/>
  </w:num>
  <w:num w:numId="13">
    <w:abstractNumId w:val="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E8"/>
    <w:rsid w:val="00003870"/>
    <w:rsid w:val="00011454"/>
    <w:rsid w:val="00032C96"/>
    <w:rsid w:val="000374AB"/>
    <w:rsid w:val="000401BA"/>
    <w:rsid w:val="00057F00"/>
    <w:rsid w:val="00067AEB"/>
    <w:rsid w:val="00073A45"/>
    <w:rsid w:val="0007710C"/>
    <w:rsid w:val="00080C2F"/>
    <w:rsid w:val="00091B01"/>
    <w:rsid w:val="00093642"/>
    <w:rsid w:val="00096A8E"/>
    <w:rsid w:val="00097356"/>
    <w:rsid w:val="000A1A4B"/>
    <w:rsid w:val="000A4B9A"/>
    <w:rsid w:val="000B21A7"/>
    <w:rsid w:val="000B293A"/>
    <w:rsid w:val="000C36D1"/>
    <w:rsid w:val="000E55AC"/>
    <w:rsid w:val="000F040E"/>
    <w:rsid w:val="000F648A"/>
    <w:rsid w:val="00102967"/>
    <w:rsid w:val="00103933"/>
    <w:rsid w:val="00121826"/>
    <w:rsid w:val="001301E1"/>
    <w:rsid w:val="00134D33"/>
    <w:rsid w:val="00137C49"/>
    <w:rsid w:val="0014416E"/>
    <w:rsid w:val="00183537"/>
    <w:rsid w:val="001A72FB"/>
    <w:rsid w:val="001B76CD"/>
    <w:rsid w:val="001D17B2"/>
    <w:rsid w:val="001D2728"/>
    <w:rsid w:val="001D288D"/>
    <w:rsid w:val="001E491B"/>
    <w:rsid w:val="00200EFB"/>
    <w:rsid w:val="00203653"/>
    <w:rsid w:val="00216116"/>
    <w:rsid w:val="00217310"/>
    <w:rsid w:val="0023165D"/>
    <w:rsid w:val="0026337C"/>
    <w:rsid w:val="00287AD9"/>
    <w:rsid w:val="00292DD5"/>
    <w:rsid w:val="0029426C"/>
    <w:rsid w:val="002A2F56"/>
    <w:rsid w:val="002A3CC1"/>
    <w:rsid w:val="002A70F8"/>
    <w:rsid w:val="002C0772"/>
    <w:rsid w:val="002D473B"/>
    <w:rsid w:val="002E69DA"/>
    <w:rsid w:val="002F703A"/>
    <w:rsid w:val="00301A6C"/>
    <w:rsid w:val="003171FC"/>
    <w:rsid w:val="0034036F"/>
    <w:rsid w:val="00360853"/>
    <w:rsid w:val="00376797"/>
    <w:rsid w:val="0038185A"/>
    <w:rsid w:val="0039251A"/>
    <w:rsid w:val="00393BFC"/>
    <w:rsid w:val="0039717E"/>
    <w:rsid w:val="003C0E2A"/>
    <w:rsid w:val="003C4A4D"/>
    <w:rsid w:val="003E2C54"/>
    <w:rsid w:val="003E7BC9"/>
    <w:rsid w:val="003E7DB5"/>
    <w:rsid w:val="003F03DC"/>
    <w:rsid w:val="003F7B84"/>
    <w:rsid w:val="003F7D22"/>
    <w:rsid w:val="00401C33"/>
    <w:rsid w:val="0041471D"/>
    <w:rsid w:val="004208B6"/>
    <w:rsid w:val="00420A88"/>
    <w:rsid w:val="00426731"/>
    <w:rsid w:val="00427EBD"/>
    <w:rsid w:val="00430141"/>
    <w:rsid w:val="00436EA3"/>
    <w:rsid w:val="004423AA"/>
    <w:rsid w:val="00451EE2"/>
    <w:rsid w:val="0046344A"/>
    <w:rsid w:val="00463553"/>
    <w:rsid w:val="00465BB0"/>
    <w:rsid w:val="00483ECA"/>
    <w:rsid w:val="00493406"/>
    <w:rsid w:val="004964EA"/>
    <w:rsid w:val="004C6D2D"/>
    <w:rsid w:val="004D35D7"/>
    <w:rsid w:val="004D539B"/>
    <w:rsid w:val="004D6B67"/>
    <w:rsid w:val="004E440F"/>
    <w:rsid w:val="004E50A8"/>
    <w:rsid w:val="004E5BDE"/>
    <w:rsid w:val="00526912"/>
    <w:rsid w:val="00526BD3"/>
    <w:rsid w:val="005368DD"/>
    <w:rsid w:val="0055358E"/>
    <w:rsid w:val="00556B0E"/>
    <w:rsid w:val="00560DF7"/>
    <w:rsid w:val="0056237C"/>
    <w:rsid w:val="00573F4C"/>
    <w:rsid w:val="005867EB"/>
    <w:rsid w:val="005A0DC8"/>
    <w:rsid w:val="005B4404"/>
    <w:rsid w:val="005B6914"/>
    <w:rsid w:val="005E3033"/>
    <w:rsid w:val="005E6D04"/>
    <w:rsid w:val="00603D44"/>
    <w:rsid w:val="0061143E"/>
    <w:rsid w:val="00627897"/>
    <w:rsid w:val="00630906"/>
    <w:rsid w:val="00633B8C"/>
    <w:rsid w:val="006558BD"/>
    <w:rsid w:val="00664B97"/>
    <w:rsid w:val="006729D8"/>
    <w:rsid w:val="006916D4"/>
    <w:rsid w:val="006A47D1"/>
    <w:rsid w:val="006C077D"/>
    <w:rsid w:val="006C0D10"/>
    <w:rsid w:val="006D2D95"/>
    <w:rsid w:val="006E6E7B"/>
    <w:rsid w:val="006F6F42"/>
    <w:rsid w:val="006F72EC"/>
    <w:rsid w:val="00705847"/>
    <w:rsid w:val="007061A1"/>
    <w:rsid w:val="00711228"/>
    <w:rsid w:val="007159E6"/>
    <w:rsid w:val="007421AF"/>
    <w:rsid w:val="00747794"/>
    <w:rsid w:val="00747CD4"/>
    <w:rsid w:val="00765025"/>
    <w:rsid w:val="007757CA"/>
    <w:rsid w:val="007764C1"/>
    <w:rsid w:val="00781267"/>
    <w:rsid w:val="0079284B"/>
    <w:rsid w:val="007955A9"/>
    <w:rsid w:val="00797BB4"/>
    <w:rsid w:val="007C1D1C"/>
    <w:rsid w:val="007C6F87"/>
    <w:rsid w:val="007E67A1"/>
    <w:rsid w:val="007F3E62"/>
    <w:rsid w:val="00814E5A"/>
    <w:rsid w:val="00842DF8"/>
    <w:rsid w:val="00844972"/>
    <w:rsid w:val="00846ABC"/>
    <w:rsid w:val="008479B0"/>
    <w:rsid w:val="008501B4"/>
    <w:rsid w:val="00852348"/>
    <w:rsid w:val="00873A73"/>
    <w:rsid w:val="00880473"/>
    <w:rsid w:val="00880CBC"/>
    <w:rsid w:val="0089770B"/>
    <w:rsid w:val="008A4F49"/>
    <w:rsid w:val="008B04E1"/>
    <w:rsid w:val="008C00CF"/>
    <w:rsid w:val="008C10AC"/>
    <w:rsid w:val="008C25E4"/>
    <w:rsid w:val="008F2331"/>
    <w:rsid w:val="008F5C25"/>
    <w:rsid w:val="009028F6"/>
    <w:rsid w:val="00905312"/>
    <w:rsid w:val="00915E57"/>
    <w:rsid w:val="009206B1"/>
    <w:rsid w:val="009342A0"/>
    <w:rsid w:val="009364F2"/>
    <w:rsid w:val="0096476D"/>
    <w:rsid w:val="00971437"/>
    <w:rsid w:val="00975798"/>
    <w:rsid w:val="00990D42"/>
    <w:rsid w:val="009934A1"/>
    <w:rsid w:val="00997DD5"/>
    <w:rsid w:val="009A57CC"/>
    <w:rsid w:val="009B3204"/>
    <w:rsid w:val="009C4414"/>
    <w:rsid w:val="009D0FAF"/>
    <w:rsid w:val="00A149FA"/>
    <w:rsid w:val="00A3289E"/>
    <w:rsid w:val="00A42D89"/>
    <w:rsid w:val="00A437CB"/>
    <w:rsid w:val="00A55C3B"/>
    <w:rsid w:val="00A56F9B"/>
    <w:rsid w:val="00A60795"/>
    <w:rsid w:val="00A7192F"/>
    <w:rsid w:val="00A83CBA"/>
    <w:rsid w:val="00A83FE2"/>
    <w:rsid w:val="00AA07E2"/>
    <w:rsid w:val="00AA4B4B"/>
    <w:rsid w:val="00AB210A"/>
    <w:rsid w:val="00AC057A"/>
    <w:rsid w:val="00AC373E"/>
    <w:rsid w:val="00AD73C7"/>
    <w:rsid w:val="00AF01C0"/>
    <w:rsid w:val="00B0423B"/>
    <w:rsid w:val="00B1103A"/>
    <w:rsid w:val="00B11332"/>
    <w:rsid w:val="00B127FE"/>
    <w:rsid w:val="00B3476D"/>
    <w:rsid w:val="00B7315E"/>
    <w:rsid w:val="00B741E2"/>
    <w:rsid w:val="00B83D3C"/>
    <w:rsid w:val="00B84034"/>
    <w:rsid w:val="00B84056"/>
    <w:rsid w:val="00B85B42"/>
    <w:rsid w:val="00BA4787"/>
    <w:rsid w:val="00BA6394"/>
    <w:rsid w:val="00BC2FA9"/>
    <w:rsid w:val="00BC3163"/>
    <w:rsid w:val="00BE4E01"/>
    <w:rsid w:val="00BF1847"/>
    <w:rsid w:val="00BF22EB"/>
    <w:rsid w:val="00C26563"/>
    <w:rsid w:val="00C365BF"/>
    <w:rsid w:val="00C559FD"/>
    <w:rsid w:val="00C55C00"/>
    <w:rsid w:val="00C6068B"/>
    <w:rsid w:val="00C75AB6"/>
    <w:rsid w:val="00C924DB"/>
    <w:rsid w:val="00CA3BAB"/>
    <w:rsid w:val="00CB17E3"/>
    <w:rsid w:val="00CC3F6E"/>
    <w:rsid w:val="00CC56C8"/>
    <w:rsid w:val="00CD1931"/>
    <w:rsid w:val="00CD4239"/>
    <w:rsid w:val="00CE4715"/>
    <w:rsid w:val="00CE73AB"/>
    <w:rsid w:val="00CF55EF"/>
    <w:rsid w:val="00D22382"/>
    <w:rsid w:val="00D37D0B"/>
    <w:rsid w:val="00D4685D"/>
    <w:rsid w:val="00D55BE5"/>
    <w:rsid w:val="00D60532"/>
    <w:rsid w:val="00D60A74"/>
    <w:rsid w:val="00D62F9C"/>
    <w:rsid w:val="00D70A85"/>
    <w:rsid w:val="00D815B5"/>
    <w:rsid w:val="00D84327"/>
    <w:rsid w:val="00D8453D"/>
    <w:rsid w:val="00D856AA"/>
    <w:rsid w:val="00DA2B3D"/>
    <w:rsid w:val="00DB2B31"/>
    <w:rsid w:val="00DC62C6"/>
    <w:rsid w:val="00DC748D"/>
    <w:rsid w:val="00DD1B8E"/>
    <w:rsid w:val="00DE39D4"/>
    <w:rsid w:val="00DE6255"/>
    <w:rsid w:val="00DF1AE2"/>
    <w:rsid w:val="00DF407E"/>
    <w:rsid w:val="00E123C1"/>
    <w:rsid w:val="00E21603"/>
    <w:rsid w:val="00E26458"/>
    <w:rsid w:val="00E33329"/>
    <w:rsid w:val="00E3631D"/>
    <w:rsid w:val="00E36B21"/>
    <w:rsid w:val="00E42CBD"/>
    <w:rsid w:val="00E52B36"/>
    <w:rsid w:val="00EA0570"/>
    <w:rsid w:val="00EA6822"/>
    <w:rsid w:val="00EB0A55"/>
    <w:rsid w:val="00EB4EF9"/>
    <w:rsid w:val="00EB7290"/>
    <w:rsid w:val="00EC737B"/>
    <w:rsid w:val="00EE49E1"/>
    <w:rsid w:val="00F13C9B"/>
    <w:rsid w:val="00F44AE8"/>
    <w:rsid w:val="00F51659"/>
    <w:rsid w:val="00F60936"/>
    <w:rsid w:val="00F658CC"/>
    <w:rsid w:val="00F81CB2"/>
    <w:rsid w:val="00F84B99"/>
    <w:rsid w:val="00F94901"/>
    <w:rsid w:val="00F97C32"/>
    <w:rsid w:val="00FA1B63"/>
    <w:rsid w:val="00FA1DFE"/>
    <w:rsid w:val="00FB6BA0"/>
    <w:rsid w:val="00FC3B86"/>
    <w:rsid w:val="00FD3D15"/>
    <w:rsid w:val="00FE6F19"/>
    <w:rsid w:val="00FF0355"/>
    <w:rsid w:val="00FF0B6D"/>
    <w:rsid w:val="00F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DE186"/>
  <w15:docId w15:val="{17323597-1CB2-46D3-BEE0-9240A7E9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lang w:val="en-US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locked/>
  </w:style>
  <w:style w:type="paragraph" w:styleId="TOC2">
    <w:name w:val="toc 2"/>
    <w:basedOn w:val="Normal"/>
    <w:next w:val="Normal"/>
    <w:autoRedefine/>
    <w:uiPriority w:val="39"/>
    <w:locked/>
  </w:style>
  <w:style w:type="paragraph" w:styleId="TOC3">
    <w:name w:val="toc 3"/>
    <w:basedOn w:val="Normal"/>
    <w:next w:val="Normal"/>
    <w:autoRedefine/>
    <w:uiPriority w:val="99"/>
    <w:semiHidden/>
    <w:locked/>
  </w:style>
  <w:style w:type="paragraph" w:styleId="NormalWeb">
    <w:name w:val="Normal (Web)"/>
    <w:basedOn w:val="Normal"/>
    <w:uiPriority w:val="99"/>
    <w:semiHidden/>
    <w:unhideWhenUsed/>
    <w:rsid w:val="002D47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3E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wdf213\CFP\30_FIN\30_ProductTeams\Financial_Accounting\30_RevenueRecognition\70%20Solution%20Management\30_ProductBacklog\ProofOfDelivery\Specification_ProofOfDelivery_StockInTransit_V1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fp.wdf.sap.corp/sapspec?prefix=PR&amp;id=00000000000000030174&amp;version=work&amp;sap-language=EN&amp;sap-syscmd=nocooki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SAPSpec Lean Template (for Scrum Projects)</vt:lpstr>
    </vt:vector>
  </TitlesOfParts>
  <Company>SAP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SAPSpec Lean Template (for Scrum Projects)</dc:title>
  <dc:subject>Software Requirements Specification</dc:subject>
  <dc:creator>Generated by SAPSpec</dc:creator>
  <cp:keywords/>
  <dc:description/>
  <cp:lastModifiedBy>Fang, Xin</cp:lastModifiedBy>
  <cp:revision>37</cp:revision>
  <dcterms:created xsi:type="dcterms:W3CDTF">2017-02-03T06:39:00Z</dcterms:created>
  <dcterms:modified xsi:type="dcterms:W3CDTF">2017-02-27T04:22:00Z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PR-30174</vt:lpwstr>
  </property>
  <property fmtid="{D5CDD505-2E9C-101B-9397-08002B2CF9AE}" pid="3" name="Project Name">
    <vt:lpwstr>S16_ERP_REVACC</vt:lpwstr>
  </property>
  <property fmtid="{D5CDD505-2E9C-101B-9397-08002B2CF9AE}" pid="4" name="Project Number">
    <vt:lpwstr>S16_ERP_REVACC</vt:lpwstr>
  </property>
</Properties>
</file>