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before="0"/>
        <w:jc w:val="center"/>
      </w:pPr>
      <w:r>
        <w:rPr>
          <w:rFonts w:ascii="Arial" w:cs="Arial" w:eastAsia="Arial" w:hAnsi="Arial"/>
          <w:b/>
          <w:bCs/>
          <w:i w:val="false"/>
          <w:iCs w:val="false"/>
          <w:color w:val="1E3C78"/>
          <w:sz w:val="56"/>
          <w:szCs w:val="56"/>
        </w:rPr>
        <w:t xml:space="preserve">Metal Trading Platform (MTP)</w:t>
      </w:r>
    </w:p>
    <w:p>
      <w:pPr>
        <w:spacing w:after="160" w:before="0"/>
        <w:jc w:val="center"/>
      </w:pPr>
      <w:r>
        <w:rPr>
          <w:rFonts w:ascii="Arial" w:cs="Arial" w:eastAsia="Arial" w:hAnsi="Arial"/>
          <w:b/>
          <w:bCs/>
          <w:i w:val="false"/>
          <w:iCs w:val="false"/>
          <w:color w:val="3467B2"/>
          <w:sz w:val="36"/>
          <w:szCs w:val="36"/>
        </w:rPr>
        <w:t xml:space="preserve">پلتفرم معاملات مواد اولیه فلزات</w:t>
      </w:r>
    </w:p>
    <w:p>
      <w:pPr>
        <w:spacing w:after="160" w:before="0"/>
        <w:jc w:val="center"/>
      </w:pPr>
      <w:r>
        <w:rPr>
          <w:rFonts w:ascii="Arial" w:cs="Arial" w:eastAsia="Arial" w:hAnsi="Arial"/>
          <w:b/>
          <w:bCs/>
          <w:i w:val="false"/>
          <w:iCs w:val="false"/>
          <w:color w:val="555555"/>
          <w:sz w:val="24"/>
          <w:szCs w:val="24"/>
        </w:rPr>
        <w:t xml:space="preserve">Software Architecture Document  ·  Enterprise Grade  ·  v2.0.0</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Property</w:t>
            </w:r>
          </w:p>
        </w:tc>
        <w:tc>
          <w:tcPr>
            <w:tcW w:type="dxa" w:w="57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Project 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Metal Trading Platform (MTP)</w:t>
            </w:r>
          </w:p>
        </w:tc>
      </w:tr>
      <w:tr>
        <w:tc>
          <w:tcPr>
            <w:tcW w:type="dxa" w:w="3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Document Version</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2.0.0  (Final)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1405/02/05  (April 25, 2026)</w:t>
            </w:r>
          </w:p>
        </w:tc>
      </w:tr>
      <w:tr>
        <w:tc>
          <w:tcPr>
            <w:tcW w:type="dxa" w:w="3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Classification</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CONFIDENTIAL – Internal Use Only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Document Type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Software Architecture Document (SAD) + Project Proposal</w:t>
            </w:r>
          </w:p>
        </w:tc>
      </w:tr>
      <w:tr>
        <w:tc>
          <w:tcPr>
            <w:tcW w:type="dxa" w:w="3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Standards</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IEEE 1471-2000  |  ISO/IEC 42010:2011  |  TOGAF 9.2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Backend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  |  C# 12  |  Entity Framework Core 9</w:t>
            </w:r>
          </w:p>
        </w:tc>
      </w:tr>
      <w:tr>
        <w:tc>
          <w:tcPr>
            <w:tcW w:type="dxa" w:w="3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Database</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Microsoft SQL Server 2022  |  Redis 7  |  Elasticsearch 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Frontend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Next.js 14  |  React 18  |  TypeScript  |  Tailwind CSS</w:t>
            </w:r>
          </w:p>
        </w:tc>
      </w:tr>
      <w:tr>
        <w:tc>
          <w:tcPr>
            <w:tcW w:type="dxa" w:w="3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Cloud</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Azure Kubernetes Service  |  Azure SQL  |  Service Bus</w:t>
            </w:r>
          </w:p>
        </w:tc>
      </w:tr>
    </w:tbl>
    <w:p>
      <w:pPr>
        <w:spacing w:before="400"/>
      </w:pPr>
    </w:p>
    <w:p>
      <w:pPr>
        <w:spacing w:after="160" w:before="0"/>
        <w:jc w:val="center"/>
      </w:pPr>
      <w:r>
        <w:rPr>
          <w:rFonts w:ascii="Arial" w:cs="Arial" w:eastAsia="Arial" w:hAnsi="Arial"/>
          <w:b/>
          <w:bCs/>
          <w:i w:val="false"/>
          <w:iCs w:val="false"/>
          <w:color w:val="555555"/>
          <w:sz w:val="22"/>
          <w:szCs w:val="22"/>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c>
          <w:tcPr>
            <w:tcW w:type="dxa" w:w="14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Version</w:t>
            </w:r>
          </w:p>
        </w:tc>
        <w:tc>
          <w:tcPr>
            <w:tcW w:type="dxa" w:w="1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Date</w:t>
            </w:r>
          </w:p>
        </w:tc>
        <w:tc>
          <w:tcPr>
            <w:tcW w:type="dxa" w:w="24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Author</w:t>
            </w:r>
          </w:p>
        </w:tc>
        <w:tc>
          <w:tcPr>
            <w:tcW w:type="dxa" w:w="37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1405/01/15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Analysis Team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Initial document creation</w:t>
            </w:r>
          </w:p>
        </w:tc>
      </w:tr>
      <w:tr>
        <w:tc>
          <w:tcPr>
            <w:tcW w:type="dxa" w:w="1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1.5.0</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1405/01/28</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Senior Architect</w:t>
            </w:r>
          </w:p>
        </w:tc>
        <w:tc>
          <w:tcPr>
            <w:tcW w:type="dxa" w:w="3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Architecture detail additions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1405/02/05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Technical Team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Final version with complete detail</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1: Executive Summary  (خلاصه اجرایی)</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1.1  Project Overview</w:t>
      </w:r>
    </w:p>
    <w:p>
      <w:pPr>
        <w:spacing w:after="80" w:before="80"/>
        <w:jc w:val="left"/>
      </w:pPr>
      <w:r>
        <w:rPr>
          <w:rFonts w:ascii="Arial" w:cs="Arial" w:eastAsia="Arial" w:hAnsi="Arial"/>
          <w:b w:val="false"/>
          <w:bCs w:val="false"/>
          <w:i w:val="false"/>
          <w:iCs w:val="false"/>
          <w:color w:val="222222"/>
          <w:sz w:val="22"/>
          <w:szCs w:val="22"/>
        </w:rPr>
        <w:t xml:space="preserve">The Metal Trading Platform (MTP) is an enterprise-grade B2B e-commerce system designed to digitise and bring full transparency to metal raw-material trading across Iran and the wider Middle East. By connecting verified manufacturers, suppliers and industrial buyers on a single secure platform, MTP eliminates information asymmetry, reduces transaction cycles by up to 70 %, and creates an auditable, trust-based marketplace.</w:t>
      </w:r>
    </w:p>
    <w:p>
      <w:pPr>
        <w:spacing w:after="80" w:before="80"/>
        <w:jc w:val="left"/>
      </w:pPr>
      <w:r>
        <w:rPr>
          <w:rFonts w:ascii="Arial" w:cs="Arial" w:eastAsia="Arial" w:hAnsi="Arial"/>
          <w:b w:val="false"/>
          <w:bCs w:val="false"/>
          <w:i/>
          <w:iCs/>
          <w:color w:val="3467B2"/>
          <w:sz w:val="22"/>
          <w:szCs w:val="22"/>
        </w:rPr>
        <w:t xml:space="preserve">پلتفرم معاملات مواد اولیه فلزات (MTP) یک سامانه تجارت الکترونیک B2B در سطح سازمانی است که با هدف دیجیتالی‌سازی و شفاف‌سازی معاملات مواد اولیه فلزی طراحی شده و فرآیند معاملات بین تولیدکنندگان، تأمین‌کنندگان و خریداران صنعتی را متحول می‌سازد.</w:t>
      </w:r>
    </w:p>
    <w:p>
      <w:pPr>
        <w:pStyle w:val="Heading3"/>
        <w:spacing w:after="120" w:before="200"/>
      </w:pPr>
      <w:r>
        <w:rPr>
          <w:rFonts w:ascii="Arial" w:cs="Arial" w:eastAsia="Arial" w:hAnsi="Arial"/>
          <w:b/>
          <w:bCs/>
          <w:i w:val="false"/>
          <w:iCs w:val="false"/>
          <w:color w:val="006060"/>
          <w:sz w:val="22"/>
          <w:szCs w:val="22"/>
        </w:rPr>
        <w:t xml:space="preserve">1.1.1  Strategic Vision</w:t>
      </w:r>
    </w:p>
    <w:p>
      <w:pPr>
        <w:shd w:fill="E8F0FB" w:val="clear"/>
        <w:spacing w:after="120" w:before="120"/>
        <w:ind w:left="360" w:right="360"/>
      </w:pPr>
      <w:r>
        <w:rPr>
          <w:rFonts w:ascii="Arial" w:cs="Arial" w:eastAsia="Arial" w:hAnsi="Arial"/>
          <w:b/>
          <w:bCs/>
          <w:i/>
          <w:iCs/>
          <w:color w:val="1E3C78"/>
          <w:sz w:val="24"/>
          <w:szCs w:val="24"/>
        </w:rPr>
        <w:t xml:space="preserve">"Becoming the reference and trusted platform for metal raw-material trading in the Middle East – delivering integrated, secure, and intelligent services by 1410."</w:t>
      </w:r>
    </w:p>
    <w:p>
      <w:pPr>
        <w:pStyle w:val="Heading3"/>
        <w:spacing w:after="120" w:before="200"/>
      </w:pPr>
      <w:r>
        <w:rPr>
          <w:rFonts w:ascii="Arial" w:cs="Arial" w:eastAsia="Arial" w:hAnsi="Arial"/>
          <w:b/>
          <w:bCs/>
          <w:i w:val="false"/>
          <w:iCs w:val="false"/>
          <w:color w:val="006060"/>
          <w:sz w:val="22"/>
          <w:szCs w:val="22"/>
        </w:rPr>
        <w:t xml:space="preserve">1.1.2  Mission Pillars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Transparency – Real-time pricing and complete transaction history for all participants.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Security – Multi-layer protection mechanisms safeguarding both buyer and seller interests.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Efficiency – Dramatic reduction in time-to-close and total transaction cost.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Trust – Comprehensive KYC, grading, and credit-scoring infrastructure.</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1.2  Value Proposition</w:t>
      </w:r>
    </w:p>
    <w:p>
      <w:pPr>
        <w:pStyle w:val="Heading3"/>
        <w:spacing w:after="120" w:before="200"/>
      </w:pPr>
      <w:r>
        <w:rPr>
          <w:rFonts w:ascii="Arial" w:cs="Arial" w:eastAsia="Arial" w:hAnsi="Arial"/>
          <w:b/>
          <w:bCs/>
          <w:i w:val="false"/>
          <w:iCs w:val="false"/>
          <w:color w:val="006060"/>
          <w:sz w:val="22"/>
          <w:szCs w:val="22"/>
        </w:rPr>
        <w:t xml:space="preserve">For Sellers (برای فروشندگان)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Value</w:t>
            </w:r>
          </w:p>
        </w:tc>
        <w:tc>
          <w:tcPr>
            <w:tcW w:type="dxa" w:w="4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Description</w:t>
            </w:r>
          </w:p>
        </w:tc>
        <w:tc>
          <w:tcPr>
            <w:tcW w:type="dxa" w:w="25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KPI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Broad market access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Network of 500+ verified buyers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+500 active buyers</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Payment-risk reduction</w:t>
            </w:r>
          </w:p>
        </w:tc>
        <w:tc>
          <w:tcPr>
            <w:tcW w:type="dxa" w:w="4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Pre-payment &amp; tiered grading system</w:t>
            </w:r>
          </w:p>
        </w:tc>
        <w:tc>
          <w:tcPr>
            <w:tcW w:type="dxa" w:w="25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85% risk reduction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Price transparency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Real-time market analytics &amp; LME integration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Live pricing data</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One-stop services</w:t>
            </w:r>
          </w:p>
        </w:tc>
        <w:tc>
          <w:tcPr>
            <w:tcW w:type="dxa" w:w="4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Shipping, insurance, warehouse on a single platform</w:t>
            </w:r>
          </w:p>
        </w:tc>
        <w:tc>
          <w:tcPr>
            <w:tcW w:type="dxa" w:w="25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One-stop-shop</w:t>
            </w:r>
          </w:p>
        </w:tc>
      </w:tr>
    </w:tbl>
    <w:p>
      <w:pPr>
        <w:spacing w:after="80" w:before="80"/>
        <w:jc w:val="left"/>
      </w:pPr>
      <w:r>
        <w:rPr>
          <w:rFonts w:ascii="Arial" w:cs="Arial" w:eastAsia="Arial" w:hAnsi="Arial"/>
          <w:b w:val="false"/>
          <w:bCs w:val="false"/>
          <w:i w:val="false"/>
          <w:iCs w:val="false"/>
          <w:color w:val="222222"/>
          <w:sz w:val="22"/>
          <w:szCs w:val="22"/>
        </w:rPr>
        <w:t xml:space="preserve"/>
      </w:r>
    </w:p>
    <w:p>
      <w:pPr>
        <w:pStyle w:val="Heading3"/>
        <w:spacing w:after="120" w:before="200"/>
      </w:pPr>
      <w:r>
        <w:rPr>
          <w:rFonts w:ascii="Arial" w:cs="Arial" w:eastAsia="Arial" w:hAnsi="Arial"/>
          <w:b/>
          <w:bCs/>
          <w:i w:val="false"/>
          <w:iCs w:val="false"/>
          <w:color w:val="006060"/>
          <w:sz w:val="22"/>
          <w:szCs w:val="22"/>
        </w:rPr>
        <w:t xml:space="preserve">For Buyers (برای خریداران)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Value</w:t>
            </w:r>
          </w:p>
        </w:tc>
        <w:tc>
          <w:tcPr>
            <w:tcW w:type="dxa" w:w="4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Description</w:t>
            </w:r>
          </w:p>
        </w:tc>
        <w:tc>
          <w:tcPr>
            <w:tcW w:type="dxa" w:w="25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KPI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Quality guarantee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Inspection system and product warranty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99 % quality satisfaction</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Price competition</w:t>
            </w:r>
          </w:p>
        </w:tc>
        <w:tc>
          <w:tcPr>
            <w:tcW w:type="dxa" w:w="4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Access to multiple competing sellers</w:t>
            </w:r>
          </w:p>
        </w:tc>
        <w:tc>
          <w:tcPr>
            <w:tcW w:type="dxa" w:w="25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Avg. 5 % savings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Transaction security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KYC verification and seller grading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Zero fraud tolerance</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Process simplicity</w:t>
            </w:r>
          </w:p>
        </w:tc>
        <w:tc>
          <w:tcPr>
            <w:tcW w:type="dxa" w:w="4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End-to-end digital from order to delivery</w:t>
            </w:r>
          </w:p>
        </w:tc>
        <w:tc>
          <w:tcPr>
            <w:tcW w:type="dxa" w:w="25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70 % time reduction</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1.3  Key Success Metrics  (KPI Dashboard)</w:t>
      </w:r>
    </w:p>
    <w:p>
      <w:pPr>
        <w:spacing w:after="80" w:before="140"/>
        <w:jc w:val="center"/>
      </w:pPr>
      <w:r>
        <w:drawing>
          <wp:inline distT="0" distB="0" distL="0" distR="0">
            <wp:extent cx="5905500" cy="2628900"/>
            <wp:effectExtent t="0" r="0" b="0" l="0"/>
            <wp:docPr id="1" name="KPI Dashboard – Business, Technical &amp; Customer Metrics" descr="KPI Dashboard – Business, Technical &amp; Customer Metrics" title="KPI Dashboard – Business, Technical &amp; Customer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2890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KPI Dashboard – Business, Technical &amp; Customer Metrics</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1.4  Competitive Positioning</w:t>
      </w:r>
    </w:p>
    <w:p>
      <w:pPr>
        <w:spacing w:after="80" w:before="140"/>
        <w:jc w:val="center"/>
      </w:pPr>
      <w:r>
        <w:drawing>
          <wp:inline distT="0" distB="0" distL="0" distR="0">
            <wp:extent cx="4762500" cy="3524250"/>
            <wp:effectExtent t="0" r="0" b="0" l="0"/>
            <wp:docPr id="1" name="Market Competitive Positioning Matrix" descr="Market Competitive Positioning Matrix" title="Market Competitive Positioning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2425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Market Competitive Positioning Matrix</w:t>
      </w:r>
    </w:p>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2: Business Analysis  (تحلیل کسب‌وکار)</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2.1  Market Analysis  (تحلیل بازار)</w:t>
      </w:r>
    </w:p>
    <w:p>
      <w:pPr>
        <w:pStyle w:val="Heading3"/>
        <w:spacing w:after="120" w:before="200"/>
      </w:pPr>
      <w:r>
        <w:rPr>
          <w:rFonts w:ascii="Arial" w:cs="Arial" w:eastAsia="Arial" w:hAnsi="Arial"/>
          <w:b/>
          <w:bCs/>
          <w:i w:val="false"/>
          <w:iCs w:val="false"/>
          <w:color w:val="006060"/>
          <w:sz w:val="22"/>
          <w:szCs w:val="22"/>
        </w:rPr>
        <w:t xml:space="preserve">2.1.1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Indicator</w:t>
            </w:r>
          </w:p>
        </w:tc>
        <w:tc>
          <w:tcPr>
            <w:tcW w:type="dxa" w:w="3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Value</w:t>
            </w:r>
          </w:p>
        </w:tc>
        <w:tc>
          <w:tcPr>
            <w:tcW w:type="dxa" w:w="23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Source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Annual copper production – Iran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400,000 tonnes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IME 1404</w:t>
            </w:r>
          </w:p>
        </w:tc>
      </w:tr>
      <w:tr>
        <w:tc>
          <w:tcPr>
            <w:tcW w:type="dxa" w:w="3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Annual aluminium production</w:t>
            </w:r>
          </w:p>
        </w:tc>
        <w:tc>
          <w:tcPr>
            <w:tcW w:type="dxa" w:w="3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600,000 tonnes</w:t>
            </w:r>
          </w:p>
        </w:tc>
        <w:tc>
          <w:tcPr>
            <w:tcW w:type="dxa" w:w="2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IRALCO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Annual zinc production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200,000 tonnes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IZMDC</w:t>
            </w:r>
          </w:p>
        </w:tc>
      </w:tr>
      <w:tr>
        <w:tc>
          <w:tcPr>
            <w:tcW w:type="dxa" w:w="3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Total Addressable Market (TAM)</w:t>
            </w:r>
          </w:p>
        </w:tc>
        <w:tc>
          <w:tcPr>
            <w:tcW w:type="dxa" w:w="3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150,000 Billion IRR</w:t>
            </w:r>
          </w:p>
        </w:tc>
        <w:tc>
          <w:tcPr>
            <w:tcW w:type="dxa" w:w="2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Internal estimate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Serviceable Addressable Market (SAM)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30,000 Billion IRR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20 % of TAM</w:t>
            </w:r>
          </w:p>
        </w:tc>
      </w:tr>
      <w:tr>
        <w:tc>
          <w:tcPr>
            <w:tcW w:type="dxa" w:w="3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Serviceable Obtainable Market (SOM)</w:t>
            </w:r>
          </w:p>
        </w:tc>
        <w:tc>
          <w:tcPr>
            <w:tcW w:type="dxa" w:w="3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3,000 Billion IRR</w:t>
            </w:r>
          </w:p>
        </w:tc>
        <w:tc>
          <w:tcPr>
            <w:tcW w:type="dxa" w:w="2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10 % of SAM</w:t>
            </w:r>
          </w:p>
        </w:tc>
      </w:tr>
    </w:tbl>
    <w:p>
      <w:pPr>
        <w:pStyle w:val="Heading3"/>
        <w:spacing w:after="120" w:before="200"/>
      </w:pPr>
      <w:r>
        <w:rPr>
          <w:rFonts w:ascii="Arial" w:cs="Arial" w:eastAsia="Arial" w:hAnsi="Arial"/>
          <w:b/>
          <w:bCs/>
          <w:i w:val="false"/>
          <w:iCs w:val="false"/>
          <w:color w:val="006060"/>
          <w:sz w:val="22"/>
          <w:szCs w:val="22"/>
        </w:rPr>
        <w:t xml:space="preserve">2.1.2  SWOT Analysis</w:t>
      </w:r>
    </w:p>
    <w:p>
      <w:pPr>
        <w:spacing w:after="80" w:before="140"/>
        <w:jc w:val="center"/>
      </w:pPr>
      <w:r>
        <w:drawing>
          <wp:inline distT="0" distB="0" distL="0" distR="0">
            <wp:extent cx="5524500" cy="3457575"/>
            <wp:effectExtent t="0" r="0" b="0" l="0"/>
            <wp:docPr id="1" name="SWOT Analysis" descr="SWOT Analysis" title="SWO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SWOT Analysis</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2.2  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Component</w:t>
            </w:r>
          </w:p>
        </w:tc>
        <w:tc>
          <w:tcPr>
            <w:tcW w:type="dxa" w:w="69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Key Partners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Shipping companies, Insurance firms, Inspection agencies, Banks &amp; PSPs, Licensed warehouses</w:t>
            </w:r>
          </w:p>
        </w:tc>
      </w:tr>
      <w:tr>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Key Activities</w:t>
            </w:r>
          </w:p>
        </w:tc>
        <w:tc>
          <w:tcPr>
            <w:tcW w:type="dxa" w:w="69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Platform development &amp; maintenance, KYC/grading, Transaction management, Customer support, AI &amp; analytics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Value Propositions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Secure &amp; transparent B2B trading, Comprehensive grading, Integrated ancillary services, AI-driven market insights</w:t>
            </w:r>
          </w:p>
        </w:tc>
      </w:tr>
      <w:tr>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Customer Segments</w:t>
            </w:r>
          </w:p>
        </w:tc>
        <w:tc>
          <w:tcPr>
            <w:tcW w:type="dxa" w:w="69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Metal manufacturers, Suppliers &amp; intermediaries, Industrial buyers, Exporters &amp; traders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Revenue Streams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Transaction commission (0.5 %), Premium subscription, API &amp; data licensing, Partner service commissions</w:t>
            </w:r>
          </w:p>
        </w:tc>
      </w:tr>
      <w:tr>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Key Resources</w:t>
            </w:r>
          </w:p>
        </w:tc>
        <w:tc>
          <w:tcPr>
            <w:tcW w:type="dxa" w:w="69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Technology platform &amp; IP, Security infrastructure, Verified-user network, Proprietary market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Cost Structure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R&amp;D &amp; engineering, Personnel, Azure cloud, Security &amp; compliance, Sales &amp; marketing</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2.3  Revenue Model</w:t>
      </w:r>
    </w:p>
    <w:p>
      <w:pPr>
        <w:pStyle w:val="Heading3"/>
        <w:spacing w:after="120" w:before="200"/>
      </w:pPr>
      <w:r>
        <w:rPr>
          <w:rFonts w:ascii="Arial" w:cs="Arial" w:eastAsia="Arial" w:hAnsi="Arial"/>
          <w:b/>
          <w:bCs/>
          <w:i w:val="false"/>
          <w:iCs w:val="false"/>
          <w:color w:val="006060"/>
          <w:sz w:val="22"/>
          <w:szCs w:val="22"/>
        </w:rPr>
        <w:t xml:space="preserve">2.3.1  Commission Structure</w:t>
      </w:r>
    </w:p>
    <w:p>
      <w:pPr>
        <w:pBdr>
          <w:left w:val="thick" w:color="3467B2" w:sz="8" w:space="1"/>
        </w:pBdr>
        <w:shd w:fill="E8F0FB" w:val="clear"/>
        <w:spacing w:after="0" w:before="100"/>
        <w:ind w:left="360"/>
      </w:pPr>
      <w:r>
        <w:rPr>
          <w:rFonts w:ascii="Arial" w:cs="Arial" w:eastAsia="Arial" w:hAnsi="Arial"/>
          <w:b/>
          <w:bCs/>
          <w:i w:val="false"/>
          <w:iCs w:val="false"/>
          <w:color w:val="1E3C78"/>
          <w:sz w:val="20"/>
          <w:szCs w:val="20"/>
        </w:rPr>
        <w:t xml:space="preserve">Commission Formula</w:t>
      </w:r>
    </w:p>
    <w:p>
      <w:pPr>
        <w:pBdr>
          <w:left w:val="thick" w:color="3467B2" w:sz="8" w:space="1"/>
        </w:pBdr>
        <w:shd w:fill="E8F0FB" w:val="clear"/>
        <w:spacing w:after="20" w:before="20"/>
        <w:ind w:left="360"/>
      </w:pPr>
      <w:r>
        <w:rPr>
          <w:rFonts w:ascii="Arial" w:cs="Arial" w:eastAsia="Arial" w:hAnsi="Arial"/>
          <w:b w:val="false"/>
          <w:bCs w:val="false"/>
          <w:i w:val="false"/>
          <w:iCs w:val="false"/>
          <w:color w:val="222222"/>
          <w:sz w:val="20"/>
          <w:szCs w:val="20"/>
        </w:rPr>
        <w:t xml:space="preserve">  Commission = 0.5 % x Transaction Value</w:t>
      </w:r>
    </w:p>
    <w:p>
      <w:pPr>
        <w:pBdr>
          <w:left w:val="thick" w:color="3467B2" w:sz="8" w:space="1"/>
        </w:pBdr>
        <w:shd w:fill="E8F0FB" w:val="clear"/>
        <w:spacing w:after="20" w:before="20"/>
        <w:ind w:left="360"/>
      </w:pPr>
      <w:r>
        <w:rPr>
          <w:rFonts w:ascii="Arial" w:cs="Arial" w:eastAsia="Arial" w:hAnsi="Arial"/>
          <w:b w:val="false"/>
          <w:bCs w:val="false"/>
          <w:i w:val="false"/>
          <w:iCs w:val="false"/>
          <w:color w:val="222222"/>
          <w:sz w:val="20"/>
          <w:szCs w:val="20"/>
        </w:rPr>
        <w:t xml:space="preserve">    Seller share: 40 % = 0.2 % of value</w:t>
      </w:r>
    </w:p>
    <w:p>
      <w:pPr>
        <w:pBdr>
          <w:left w:val="thick" w:color="3467B2" w:sz="8" w:space="1"/>
        </w:pBdr>
        <w:shd w:fill="E8F0FB" w:val="clear"/>
        <w:spacing w:after="20" w:before="20"/>
        <w:ind w:left="360"/>
      </w:pPr>
      <w:r>
        <w:rPr>
          <w:rFonts w:ascii="Arial" w:cs="Arial" w:eastAsia="Arial" w:hAnsi="Arial"/>
          <w:b w:val="false"/>
          <w:bCs w:val="false"/>
          <w:i w:val="false"/>
          <w:iCs w:val="false"/>
          <w:color w:val="222222"/>
          <w:sz w:val="20"/>
          <w:szCs w:val="20"/>
        </w:rPr>
        <w:t xml:space="preserve">    Buyer share:  60 % = 0.3 % of value</w:t>
      </w:r>
    </w:p>
    <w:p>
      <w:pPr>
        <w:pBdr>
          <w:left w:val="thick" w:color="3467B2" w:sz="8" w:space="1"/>
        </w:pBdr>
        <w:shd w:fill="E8F0FB" w:val="clear"/>
        <w:spacing w:after="20" w:before="20"/>
        <w:ind w:left="360"/>
      </w:pPr>
      <w:r>
        <w:rPr>
          <w:rFonts w:ascii="Arial" w:cs="Arial" w:eastAsia="Arial" w:hAnsi="Arial"/>
          <w:b w:val="false"/>
          <w:bCs w:val="false"/>
          <w:i w:val="false"/>
          <w:iCs w:val="false"/>
          <w:color w:val="222222"/>
          <w:sz w:val="20"/>
          <w:szCs w:val="20"/>
        </w:rPr>
        <w:t xml:space="preserve">  Example: 10 B IRR trade -&gt; total 50 M IRR  (seller 20 M | buyer 30 M)</w:t>
      </w:r>
    </w:p>
    <w:p>
      <w:pPr>
        <w:spacing w:before="100"/>
      </w:pPr>
    </w:p>
    <w:p>
      <w:pPr>
        <w:pStyle w:val="Heading3"/>
        <w:spacing w:after="120" w:before="200"/>
      </w:pPr>
      <w:r>
        <w:rPr>
          <w:rFonts w:ascii="Arial" w:cs="Arial" w:eastAsia="Arial" w:hAnsi="Arial"/>
          <w:b/>
          <w:bCs/>
          <w:i w:val="false"/>
          <w:iCs w:val="false"/>
          <w:color w:val="006060"/>
          <w:sz w:val="22"/>
          <w:szCs w:val="22"/>
        </w:rPr>
        <w:t xml:space="preserve">2.3.2  Discount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Transaction #</w:t>
            </w:r>
          </w:p>
        </w:tc>
        <w:tc>
          <w:tcPr>
            <w:tcW w:type="dxa" w:w="2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Discount</w:t>
            </w:r>
          </w:p>
        </w:tc>
        <w:tc>
          <w:tcPr>
            <w:tcW w:type="dxa" w:w="48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100 %</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New-user acquisition</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2nd</w:t>
            </w:r>
          </w:p>
        </w:tc>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66 %</w:t>
            </w:r>
          </w:p>
        </w:tc>
        <w:tc>
          <w:tcPr>
            <w:tcW w:type="dxa" w:w="4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Encourage continued activity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3rd onwards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0 %</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Full commission</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Gold Member</w:t>
            </w:r>
          </w:p>
        </w:tc>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20 % always</w:t>
            </w:r>
          </w:p>
        </w:tc>
        <w:tc>
          <w:tcPr>
            <w:tcW w:type="dxa" w:w="4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Loyalty reward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Volume &gt; 100 B IRR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30 %</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Volume incentive</w:t>
            </w:r>
          </w:p>
        </w:tc>
      </w:tr>
    </w:tbl>
    <w:p>
      <w:pPr>
        <w:pStyle w:val="Heading3"/>
        <w:spacing w:after="120" w:before="200"/>
      </w:pPr>
      <w:r>
        <w:rPr>
          <w:rFonts w:ascii="Arial" w:cs="Arial" w:eastAsia="Arial" w:hAnsi="Arial"/>
          <w:b/>
          <w:bCs/>
          <w:i w:val="false"/>
          <w:iCs w:val="false"/>
          <w:color w:val="006060"/>
          <w:sz w:val="22"/>
          <w:szCs w:val="22"/>
        </w:rPr>
        <w:t xml:space="preserve">2.3.3  5-Year Revenue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2160"/>
        <w:gridCol w:w="1440"/>
      </w:tblGrid>
      <w:tr>
        <w:tc>
          <w:tcPr>
            <w:tcW w:type="dxa" w:w="144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Year</w:t>
            </w:r>
          </w:p>
        </w:tc>
        <w:tc>
          <w:tcPr>
            <w:tcW w:type="dxa" w:w="21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GMV (B IRR)</w:t>
            </w:r>
          </w:p>
        </w:tc>
        <w:tc>
          <w:tcPr>
            <w:tcW w:type="dxa" w:w="21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Commission Revenue</w:t>
            </w:r>
          </w:p>
        </w:tc>
        <w:tc>
          <w:tcPr>
            <w:tcW w:type="dxa" w:w="21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Other Revenue</w:t>
            </w:r>
          </w:p>
        </w:tc>
        <w:tc>
          <w:tcPr>
            <w:tcW w:type="dxa" w:w="144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Total Revenue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Y1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2.5 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0.5 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 B IRR</w:t>
            </w:r>
          </w:p>
        </w:tc>
      </w:tr>
      <w:tr>
        <w:tc>
          <w:tcPr>
            <w:tcW w:type="dxa" w:w="144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Y2</w:t>
            </w:r>
          </w:p>
        </w:tc>
        <w:tc>
          <w:tcPr>
            <w:tcW w:type="dxa" w:w="2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2,000</w:t>
            </w:r>
          </w:p>
        </w:tc>
        <w:tc>
          <w:tcPr>
            <w:tcW w:type="dxa" w:w="2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 B</w:t>
            </w:r>
          </w:p>
        </w:tc>
        <w:tc>
          <w:tcPr>
            <w:tcW w:type="dxa" w:w="2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 B</w:t>
            </w:r>
          </w:p>
        </w:tc>
        <w:tc>
          <w:tcPr>
            <w:tcW w:type="dxa" w:w="144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13 B IRR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Y3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25 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 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35 B IRR</w:t>
            </w:r>
          </w:p>
        </w:tc>
      </w:tr>
      <w:tr>
        <w:tc>
          <w:tcPr>
            <w:tcW w:type="dxa" w:w="144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Y4</w:t>
            </w:r>
          </w:p>
        </w:tc>
        <w:tc>
          <w:tcPr>
            <w:tcW w:type="dxa" w:w="2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10,000</w:t>
            </w:r>
          </w:p>
        </w:tc>
        <w:tc>
          <w:tcPr>
            <w:tcW w:type="dxa" w:w="2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50 B</w:t>
            </w:r>
          </w:p>
        </w:tc>
        <w:tc>
          <w:tcPr>
            <w:tcW w:type="dxa" w:w="2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25 B</w:t>
            </w:r>
          </w:p>
        </w:tc>
        <w:tc>
          <w:tcPr>
            <w:tcW w:type="dxa" w:w="144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75 B IRR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Y5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100 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50 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150 B IRR</w:t>
            </w:r>
          </w:p>
        </w:tc>
      </w:tr>
    </w:tbl>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3: System Requirements  (نیازمندی‌های سیستم)</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3.1  Functional Requirements (RTM)</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600"/>
        <w:gridCol w:w="900"/>
        <w:gridCol w:w="1600"/>
        <w:gridCol w:w="900"/>
      </w:tblGrid>
      <w:tr>
        <w:tc>
          <w:tcPr>
            <w:tcW w:type="dxa" w:w="9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Req ID</w:t>
            </w:r>
          </w:p>
        </w:tc>
        <w:tc>
          <w:tcPr>
            <w:tcW w:type="dxa" w:w="9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Category</w:t>
            </w:r>
          </w:p>
        </w:tc>
        <w:tc>
          <w:tcPr>
            <w:tcW w:type="dxa" w:w="26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Requirement</w:t>
            </w:r>
          </w:p>
        </w:tc>
        <w:tc>
          <w:tcPr>
            <w:tcW w:type="dxa" w:w="9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Priority</w:t>
            </w:r>
          </w:p>
        </w:tc>
        <w:tc>
          <w:tcPr>
            <w:tcW w:type="dxa" w:w="16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Module</w:t>
            </w:r>
          </w:p>
        </w:tc>
        <w:tc>
          <w:tcPr>
            <w:tcW w:type="dxa" w:w="9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Registration with mobile &amp; OTP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FR-002</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Individual KYC verification</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Corporate KYC verification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FR-004</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Face Match with National ID</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Bank account IBAN verification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FR-006</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Two-Factor Auth (2FA)</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Create sell order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FR-008</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Create buy order</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FR-009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Edit order before match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FR-010</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Cancel order with conditions</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Real-time trading board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FR-013</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Trade</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Place bid (price proposal)</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Open Auction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FR-015</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Trade</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Dark Auction</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FR-016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Manual match by seller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FR-017</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Trade</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Automatic match at expiry</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Partial match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FR-019</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Issue commission invoice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Online commission payment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FR-021</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Wallet &amp; credit balance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Escrow for pre-payment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Could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FR-023</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Grade</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Calculate seller grade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GradingService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Calculate buyer grade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GradingService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FR-025</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Grade</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Show grade to Gold Members</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GradingService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Complaint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File complaint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ComplaintService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FR-027</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Complaint</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Complaint resolution workflow</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ComplaintService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Complaint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Grade impact of complaints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GradingService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FR-029</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Logistics</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Inspection module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LogisticsService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Logistics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Shipping module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LogisticsService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FR-031</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Logistics</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Insurance module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LogisticsService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Notify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Transaction SMS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NotificationService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FR-039</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AI</w:t>
            </w:r>
          </w:p>
        </w:tc>
        <w:tc>
          <w:tcPr>
            <w:tcW w:type="dxa" w:w="2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Price prediction</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Could</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AIService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FR-040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Fraud detection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AIService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3.2  Key Use Cases</w:t>
      </w:r>
    </w:p>
    <w:p>
      <w:pPr>
        <w:pStyle w:val="Heading3"/>
        <w:spacing w:after="120" w:before="200"/>
      </w:pPr>
      <w:r>
        <w:rPr>
          <w:rFonts w:ascii="Arial" w:cs="Arial" w:eastAsia="Arial" w:hAnsi="Arial"/>
          <w:b/>
          <w:bCs/>
          <w:i w:val="false"/>
          <w:iCs w:val="false"/>
          <w:color w:val="006060"/>
          <w:sz w:val="22"/>
          <w:szCs w:val="22"/>
        </w:rPr>
        <w:t xml:space="preserve">UC-007: Create Sell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Field</w:t>
            </w:r>
          </w:p>
        </w:tc>
        <w:tc>
          <w:tcPr>
            <w:tcW w:type="dxa" w:w="73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 Case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UC-007</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Primary Actor</w:t>
            </w:r>
          </w:p>
        </w:tc>
        <w:tc>
          <w:tcPr>
            <w:tcW w:type="dxa" w:w="7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Seller (KYC approved, Seller role active)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Pre-conditions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 logged in | KYC approved | Seller role active</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Main Flow</w:t>
            </w:r>
          </w:p>
        </w:tc>
        <w:tc>
          <w:tcPr>
            <w:tcW w:type="dxa" w:w="7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1→Select 'Create Sell Order'  2→Form shown  3→Select commodity  4→Select/create brand  5→Enter quantity &amp; weight specs  6→Set delivery terms  7→Choose auction type &amp; validity  8→System validates  9→Order registered &amp; number issued  10→SMS to Gold buyers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Alternative 5a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Seller creates new brand → status 'pending approval' → order suspended</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Alternative 7a</w:t>
            </w:r>
          </w:p>
        </w:tc>
        <w:tc>
          <w:tcPr>
            <w:tcW w:type="dxa" w:w="7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Credit sale: system checks if seller grade A+ or A; if not → error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Post-conditions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 Active on trading board | SMS sent to eligible buyers</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Business Rules</w:t>
            </w:r>
          </w:p>
        </w:tc>
        <w:tc>
          <w:tcPr>
            <w:tcW w:type="dxa" w:w="7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BR-001: Non-gold sellers have monthly tonnage limit  |  BR-002: Credit sales only for Grade A  |  BR-003: Pre-sales require guarantee  |  BR-004: Min validity 1 hour</w:t>
            </w:r>
          </w:p>
        </w:tc>
      </w:tr>
    </w:tbl>
    <w:p>
      <w:pPr>
        <w:pStyle w:val="Heading3"/>
        <w:spacing w:after="120" w:before="200"/>
      </w:pPr>
      <w:r>
        <w:rPr>
          <w:rFonts w:ascii="Arial" w:cs="Arial" w:eastAsia="Arial" w:hAnsi="Arial"/>
          <w:b/>
          <w:bCs/>
          <w:i w:val="false"/>
          <w:iCs w:val="false"/>
          <w:color w:val="006060"/>
          <w:sz w:val="22"/>
          <w:szCs w:val="22"/>
        </w:rPr>
        <w:t xml:space="preserve">UC-014: Execute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Field</w:t>
            </w:r>
          </w:p>
        </w:tc>
        <w:tc>
          <w:tcPr>
            <w:tcW w:type="dxa" w:w="73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 Case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UC-014</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Actors</w:t>
            </w:r>
          </w:p>
        </w:tc>
        <w:tc>
          <w:tcPr>
            <w:tcW w:type="dxa" w:w="7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Seller (manual) / System (automatic)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Pre-conditions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Active sell order with ≥1 active bid | In matching window (09:00–17:00 for manual)</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Manual Flow</w:t>
            </w:r>
          </w:p>
        </w:tc>
        <w:tc>
          <w:tcPr>
            <w:tcW w:type="dxa" w:w="7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1→Seller views bid list  2→Selects bid  3→Clicks Match  4→System validates (validity, not-blocked, quantity)  5→Match record created  6→Commission invoices issued  7→SMS to both parties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Auto Flow</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1→Order expires  2→System checks for bids ≥ base price  3→If found: selects highest-price/earliest  4→Creates match (same as manual step 5+)  5→If none: order expires</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Business Rules</w:t>
            </w:r>
          </w:p>
        </w:tc>
        <w:tc>
          <w:tcPr>
            <w:tcW w:type="dxa" w:w="7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BR-010: Seller cannot cancel during 09–17 window  |  BR-012: Auto priority = highest price → earliest time  |  BR-013: Partial match only if qty ≥ min-qty</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3.3  Non-Functional Requirements</w:t>
      </w:r>
    </w:p>
    <w:p>
      <w:pPr>
        <w:pStyle w:val="Heading3"/>
        <w:spacing w:after="120" w:before="200"/>
      </w:pPr>
      <w:r>
        <w:rPr>
          <w:rFonts w:ascii="Arial" w:cs="Arial" w:eastAsia="Arial" w:hAnsi="Arial"/>
          <w:b/>
          <w:bCs/>
          <w:i w:val="false"/>
          <w:iCs w:val="false"/>
          <w:color w:val="006060"/>
          <w:sz w:val="22"/>
          <w:szCs w:val="22"/>
        </w:rPr>
        <w:t xml:space="preserve">3.3.1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500"/>
        <w:gridCol w:w="3860"/>
      </w:tblGrid>
      <w:tr>
        <w:tc>
          <w:tcPr>
            <w:tcW w:type="dxa" w:w="1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NFR ID</w:t>
            </w:r>
          </w:p>
        </w:tc>
        <w:tc>
          <w:tcPr>
            <w:tcW w:type="dxa" w:w="3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Requirement</w:t>
            </w:r>
          </w:p>
        </w:tc>
        <w:tc>
          <w:tcPr>
            <w:tcW w:type="dxa" w:w="1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Target</w:t>
            </w:r>
          </w:p>
        </w:tc>
        <w:tc>
          <w:tcPr>
            <w:tcW w:type="dxa" w:w="38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Measurement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Response P50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100 ms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APM Metrics</w:t>
            </w:r>
          </w:p>
        </w:tc>
      </w:tr>
      <w:tr>
        <w:tc>
          <w:tcPr>
            <w:tcW w:type="dxa" w:w="1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NFR-002</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Response P95</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200 ms</w:t>
            </w:r>
          </w:p>
        </w:tc>
        <w:tc>
          <w:tcPr>
            <w:tcW w:type="dxa" w:w="3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APM Metrics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NFR-003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Response P99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500 ms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APM Metrics</w:t>
            </w:r>
          </w:p>
        </w:tc>
      </w:tr>
      <w:tr>
        <w:tc>
          <w:tcPr>
            <w:tcW w:type="dxa" w:w="1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NFR-004</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Page Load Time</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2 s</w:t>
            </w:r>
          </w:p>
        </w:tc>
        <w:tc>
          <w:tcPr>
            <w:tcW w:type="dxa" w:w="3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Lighthouse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NFR-006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Concurrent Users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10,000</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Load Test</w:t>
            </w:r>
          </w:p>
        </w:tc>
      </w:tr>
      <w:tr>
        <w:tc>
          <w:tcPr>
            <w:tcW w:type="dxa" w:w="1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NFR-007</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Transactions/sec</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1,000 TPS</w:t>
            </w:r>
          </w:p>
        </w:tc>
        <w:tc>
          <w:tcPr>
            <w:tcW w:type="dxa" w:w="3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Load Test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NFR-008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WebSocket Connections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50,000</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Stress Test</w:t>
            </w:r>
          </w:p>
        </w:tc>
      </w:tr>
      <w:tr>
        <w:tc>
          <w:tcPr>
            <w:tcW w:type="dxa" w:w="1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NFR-009</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DB Query P95</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50 ms</w:t>
            </w:r>
          </w:p>
        </w:tc>
        <w:tc>
          <w:tcPr>
            <w:tcW w:type="dxa" w:w="3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SQL Profiler</w:t>
            </w:r>
          </w:p>
        </w:tc>
      </w:tr>
    </w:tbl>
    <w:p>
      <w:pPr>
        <w:pStyle w:val="Heading3"/>
        <w:spacing w:after="120" w:before="200"/>
      </w:pPr>
      <w:r>
        <w:rPr>
          <w:rFonts w:ascii="Arial" w:cs="Arial" w:eastAsia="Arial" w:hAnsi="Arial"/>
          <w:b/>
          <w:bCs/>
          <w:i w:val="false"/>
          <w:iCs w:val="false"/>
          <w:color w:val="006060"/>
          <w:sz w:val="22"/>
          <w:szCs w:val="22"/>
        </w:rPr>
        <w:t xml:space="preserve">3.3.2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500"/>
        <w:gridCol w:w="3860"/>
      </w:tblGrid>
      <w:tr>
        <w:tc>
          <w:tcPr>
            <w:tcW w:type="dxa" w:w="1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NFR ID</w:t>
            </w:r>
          </w:p>
        </w:tc>
        <w:tc>
          <w:tcPr>
            <w:tcW w:type="dxa" w:w="3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Requirement</w:t>
            </w:r>
          </w:p>
        </w:tc>
        <w:tc>
          <w:tcPr>
            <w:tcW w:type="dxa" w:w="1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Target</w:t>
            </w:r>
          </w:p>
        </w:tc>
        <w:tc>
          <w:tcPr>
            <w:tcW w:type="dxa" w:w="38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Strategy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NFR-020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System Uptime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99.95 %</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Multi-AZ Deployment</w:t>
            </w:r>
          </w:p>
        </w:tc>
      </w:tr>
      <w:tr>
        <w:tc>
          <w:tcPr>
            <w:tcW w:type="dxa" w:w="1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NFR-021</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Planned Downtime</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4 h/month</w:t>
            </w:r>
          </w:p>
        </w:tc>
        <w:tc>
          <w:tcPr>
            <w:tcW w:type="dxa" w:w="3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Blue-Green Deployment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NFR-022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1 hour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Hot Standby</w:t>
            </w:r>
          </w:p>
        </w:tc>
      </w:tr>
      <w:tr>
        <w:tc>
          <w:tcPr>
            <w:tcW w:type="dxa" w:w="1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NFR-023</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RPO</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15 minutes</w:t>
            </w:r>
          </w:p>
        </w:tc>
        <w:tc>
          <w:tcPr>
            <w:tcW w:type="dxa" w:w="3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Continuous Replication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NFR-024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MTBF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&gt; 720 hours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Fault Tolerance</w:t>
            </w:r>
          </w:p>
        </w:tc>
      </w:tr>
      <w:tr>
        <w:tc>
          <w:tcPr>
            <w:tcW w:type="dxa" w:w="1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NFR-025</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MTTR</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30 minutes</w:t>
            </w:r>
          </w:p>
        </w:tc>
        <w:tc>
          <w:tcPr>
            <w:tcW w:type="dxa" w:w="3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Automated Recovery</w:t>
            </w:r>
          </w:p>
        </w:tc>
      </w:tr>
    </w:tbl>
    <w:p>
      <w:pPr>
        <w:pStyle w:val="Heading3"/>
        <w:spacing w:after="120" w:before="200"/>
      </w:pPr>
      <w:r>
        <w:rPr>
          <w:rFonts w:ascii="Arial" w:cs="Arial" w:eastAsia="Arial" w:hAnsi="Arial"/>
          <w:b/>
          <w:bCs/>
          <w:i w:val="false"/>
          <w:iCs w:val="false"/>
          <w:color w:val="006060"/>
          <w:sz w:val="22"/>
          <w:szCs w:val="22"/>
        </w:rPr>
        <w:t xml:space="preserve">3.3.3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4760"/>
      </w:tblGrid>
      <w:tr>
        <w:tc>
          <w:tcPr>
            <w:tcW w:type="dxa" w:w="9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NFR ID</w:t>
            </w:r>
          </w:p>
        </w:tc>
        <w:tc>
          <w:tcPr>
            <w:tcW w:type="dxa" w:w="1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Category</w:t>
            </w:r>
          </w:p>
        </w:tc>
        <w:tc>
          <w:tcPr>
            <w:tcW w:type="dxa" w:w="22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Requirement</w:t>
            </w:r>
          </w:p>
        </w:tc>
        <w:tc>
          <w:tcPr>
            <w:tcW w:type="dxa" w:w="47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Implementation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Multi-Factor Auth</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OTP (mandatory) + TOTP (optional)</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NFR-031</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w:t>
            </w:r>
          </w:p>
        </w:tc>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Session timeout</w:t>
            </w:r>
          </w:p>
        </w:tc>
        <w:tc>
          <w:tcPr>
            <w:tcW w:type="dxa" w:w="4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30 min inactive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NFR-034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authorization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JWT RS256 + Permission claims</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NFR-035</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Encryption</w:t>
            </w:r>
          </w:p>
        </w:tc>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Transit</w:t>
            </w:r>
          </w:p>
        </w:tc>
        <w:tc>
          <w:tcPr>
            <w:tcW w:type="dxa" w:w="4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TLS 1.3 external | mTLS internal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NFR-036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Encryption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At rest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AES-256 via TDE</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NFR-037</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Encryption</w:t>
            </w:r>
          </w:p>
        </w:tc>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PII columns</w:t>
            </w:r>
          </w:p>
        </w:tc>
        <w:tc>
          <w:tcPr>
            <w:tcW w:type="dxa" w:w="4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Always Encrypted (column-level)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NFR-038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Encryption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Passwords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Argon2id (64 MB, 3 iterations)</w:t>
            </w:r>
          </w:p>
        </w:tc>
      </w:tr>
      <w:tr>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NFR-040</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Audit</w:t>
            </w:r>
          </w:p>
        </w:tc>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Log retention</w:t>
            </w:r>
          </w:p>
        </w:tc>
        <w:tc>
          <w:tcPr>
            <w:tcW w:type="dxa" w:w="4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7 years (regulatory)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NFR-044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Protection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DDoS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Rate limiting + Azure WAF + AFD</w:t>
            </w:r>
          </w:p>
        </w:tc>
      </w:tr>
    </w:tbl>
    <w:p>
      <w:pPr>
        <w:pStyle w:val="Heading3"/>
        <w:spacing w:after="120" w:before="200"/>
      </w:pPr>
      <w:r>
        <w:rPr>
          <w:rFonts w:ascii="Arial" w:cs="Arial" w:eastAsia="Arial" w:hAnsi="Arial"/>
          <w:b/>
          <w:bCs/>
          <w:i w:val="false"/>
          <w:iCs w:val="false"/>
          <w:color w:val="006060"/>
          <w:sz w:val="22"/>
          <w:szCs w:val="22"/>
        </w:rPr>
        <w:t xml:space="preserve">3.3.4  Scalability Architecture</w:t>
      </w:r>
    </w:p>
    <w:p>
      <w:pPr>
        <w:spacing w:after="80" w:before="140"/>
        <w:jc w:val="center"/>
      </w:pPr>
      <w:r>
        <w:drawing>
          <wp:inline distT="0" distB="0" distL="0" distR="0">
            <wp:extent cx="5905500" cy="3000375"/>
            <wp:effectExtent t="0" r="0" b="0" l="0"/>
            <wp:docPr id="1" name="Scalability Architecture – Horizontal &amp; Vertical Scaling" descr="Scalability Architecture – Horizontal &amp; Vertical Scaling" title="Scalability Architecture – Horizontal &amp; Vertical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0037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Scalability Architecture – Horizontal &amp; Vertical Scaling</w:t>
      </w:r>
    </w:p>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4: System Architecture  (معماری سیستم)</w:t>
      </w:r>
    </w:p>
    <w:p>
      <w:pPr>
        <w:spacing w:after="80" w:before="80"/>
        <w:jc w:val="left"/>
      </w:pPr>
      <w:r>
        <w:rPr>
          <w:rFonts w:ascii="Arial" w:cs="Arial" w:eastAsia="Arial" w:hAnsi="Arial"/>
          <w:b w:val="false"/>
          <w:bCs w:val="false"/>
          <w:i w:val="false"/>
          <w:iCs w:val="false"/>
          <w:color w:val="222222"/>
          <w:sz w:val="22"/>
          <w:szCs w:val="22"/>
        </w:rPr>
        <w:t xml:space="preserve">Architecture is documented using the C4 Model (Context → Container → Component → Code) aligned with ISO/IEC 42010:2011 and TOGAF 9.2 Architecture Views.</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4.1  Technology Stack</w:t>
      </w:r>
    </w:p>
    <w:p>
      <w:pPr>
        <w:spacing w:after="80" w:before="140"/>
        <w:jc w:val="center"/>
      </w:pPr>
      <w:r>
        <w:drawing>
          <wp:inline distT="0" distB="0" distL="0" distR="0">
            <wp:extent cx="6096000" cy="3429000"/>
            <wp:effectExtent t="0" r="0" b="0" l="0"/>
            <wp:docPr id="1" name="Technology Stack – All Layers" descr="Technology Stack – All Layers" title="Technology Stack – All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2900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Technology Stack – All Layers</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4.2  Context View  (C4 Level 1)</w:t>
      </w:r>
    </w:p>
    <w:p>
      <w:pPr>
        <w:spacing w:after="80" w:before="80"/>
        <w:jc w:val="left"/>
      </w:pPr>
      <w:r>
        <w:rPr>
          <w:rFonts w:ascii="Arial" w:cs="Arial" w:eastAsia="Arial" w:hAnsi="Arial"/>
          <w:b w:val="false"/>
          <w:bCs w:val="false"/>
          <w:i w:val="false"/>
          <w:iCs w:val="false"/>
          <w:color w:val="222222"/>
          <w:sz w:val="22"/>
          <w:szCs w:val="22"/>
        </w:rPr>
        <w:t xml:space="preserve">All external actors and systems that interact with MTP are shown below:</w:t>
      </w:r>
    </w:p>
    <w:p>
      <w:pPr>
        <w:spacing w:after="80" w:before="140"/>
        <w:jc w:val="center"/>
      </w:pPr>
      <w:r>
        <w:drawing>
          <wp:inline distT="0" distB="0" distL="0" distR="0">
            <wp:extent cx="5905500" cy="3286125"/>
            <wp:effectExtent t="0" r="0" b="0" l="0"/>
            <wp:docPr id="1" name="System Context Diagram (C4 Level 1)" descr="System Context Diagram (C4 Level 1)" title="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8612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System Context Diagram (C4 Level 1)</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4.3  Container View  (C4 Level 2)</w:t>
      </w:r>
    </w:p>
    <w:p>
      <w:pPr>
        <w:spacing w:after="80" w:before="80"/>
        <w:jc w:val="left"/>
      </w:pPr>
      <w:r>
        <w:rPr>
          <w:rFonts w:ascii="Arial" w:cs="Arial" w:eastAsia="Arial" w:hAnsi="Arial"/>
          <w:b w:val="false"/>
          <w:bCs w:val="false"/>
          <w:i w:val="false"/>
          <w:iCs w:val="false"/>
          <w:color w:val="222222"/>
          <w:sz w:val="22"/>
          <w:szCs w:val="22"/>
        </w:rPr>
        <w:t xml:space="preserve">All deployable containers (services, data stores, messaging) within MTP:</w:t>
      </w:r>
    </w:p>
    <w:p>
      <w:pPr>
        <w:spacing w:after="80" w:before="140"/>
        <w:jc w:val="center"/>
      </w:pPr>
      <w:r>
        <w:drawing>
          <wp:inline distT="0" distB="0" distL="0" distR="0">
            <wp:extent cx="6096000" cy="3790950"/>
            <wp:effectExtent t="0" r="0" b="0" l="0"/>
            <wp:docPr id="1" name="Container Diagram (C4 Level 2) – MTP Architecture" descr="Container Diagram (C4 Level 2) – MTP Architecture" title="Container Diagram (C4 Level 2) – MT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79095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Container Diagram (C4 Level 2) – MTP Architecture</w:t>
      </w:r>
    </w:p>
    <w:p>
      <w:pPr>
        <w:pStyle w:val="Heading3"/>
        <w:spacing w:after="120" w:before="200"/>
      </w:pPr>
      <w:r>
        <w:rPr>
          <w:rFonts w:ascii="Arial" w:cs="Arial" w:eastAsia="Arial" w:hAnsi="Arial"/>
          <w:b/>
          <w:bCs/>
          <w:i w:val="false"/>
          <w:iCs w:val="false"/>
          <w:color w:val="006060"/>
          <w:sz w:val="22"/>
          <w:szCs w:val="22"/>
        </w:rPr>
        <w:t xml:space="preserve">Service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Service</w:t>
            </w:r>
          </w:p>
        </w:tc>
        <w:tc>
          <w:tcPr>
            <w:tcW w:type="dxa" w:w="2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Technology</w:t>
            </w:r>
          </w:p>
        </w:tc>
        <w:tc>
          <w:tcPr>
            <w:tcW w:type="dxa" w:w="46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Gateway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Azure APIM / Ocelot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Routing, rate-limiting, auth, load-balancing</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 Service</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Duende IdentityServer 6</w:t>
            </w:r>
          </w:p>
        </w:tc>
        <w:tc>
          <w:tcPr>
            <w:tcW w:type="dxa" w:w="4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OAuth 2.0/OIDC, JWT issuance, session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 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 management, KYC, profiles, bank accounts</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 Service</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w:t>
            </w:r>
          </w:p>
        </w:tc>
        <w:tc>
          <w:tcPr>
            <w:tcW w:type="dxa" w:w="4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Sell/buy orders, bids, order-book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 Engine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 matching algorithm, auction management, real-time updates</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 Service</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w:t>
            </w:r>
          </w:p>
        </w:tc>
        <w:tc>
          <w:tcPr>
            <w:tcW w:type="dxa" w:w="4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Commission invoicing, payment-gateway integration, wallet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Grading 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Credit scoring, grade calculation, grade history</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Notification Service</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w:t>
            </w:r>
          </w:p>
        </w:tc>
        <w:tc>
          <w:tcPr>
            <w:tcW w:type="dxa" w:w="4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SMS, email, push notifications, WebSocket broadcast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Complaint 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Dispute creation, resolution workflow, escalation</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Reporting Service</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w:t>
            </w:r>
          </w:p>
        </w:tc>
        <w:tc>
          <w:tcPr>
            <w:tcW w:type="dxa" w:w="4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Analytics, management dashboards, market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Logistics 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ASP.NET Core 10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Inspection, shipping, insurance, warehouse (Phase 3)</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4.4  Component View  (C4 Level 3) – Order Service</w:t>
      </w:r>
    </w:p>
    <w:p>
      <w:pPr>
        <w:spacing w:after="80" w:before="140"/>
        <w:jc w:val="center"/>
      </w:pPr>
      <w:r>
        <w:drawing>
          <wp:inline distT="0" distB="0" distL="0" distR="0">
            <wp:extent cx="6477000" cy="3810000"/>
            <wp:effectExtent t="0" r="0" b="0" l="0"/>
            <wp:docPr id="1" name="Component Diagram (C4 Level 3) – Order Service Internal" descr="Component Diagram (C4 Level 3) – Order Service Internal" title="Component Diagram (C4 Level 3) – Order Service In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381000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Component Diagram (C4 Level 3) – Order Service Internal</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4.5  Deployment View  (AKS on Azure)</w:t>
      </w:r>
    </w:p>
    <w:p>
      <w:pPr>
        <w:spacing w:after="80" w:before="140"/>
        <w:jc w:val="center"/>
      </w:pPr>
      <w:r>
        <w:drawing>
          <wp:inline distT="0" distB="0" distL="0" distR="0">
            <wp:extent cx="6286500" cy="4019550"/>
            <wp:effectExtent t="0" r="0" b="0" l="0"/>
            <wp:docPr id="1" name="Deployment View – Azure Kubernetes Service" descr="Deployment View – Azure Kubernetes Service" title="Deployment View – Azure Kubernete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401955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Deployment View – Azure Kubernetes Service</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4.6  Architecture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Pattern</w:t>
            </w:r>
          </w:p>
        </w:tc>
        <w:tc>
          <w:tcPr>
            <w:tcW w:type="dxa" w:w="3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Applied In</w:t>
            </w:r>
          </w:p>
        </w:tc>
        <w:tc>
          <w:tcPr>
            <w:tcW w:type="dxa" w:w="41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Benefit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CQRS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All core services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Independent read/write scaling, optimised queries</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Event Sourcing</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 Engine, Audit</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Full audit trail, temporal replay, event replay for reporting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Saga (Orchestration)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 transaction flow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Consistency + rollback across microservices without 2PC</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Circuit Breaker</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All inter-service calls</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Cascading-failure protection, fast fail, self-healing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Repository + Unit of 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All data access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Testability, clean separation of concerns</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Mediator (MediatR)</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Command/query dispatch</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Loose coupling, single responsibility, pipeline behaviours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Outbox Pattern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Event publishing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At-least-once delivery guarantee for domain events</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Gateway Pattern</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All external traffic</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Cross-cutting concerns: auth, CORS, rate-limit, routing</w:t>
            </w:r>
          </w:p>
        </w:tc>
      </w:tr>
    </w:tbl>
    <w:p>
      <w:pPr>
        <w:pStyle w:val="Heading3"/>
        <w:spacing w:after="120" w:before="200"/>
      </w:pPr>
      <w:r>
        <w:rPr>
          <w:rFonts w:ascii="Arial" w:cs="Arial" w:eastAsia="Arial" w:hAnsi="Arial"/>
          <w:b/>
          <w:bCs/>
          <w:i w:val="false"/>
          <w:iCs w:val="false"/>
          <w:color w:val="006060"/>
          <w:sz w:val="22"/>
          <w:szCs w:val="22"/>
        </w:rPr>
        <w:t xml:space="preserve">4.6.1  Saga Pattern – Match Transaction Flow</w:t>
      </w:r>
    </w:p>
    <w:p>
      <w:pPr>
        <w:spacing w:after="80" w:before="140"/>
        <w:jc w:val="center"/>
      </w:pPr>
      <w:r>
        <w:drawing>
          <wp:inline distT="0" distB="0" distL="0" distR="0">
            <wp:extent cx="6096000" cy="3933825"/>
            <wp:effectExtent t="0" r="0" b="0" l="0"/>
            <wp:docPr id="1" name="Saga Pattern – Distributed Transaction (Match Flow)" descr="Saga Pattern – Distributed Transaction (Match Flow)" title="Saga Pattern – Distributed Transaction (Ma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93382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Saga Pattern – Distributed Transaction (Match Flow)</w:t>
      </w:r>
    </w:p>
    <w:p>
      <w:pPr>
        <w:pStyle w:val="Heading3"/>
        <w:spacing w:after="120" w:before="200"/>
      </w:pPr>
      <w:r>
        <w:rPr>
          <w:rFonts w:ascii="Arial" w:cs="Arial" w:eastAsia="Arial" w:hAnsi="Arial"/>
          <w:b/>
          <w:bCs/>
          <w:i w:val="false"/>
          <w:iCs w:val="false"/>
          <w:color w:val="006060"/>
          <w:sz w:val="22"/>
          <w:szCs w:val="22"/>
        </w:rPr>
        <w:t xml:space="preserve">4.6.2  Circuit Breaker State Machine</w:t>
      </w:r>
    </w:p>
    <w:p>
      <w:pPr>
        <w:spacing w:after="80" w:before="140"/>
        <w:jc w:val="center"/>
      </w:pPr>
      <w:r>
        <w:drawing>
          <wp:inline distT="0" distB="0" distL="0" distR="0">
            <wp:extent cx="4762500" cy="2714625"/>
            <wp:effectExtent t="0" r="0" b="0" l="0"/>
            <wp:docPr id="1" name="Circuit Breaker – State Transitions" descr="Circuit Breaker – State Transitions" title="Circuit Breaker –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71462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Circuit Breaker – State Transitions</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4.7  Matching Engine Design</w:t>
      </w:r>
    </w:p>
    <w:p>
      <w:pPr>
        <w:pStyle w:val="Heading3"/>
        <w:spacing w:after="120" w:before="200"/>
      </w:pPr>
      <w:r>
        <w:rPr>
          <w:rFonts w:ascii="Arial" w:cs="Arial" w:eastAsia="Arial" w:hAnsi="Arial"/>
          <w:b/>
          <w:bCs/>
          <w:i w:val="false"/>
          <w:iCs w:val="false"/>
          <w:color w:val="006060"/>
          <w:sz w:val="22"/>
          <w:szCs w:val="22"/>
        </w:rPr>
        <w:t xml:space="preserve">4.7.1  Internal Architecture</w:t>
      </w:r>
    </w:p>
    <w:p>
      <w:pPr>
        <w:spacing w:after="80" w:before="140"/>
        <w:jc w:val="center"/>
      </w:pPr>
      <w:r>
        <w:drawing>
          <wp:inline distT="0" distB="0" distL="0" distR="0">
            <wp:extent cx="5905500" cy="3543300"/>
            <wp:effectExtent t="0" r="0" b="0" l="0"/>
            <wp:docPr id="1" name="Matching Engine – Internal Architecture" descr="Matching Engine – Internal Architecture" title="Matching Engine – Intern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54330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Matching Engine – Internal Architecture</w:t>
      </w:r>
    </w:p>
    <w:p>
      <w:pPr>
        <w:pStyle w:val="Heading3"/>
        <w:spacing w:after="120" w:before="200"/>
      </w:pPr>
      <w:r>
        <w:rPr>
          <w:rFonts w:ascii="Arial" w:cs="Arial" w:eastAsia="Arial" w:hAnsi="Arial"/>
          <w:b/>
          <w:bCs/>
          <w:i w:val="false"/>
          <w:iCs w:val="false"/>
          <w:color w:val="006060"/>
          <w:sz w:val="22"/>
          <w:szCs w:val="22"/>
        </w:rPr>
        <w:t xml:space="preserve">4.7.2  Matching Algorithm</w:t>
      </w:r>
    </w:p>
    <w:p>
      <w:pPr>
        <w:shd w:fill="F0F4F8" w:val="clear"/>
        <w:spacing w:after="80" w:before="80"/>
        <w:ind w:left="360" w:right="360"/>
      </w:pPr>
      <w:r>
        <w:rPr>
          <w:rFonts w:ascii="Courier New" w:cs="Courier New" w:eastAsia="Courier New" w:hAnsi="Courier New"/>
          <w:color w:val="1A1A2E"/>
          <w:sz w:val="16"/>
          <w:szCs w:val="16"/>
        </w:rPr>
        <w:t xml:space="preserve">Algorithm: OrderMatching
Input : SellOrder, List&lt;Bid&gt;
Output: Match or None
1. VALIDATE  order is Active and not Expired
2. VALIDATE  current time is in matching window (09:00–17:00 for manual)
3. FILTER    bids where:
             bid.status = Active
             bid.validUntil &gt; now
             bid.bidderId not blocked
             bid.quantity &gt;= order.minQuantity  (or partial allowed)
4. IF auctionType = Open  → SORT bids by Price DESC, CreatedAt ASC
   IF auctionType = Dark  → same sort but prices hidden from others
5. FOR manual match (seller selects):
   - VALIDATE bid.price &gt;= order.basePrice  (if lockBelowBase = true)
   - CREATE Match with selected bid
6. FOR automatic match (order expires):
   - FILTER bids where bid.price &gt;= order.basePrice
   - IF no valid bids → EXPIRE order
   - ELSE SELECT top bid (highest price; tie → earliest createdAt)
   - CREATE Match
7. POST-MATCH:
   - UPDATE order.remainingQuantity -= match.quantity
   - UPDATE bid.status = Matched
   - IF order.remainingQuantity = 0 → order.status = Completed
   - ELSE order.status = PartiallyFilled
   - PUBLISH MatchCreatedEvent (→ Service Bus)
   - CREATE SellerCommissionInvoice + BuyerCommissionInvoice</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4.8  Order Lifecycle State Machine</w:t>
      </w:r>
    </w:p>
    <w:p>
      <w:pPr>
        <w:spacing w:after="80" w:before="140"/>
        <w:jc w:val="center"/>
      </w:pPr>
      <w:r>
        <w:drawing>
          <wp:inline distT="0" distB="0" distL="0" distR="0">
            <wp:extent cx="6096000" cy="3286125"/>
            <wp:effectExtent t="0" r="0" b="0" l="0"/>
            <wp:docPr id="1" name="Order &amp; Match Lifecycle – State Machines" descr="Order &amp; Match Lifecycle – State Machines" title="Order &amp; Match Lifecycle – State Ma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28612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Order &amp; Match Lifecycle – State Machines</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4.9  Real-time Updates  (SignalR)</w:t>
      </w:r>
    </w:p>
    <w:p>
      <w:pPr>
        <w:spacing w:after="80" w:before="140"/>
        <w:jc w:val="center"/>
      </w:pPr>
      <w:r>
        <w:drawing>
          <wp:inline distT="0" distB="0" distL="0" distR="0">
            <wp:extent cx="6286500" cy="3648075"/>
            <wp:effectExtent t="0" r="0" b="0" l="0"/>
            <wp:docPr id="1" name="Real-time Event Flow – SignalR Architecture" descr="Real-time Event Flow – SignalR Architecture" title="Real-time Event Flow – Signal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86500" cy="364807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Real-time Event Flow – SignalR Architecture</w:t>
      </w:r>
    </w:p>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5: Database Design  (طراحی پایگاه داده)</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5.1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600"/>
        <w:gridCol w:w="2260"/>
      </w:tblGrid>
      <w:tr>
        <w:tc>
          <w:tcPr>
            <w:tcW w:type="dxa" w:w="1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Classification</w:t>
            </w:r>
          </w:p>
        </w:tc>
        <w:tc>
          <w:tcPr>
            <w:tcW w:type="dxa" w:w="2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Description</w:t>
            </w:r>
          </w:p>
        </w:tc>
        <w:tc>
          <w:tcPr>
            <w:tcW w:type="dxa" w:w="2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Examples</w:t>
            </w:r>
          </w:p>
        </w:tc>
        <w:tc>
          <w:tcPr>
            <w:tcW w:type="dxa" w:w="16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Retention</w:t>
            </w:r>
          </w:p>
        </w:tc>
        <w:tc>
          <w:tcPr>
            <w:tcW w:type="dxa" w:w="22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Encryption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Business-critical records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Matches, Transactions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Forever</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AES-256</w:t>
            </w:r>
          </w:p>
        </w:tc>
      </w:tr>
      <w:tr>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Sensitive</w:t>
            </w:r>
          </w:p>
        </w:tc>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PII &amp; financial data</w:t>
            </w:r>
          </w:p>
        </w:tc>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Users, BankAccounts</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 years</w:t>
            </w:r>
          </w:p>
        </w:tc>
        <w:tc>
          <w:tcPr>
            <w:tcW w:type="dxa" w:w="22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Column-level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Operational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Transaction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Orders, Bids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 years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TDE</w:t>
            </w:r>
          </w:p>
        </w:tc>
      </w:tr>
      <w:tr>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Analytical</w:t>
            </w:r>
          </w:p>
        </w:tc>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Reporting data</w:t>
            </w:r>
          </w:p>
        </w:tc>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Reports, Logs</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 years</w:t>
            </w:r>
          </w:p>
        </w:tc>
        <w:tc>
          <w:tcPr>
            <w:tcW w:type="dxa" w:w="22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TDE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Transient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Short-lived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Sessions, OTP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24 hours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In-memory</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5.2  Database Topology  (HA &amp; DR)</w:t>
      </w:r>
    </w:p>
    <w:p>
      <w:pPr>
        <w:spacing w:after="80" w:before="140"/>
        <w:jc w:val="center"/>
      </w:pPr>
      <w:r>
        <w:drawing>
          <wp:inline distT="0" distB="0" distL="0" distR="0">
            <wp:extent cx="6096000" cy="3409950"/>
            <wp:effectExtent t="0" r="0" b="0" l="0"/>
            <wp:docPr id="1" name="Database Topology – High Availability &amp; Disaster Recovery" descr="Database Topology – High Availability &amp; Disaster Recovery" title="Database Topology – High Availability &amp; Disaste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40995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Database Topology – High Availability &amp; Disaster Recovery</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5.3  Entity Relationship Diagram</w:t>
      </w:r>
    </w:p>
    <w:p>
      <w:pPr>
        <w:spacing w:after="80" w:before="140"/>
        <w:jc w:val="center"/>
      </w:pPr>
      <w:r>
        <w:drawing>
          <wp:inline distT="0" distB="0" distL="0" distR="0">
            <wp:extent cx="6286500" cy="4705350"/>
            <wp:effectExtent t="0" r="0" b="0" l="0"/>
            <wp:docPr id="1" name="Entity Relationship Diagram – Core Tables" descr="Entity Relationship Diagram – Core Tables" title="Entity Relationship Diagram – Cor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86500" cy="470535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Entity Relationship Diagram – Core Tables</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5.4  Key Table Schemas</w:t>
      </w:r>
    </w:p>
    <w:p>
      <w:pPr>
        <w:pStyle w:val="Heading3"/>
        <w:spacing w:after="120" w:before="200"/>
      </w:pPr>
      <w:r>
        <w:rPr>
          <w:rFonts w:ascii="Arial" w:cs="Arial" w:eastAsia="Arial" w:hAnsi="Arial"/>
          <w:b/>
          <w:bCs/>
          <w:i w:val="false"/>
          <w:iCs w:val="false"/>
          <w:color w:val="006060"/>
          <w:sz w:val="22"/>
          <w:szCs w:val="22"/>
        </w:rPr>
        <w:t xml:space="preserve">5.4.1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Column</w:t>
            </w:r>
          </w:p>
        </w:tc>
        <w:tc>
          <w:tcPr>
            <w:tcW w:type="dxa" w:w="24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Type</w:t>
            </w:r>
          </w:p>
        </w:tc>
        <w:tc>
          <w:tcPr>
            <w:tcW w:type="dxa" w:w="41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BIGINT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Clustered primary key</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PublicId</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UNIQUEIDENTIFIER UK</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Exposed to API consumers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PhoneNumber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NVARCHAR(20) UK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Masked: 0912***6789</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NationalCode</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NVARCHAR(10) UK</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Always Encrypted (AES-256)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1=Individual  2=Corporate</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MembershipLevel</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1=Basic  2=Silver  3=Gold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KYCStatus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0=None 1=Pending 2=Approved 3=Rejected</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1=Active 2=Suspended 3=Blocked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TwoFactorEnabled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Whether TOTP is enrolled</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FailedLoginAttempts</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INT</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Resets on success; triggers lock at 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CreatedAt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DATETIME2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UTC timestamp</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UpdatedAt</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DATETIME2</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Updated via trigger</w:t>
            </w:r>
          </w:p>
        </w:tc>
      </w:tr>
    </w:tbl>
    <w:p>
      <w:pPr>
        <w:pStyle w:val="Heading3"/>
        <w:spacing w:after="120" w:before="200"/>
      </w:pPr>
      <w:r>
        <w:rPr>
          <w:rFonts w:ascii="Arial" w:cs="Arial" w:eastAsia="Arial" w:hAnsi="Arial"/>
          <w:b/>
          <w:bCs/>
          <w:i w:val="false"/>
          <w:iCs w:val="false"/>
          <w:color w:val="006060"/>
          <w:sz w:val="22"/>
          <w:szCs w:val="22"/>
        </w:rPr>
        <w:t xml:space="preserve">5.4.2  SellOrders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Column</w:t>
            </w:r>
          </w:p>
        </w:tc>
        <w:tc>
          <w:tcPr>
            <w:tcW w:type="dxa" w:w="24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Type</w:t>
            </w:r>
          </w:p>
        </w:tc>
        <w:tc>
          <w:tcPr>
            <w:tcW w:type="dxa" w:w="41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BIGINT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OrderNumber</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NVARCHAR(20) UK</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SO-YYYYMMDD-XXXX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SellerId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BIGINT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Users.Id</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ProductId</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INT FK</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Products.Id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BrandId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INT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Brands.Id</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TotalQuantity</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DECIMAL(18,3)</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RemainingQuantity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kg – decremented on partial match</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MinQuantity</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DECIMAL(18,3)</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kg – minimum purchasable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WeightTolerancePercent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DECIMAL(5,2)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allowed variance</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BasePrice</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DECIMAL(18,2)</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IRR/kg – nullable for open auction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LockBelowBasePrice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Reject bids below base</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AuctionType</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1=Open  2=Dark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SaleType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1=Ready  2=PreSale</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PaymentTerms</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1=Cash 2=Check 3=LC 4=Mixed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DeliveryType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1=ExWork 2=FOB 3=CIF</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ValidFrom</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DATETIME2</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Auction start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ValidUntil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DATETIME2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Auction end / auto-match trigger</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1=Draft→6=Expired</w:t>
            </w:r>
          </w:p>
        </w:tc>
      </w:tr>
    </w:tbl>
    <w:p>
      <w:pPr>
        <w:pStyle w:val="Heading3"/>
        <w:spacing w:after="120" w:before="200"/>
      </w:pPr>
      <w:r>
        <w:rPr>
          <w:rFonts w:ascii="Arial" w:cs="Arial" w:eastAsia="Arial" w:hAnsi="Arial"/>
          <w:b/>
          <w:bCs/>
          <w:i w:val="false"/>
          <w:iCs w:val="false"/>
          <w:color w:val="006060"/>
          <w:sz w:val="22"/>
          <w:szCs w:val="22"/>
        </w:rPr>
        <w:t xml:space="preserve">5.4.3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Column</w:t>
            </w:r>
          </w:p>
        </w:tc>
        <w:tc>
          <w:tcPr>
            <w:tcW w:type="dxa" w:w="24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Type</w:t>
            </w:r>
          </w:p>
        </w:tc>
        <w:tc>
          <w:tcPr>
            <w:tcW w:type="dxa" w:w="41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BIGINT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MatchNumber</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NVARCHAR(20) UK</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MT-YYYYMMDD-XXXX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SellOrderId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BIGINT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SellOrders.Id</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WinningBidId</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BIGINT FK</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Bids.Id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SellerId / BuyerId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BIGINT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Denormalized for query speed</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MatchedPrice</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DECIMAL(18,2)</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IRR/kg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MatchedQuantity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kg</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TotalValue</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DECIMAL(18,2)</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IRR – price × quantity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TotalCommission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0.5 % of TotalValue</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SellerCommission</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DECIMAL(18,2)</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40 % of TotalCommission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BuyerCommission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DECIMAL(18,2)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60 % of TotalCommission</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CommissionRate</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DECIMAL(5,4)</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Effective rate (may differ for promotions)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1=Manual  2=Automatic</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TINYINT</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1=Matched → 9=Cancelled (full lifecycle)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MatchedAt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DATETIME2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Immutable timestamp</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CompletedAt</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DATETIME2</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Set when delivery confirmed</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5.5  Index Strategy</w:t>
      </w:r>
    </w:p>
    <w:p>
      <w:pPr>
        <w:shd w:fill="F0F4F8" w:val="clear"/>
        <w:spacing w:after="80" w:before="80"/>
        <w:ind w:left="360" w:right="360"/>
      </w:pPr>
      <w:r>
        <w:rPr>
          <w:rFonts w:ascii="Courier New" w:cs="Courier New" w:eastAsia="Courier New" w:hAnsi="Courier New"/>
          <w:color w:val="1A1A2E"/>
          <w:sz w:val="16"/>
          <w:szCs w:val="16"/>
        </w:rPr>
        <w:t xml:space="preserve">-- Trading-board covering index (supports GetActiveOrders query)
CREATE NONCLUSTERED INDEX IX_SellOrders_Board
    ON SellOrders(Status, ProductId, ValidUntil DESC)
    INCLUDE (PublicId,OrderNumber,SellerId,BrandId,
             TotalQuantity,RemainingQuantity,MinQuantity,
             BasePrice,AuctionType,SaleType,PaymentTerms,
             DeliveryType,BidCount)
    WHERE Status IN (2,3);  -- Active, PartialFilled
-- Matching-algorithm index (price-sorted active bids per order)
CREATE NONCLUSTERED INDEX IX_Bids_Order_Status_Price
    ON Bids(OrderId,OrderType,Status,Price DESC,CreatedAt ASC)
    WHERE Status = 1;
-- Expiry-job index (minimal I/O scan)
CREATE NONCLUSTERED INDEX IX_SellOrders_Expiry
    ON SellOrders(ValidUntil)
    WHERE Status = 2;
-- User lookup by phone (login hotpath)
CREATE UNIQUE NONCLUSTERED INDEX IX_Users_Phone
    ON Users(PhoneNumber) WHERE PhoneNumber IS NOT NULL;</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5.6  Partitioning Strategy</w:t>
      </w:r>
    </w:p>
    <w:p>
      <w:pPr>
        <w:spacing w:after="80" w:before="80"/>
        <w:jc w:val="left"/>
      </w:pPr>
      <w:r>
        <w:rPr>
          <w:rFonts w:ascii="Arial" w:cs="Arial" w:eastAsia="Arial" w:hAnsi="Arial"/>
          <w:b w:val="false"/>
          <w:bCs w:val="false"/>
          <w:i w:val="false"/>
          <w:iCs w:val="false"/>
          <w:color w:val="222222"/>
          <w:sz w:val="22"/>
          <w:szCs w:val="22"/>
        </w:rPr>
        <w:t xml:space="preserve">High-volume tables (AuditLogs, Notifications) are range-partitioned monthly to keep query performance consistent as data grows.</w:t>
      </w:r>
    </w:p>
    <w:p>
      <w:pPr>
        <w:shd w:fill="F0F4F8" w:val="clear"/>
        <w:spacing w:after="80" w:before="80"/>
        <w:ind w:left="360" w:right="360"/>
      </w:pPr>
      <w:r>
        <w:rPr>
          <w:rFonts w:ascii="Courier New" w:cs="Courier New" w:eastAsia="Courier New" w:hAnsi="Courier New"/>
          <w:color w:val="1A1A2E"/>
          <w:sz w:val="16"/>
          <w:szCs w:val="16"/>
        </w:rPr>
        <w:t xml:space="preserve">CREATE PARTITION FUNCTION PF_Monthly (datetime2)
AS RANGE RIGHT FOR VALUES ('2026-01-01','2026-02-01', ... ,'2027-01-01');
CREATE PARTITION SCHEME PS_Monthly
AS PARTITION PF_Monthly ALL TO ([PRIMARY]);
-- Apply to AuditLogs and Notifications tables
-- Partition key = CreatedAt (enables fast date-range pruning)</w:t>
      </w:r>
    </w:p>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6: API Design  (طراحی API)</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6.1  Standards &amp;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Standard</w:t>
            </w:r>
          </w:p>
        </w:tc>
        <w:tc>
          <w:tcPr>
            <w:tcW w:type="dxa" w:w="63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Base 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https://api.metaltrade.ir</w:t>
            </w:r>
          </w:p>
        </w:tc>
      </w:tr>
      <w:tr>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Versioning</w:t>
            </w:r>
          </w:p>
        </w:tc>
        <w:tc>
          <w:tcPr>
            <w:tcW w:type="dxa" w:w="6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URI path  /v1/  /v2/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Format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JSON  (application/json)  UTF-8</w:t>
            </w:r>
          </w:p>
        </w:tc>
      </w:tr>
      <w:tr>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Date format</w:t>
            </w:r>
          </w:p>
        </w:tc>
        <w:tc>
          <w:tcPr>
            <w:tcW w:type="dxa" w:w="6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ISO 8601  –  2026-04-25T14:30:00Z</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Pagination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Cursor-based for large result sets</w:t>
            </w:r>
          </w:p>
        </w:tc>
      </w:tr>
      <w:tr>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Rate limiting</w:t>
            </w:r>
          </w:p>
        </w:tc>
        <w:tc>
          <w:tcPr>
            <w:tcW w:type="dxa" w:w="6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Token Bucket – 1,000 req/min per API key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OAuth 2.0 + JWT (RS256)</w:t>
            </w:r>
          </w:p>
        </w:tc>
      </w:tr>
      <w:tr>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documentation</w:t>
            </w:r>
          </w:p>
        </w:tc>
        <w:tc>
          <w:tcPr>
            <w:tcW w:type="dxa" w:w="6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OpenAPI 3.0 / Swagger UI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Naming – resources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Plural nouns  (orders, users, bids)</w:t>
            </w:r>
          </w:p>
        </w:tc>
      </w:tr>
      <w:tr>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Naming – parameters</w:t>
            </w:r>
          </w:p>
        </w:tc>
        <w:tc>
          <w:tcPr>
            <w:tcW w:type="dxa" w:w="6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camelCase  (pageSize, sortBy, productId)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Error format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RFC 7807 Problem Details JSON</w:t>
            </w:r>
          </w:p>
        </w:tc>
      </w:tr>
    </w:tbl>
    <w:p>
      <w:pPr>
        <w:pStyle w:val="Heading3"/>
        <w:spacing w:after="120" w:before="200"/>
      </w:pPr>
      <w:r>
        <w:rPr>
          <w:rFonts w:ascii="Arial" w:cs="Arial" w:eastAsia="Arial" w:hAnsi="Arial"/>
          <w:b/>
          <w:bCs/>
          <w:i w:val="false"/>
          <w:iCs w:val="false"/>
          <w:color w:val="006060"/>
          <w:sz w:val="22"/>
          <w:szCs w:val="22"/>
        </w:rPr>
        <w:t xml:space="preserve">HTTP Status Codes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Code</w:t>
            </w:r>
          </w:p>
        </w:tc>
        <w:tc>
          <w:tcPr>
            <w:tcW w:type="dxa" w:w="24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Meaning</w:t>
            </w:r>
          </w:p>
        </w:tc>
        <w:tc>
          <w:tcPr>
            <w:tcW w:type="dxa" w:w="61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When Used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Successful GET, PUT, PATCH</w:t>
            </w:r>
          </w:p>
        </w:tc>
      </w:tr>
      <w:tr>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201</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Created</w:t>
            </w:r>
          </w:p>
        </w:tc>
        <w:tc>
          <w:tcPr>
            <w:tcW w:type="dxa" w:w="6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Successful POST that creates a resource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No Content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Successful DELETE</w:t>
            </w:r>
          </w:p>
        </w:tc>
      </w:tr>
      <w:tr>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400</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Bad Request</w:t>
            </w:r>
          </w:p>
        </w:tc>
        <w:tc>
          <w:tcPr>
            <w:tcW w:type="dxa" w:w="6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Input validation failure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Unauthorized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Missing or invalid bearer token</w:t>
            </w:r>
          </w:p>
        </w:tc>
      </w:tr>
      <w:tr>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403</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Forbidden</w:t>
            </w:r>
          </w:p>
        </w:tc>
        <w:tc>
          <w:tcPr>
            <w:tcW w:type="dxa" w:w="6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Authenticated but lacking permission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404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Not Found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Resource does not exist</w:t>
            </w:r>
          </w:p>
        </w:tc>
      </w:tr>
      <w:tr>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409</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Conflict</w:t>
            </w:r>
          </w:p>
        </w:tc>
        <w:tc>
          <w:tcPr>
            <w:tcW w:type="dxa" w:w="6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Business-rule violation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422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Unprocessable Entity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Semantic error in payload</w:t>
            </w:r>
          </w:p>
        </w:tc>
      </w:tr>
      <w:tr>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429</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Too Many Requests</w:t>
            </w:r>
          </w:p>
        </w:tc>
        <w:tc>
          <w:tcPr>
            <w:tcW w:type="dxa" w:w="6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Rate limit exceeded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Internal Server Error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Unhandled server fault</w:t>
            </w:r>
          </w:p>
        </w:tc>
      </w:tr>
      <w:tr>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503</w:t>
            </w:r>
          </w:p>
        </w:tc>
        <w:tc>
          <w:tcPr>
            <w:tcW w:type="dxa" w:w="2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Service Unavailable</w:t>
            </w:r>
          </w:p>
        </w:tc>
        <w:tc>
          <w:tcPr>
            <w:tcW w:type="dxa" w:w="6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Maintenance / circuit open</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6.2  API Response Envelope</w:t>
      </w:r>
    </w:p>
    <w:p>
      <w:pPr>
        <w:shd w:fill="F0F4F8" w:val="clear"/>
        <w:spacing w:after="80" w:before="80"/>
        <w:ind w:left="360" w:right="360"/>
      </w:pPr>
      <w:r>
        <w:rPr>
          <w:rFonts w:ascii="Courier New" w:cs="Courier New" w:eastAsia="Courier New" w:hAnsi="Courier New"/>
          <w:color w:val="1A1A2E"/>
          <w:sz w:val="16"/>
          <w:szCs w:val="16"/>
        </w:rPr>
        <w:t xml:space="preserve">// Success response
{
  "success": true,
  "data": { /* resource */ },
  "meta": { "requestId": "...", "timestamp": "2026-04-25T14:30:00Z", "version": "1.0.0" },
  "pagination": { "cursor": "eyJpZCI6MTAwfQ==", "hasMore": true, "totalCount": 1250 },
  "errors": null
}
// Error response
{
  "success": false,
  "data": null,
  "errors": [{ "code": "VALIDATION_ERROR", "field": "quantity",
               "message": "Quantity must be greater than zero" }]
}</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6.3  Key Endpoint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500"/>
        <w:gridCol w:w="4160"/>
      </w:tblGrid>
      <w:tr>
        <w:tc>
          <w:tcPr>
            <w:tcW w:type="dxa" w:w="2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Endpoint</w:t>
            </w:r>
          </w:p>
        </w:tc>
        <w:tc>
          <w:tcPr>
            <w:tcW w:type="dxa" w:w="9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Method</w:t>
            </w:r>
          </w:p>
        </w:tc>
        <w:tc>
          <w:tcPr>
            <w:tcW w:type="dxa" w:w="1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Auth</w:t>
            </w:r>
          </w:p>
        </w:tc>
        <w:tc>
          <w:tcPr>
            <w:tcW w:type="dxa" w:w="41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/v1/auth/register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Register new user – triggers OTP</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/v1/auth/verify-otp</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None</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Verify OTP – returns JWT tokens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/v1/auth/refresh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Refresh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Refresh access token</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/v1/auth/logout</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Revoke session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/v1/users/me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Current user profile + grade + wallet</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/v1/users/me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PATCH</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Update profile fields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/v1/users/me/kyc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Submit KYC documents (multipart)</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/v1/users/me/kyc/status</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GET</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Poll KYC review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/v1/users/me/bank-accounts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Add bank account (IBAN)</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/v1/users/{id}/grade</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GET</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Bearer+Gold</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View user grade (Gold Members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/v1/orders/sell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Bearer+Seller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Create sell order</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/v1/orders/sell</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GET</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Trading board (paginated, filterable)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/v1/orders/sell/{id}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Full sell order detail</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/v1/orders/sell/{id}/bids</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Bearer+Buyer</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Place bid on sell order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/v1/orders/sell/{id}/match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Bearer+Seller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Execute match (manual)</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/v1/matches/{id}</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GET</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 detail + lifecycle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/v1/matches/{id}/settlement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Confirm settlement (seller)</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/v1/matches/{id}/delivery</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Confirm delivery (buyer)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/v1/payments/commission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 commission invoice</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/v1/complaints</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w:t>
            </w:r>
          </w:p>
        </w:tc>
        <w:tc>
          <w:tcPr>
            <w:tcW w:type="dxa" w:w="1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File complaint against trade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/v1/complaints/{id}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Bearer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Complaint status &amp; messages</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6.4  Sample Requests &amp; Responses</w:t>
      </w:r>
    </w:p>
    <w:p>
      <w:pPr>
        <w:pStyle w:val="Heading3"/>
        <w:spacing w:after="120" w:before="200"/>
      </w:pPr>
      <w:r>
        <w:rPr>
          <w:rFonts w:ascii="Arial" w:cs="Arial" w:eastAsia="Arial" w:hAnsi="Arial"/>
          <w:b/>
          <w:bCs/>
          <w:i w:val="false"/>
          <w:iCs w:val="false"/>
          <w:color w:val="006060"/>
          <w:sz w:val="22"/>
          <w:szCs w:val="22"/>
        </w:rPr>
        <w:t xml:space="preserve">POST /v1/orders/sell  –  Request</w:t>
      </w:r>
    </w:p>
    <w:p>
      <w:pPr>
        <w:shd w:fill="F0F4F8" w:val="clear"/>
        <w:spacing w:after="80" w:before="80"/>
        <w:ind w:left="360" w:right="360"/>
      </w:pPr>
      <w:r>
        <w:rPr>
          <w:rFonts w:ascii="Courier New" w:cs="Courier New" w:eastAsia="Courier New" w:hAnsi="Courier New"/>
          <w:color w:val="1A1A2E"/>
          <w:sz w:val="16"/>
          <w:szCs w:val="16"/>
        </w:rPr>
        <w:t xml:space="preserve">POST /v1/orders/sell
Authorization: Bearer &lt;access_token&gt;
{
  "productId": 1,
  "brandId": 5,
  "quantity": { "total": 25000, "min": 5000, "tolerancePercent": 1.0 },
  "pricing":  { "basePrice": 4500000, "lockBelowBase": true },
  "sale":     { "type": "ready", "paymentTerms": "cash" },
  "delivery": { "type": "exWork", "city": "Tehran", "expectedDays": 3 },
  "auction":  { "type": "open", "validUntil": "2026-04-26T17:00:00Z" }
}</w:t>
      </w:r>
    </w:p>
    <w:p>
      <w:pPr>
        <w:pStyle w:val="Heading3"/>
        <w:spacing w:after="120" w:before="200"/>
      </w:pPr>
      <w:r>
        <w:rPr>
          <w:rFonts w:ascii="Arial" w:cs="Arial" w:eastAsia="Arial" w:hAnsi="Arial"/>
          <w:b/>
          <w:bCs/>
          <w:i w:val="false"/>
          <w:iCs w:val="false"/>
          <w:color w:val="006060"/>
          <w:sz w:val="22"/>
          <w:szCs w:val="22"/>
        </w:rPr>
        <w:t xml:space="preserve">POST /v1/orders/sell  –  Response (201 Created)</w:t>
      </w:r>
    </w:p>
    <w:p>
      <w:pPr>
        <w:shd w:fill="F0F4F8" w:val="clear"/>
        <w:spacing w:after="80" w:before="80"/>
        <w:ind w:left="360" w:right="360"/>
      </w:pPr>
      <w:r>
        <w:rPr>
          <w:rFonts w:ascii="Courier New" w:cs="Courier New" w:eastAsia="Courier New" w:hAnsi="Courier New"/>
          <w:color w:val="1A1A2E"/>
          <w:sz w:val="16"/>
          <w:szCs w:val="16"/>
        </w:rPr>
        <w:t xml:space="preserve">{
  "success": true,
  "data": {
    "id": "ord_550e8400-e29b",
    "orderNumber": "SO-20260425-0001",
    "status": "active",
    "product": { "name": "Copper Cathode (کاتد مس)", "code": "CU-CAT" },
    "brand":   { "name": "Sarcheshmeh (سرچشمه)" },
    "quantity": { "total": 25000, "remaining": 25000, "unit": "kg" },
    "pricing":  { "basePrice": 4500000, "totalValue": 112500000000 },
    "auction":  { "type": "open", "validUntil": "2026-04-26T17:00:00Z",
                  "remainingTime": "31:30:00" },
    "notifications": { "goldBuyers": 150, "smsSent": 150 }
  }
}</w:t>
      </w:r>
    </w:p>
    <w:p>
      <w:pPr>
        <w:pStyle w:val="Heading3"/>
        <w:spacing w:after="120" w:before="200"/>
      </w:pPr>
      <w:r>
        <w:rPr>
          <w:rFonts w:ascii="Arial" w:cs="Arial" w:eastAsia="Arial" w:hAnsi="Arial"/>
          <w:b/>
          <w:bCs/>
          <w:i w:val="false"/>
          <w:iCs w:val="false"/>
          <w:color w:val="006060"/>
          <w:sz w:val="22"/>
          <w:szCs w:val="22"/>
        </w:rPr>
        <w:t xml:space="preserve">POST /v1/orders/sell/{id}/match  –  Response (201 Created)</w:t>
      </w:r>
    </w:p>
    <w:p>
      <w:pPr>
        <w:shd w:fill="F0F4F8" w:val="clear"/>
        <w:spacing w:after="80" w:before="80"/>
        <w:ind w:left="360" w:right="360"/>
      </w:pPr>
      <w:r>
        <w:rPr>
          <w:rFonts w:ascii="Courier New" w:cs="Courier New" w:eastAsia="Courier New" w:hAnsi="Courier New"/>
          <w:color w:val="1A1A2E"/>
          <w:sz w:val="16"/>
          <w:szCs w:val="16"/>
        </w:rPr>
        <w:t xml:space="preserve">{
  "success": true,
  "data": {
    "match": {
      "id": "mtc_550e8400", "matchNumber": "MT-20260425-0001",
      "matchedPrice": 4550000, "matchedQuantity": 10000,
      "totalValue": 45500000000, "matchType": "manual"
    },
    "commission": { "total": 22750000, "seller": 9100000, "buyer": 13650000 },
    "invoices": {
      "seller": { "id": "inv_s_123", "amount": 9100000, "expiresIn": "1 hour" },
      "buyer":  { "id": "inv_b_456", "amount": 13650000, "expiresIn": "1 hour" }
    },
    "nextSteps": [
      "1. Both parties pay commission within 1 hour",
      "2. Seller issues pro-forma invoice",
      "3. Settlement of goods payment",
      "4. Physical delivery confirmation"
    ]
  }
}</w:t>
      </w:r>
    </w:p>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7: Security Architecture  (امنیت سیستم)</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7.1  Defense in Depth  (5 Layers)</w:t>
      </w:r>
    </w:p>
    <w:p>
      <w:pPr>
        <w:spacing w:after="80" w:before="140"/>
        <w:jc w:val="center"/>
      </w:pPr>
      <w:r>
        <w:drawing>
          <wp:inline distT="0" distB="0" distL="0" distR="0">
            <wp:extent cx="5715000" cy="3714750"/>
            <wp:effectExtent t="0" r="0" b="0" l="0"/>
            <wp:docPr id="1" name="Security Architecture – Defense in Depth" descr="Security Architecture – Defense in Depth" title="Security Architecture – Defense in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71475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Security Architecture – Defense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Layer</w:t>
            </w:r>
          </w:p>
        </w:tc>
        <w:tc>
          <w:tcPr>
            <w:tcW w:type="dxa" w:w="3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Components</w:t>
            </w:r>
          </w:p>
        </w:tc>
        <w:tc>
          <w:tcPr>
            <w:tcW w:type="dxa" w:w="42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 – Perimeter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Azure Front Door, WAF (OWASP CRS 3.2), DDoS Standard, Geo-blocking</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Stop known attacks at the network edge before reaching the application</w:t>
            </w:r>
          </w:p>
        </w:tc>
      </w:tr>
      <w:tr>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 – Network</w:t>
            </w:r>
          </w:p>
        </w:tc>
        <w:tc>
          <w:tcPr>
            <w:tcW w:type="dxa" w:w="3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Azure Virtual Network, NSGs, Private Endpoints, UDRs</w:t>
            </w:r>
          </w:p>
        </w:tc>
        <w:tc>
          <w:tcPr>
            <w:tcW w:type="dxa" w:w="42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Micro-segment services; no public IPs for data stores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 – Identity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Azure AD B2C, OTP 2FA, TOTP, RBAC + Claims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Strongly authenticate and authorise every request</w:t>
            </w:r>
          </w:p>
        </w:tc>
      </w:tr>
      <w:tr>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 – Application</w:t>
            </w:r>
          </w:p>
        </w:tc>
        <w:tc>
          <w:tcPr>
            <w:tcW w:type="dxa" w:w="3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JWT RS256 validation, CORS, CSP headers, Rate limiting, Anti-CSRF</w:t>
            </w:r>
          </w:p>
        </w:tc>
        <w:tc>
          <w:tcPr>
            <w:tcW w:type="dxa" w:w="42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Block application-layer attacks and enforce business permissions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 – Data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TDE (AES-256), Always Encrypted (PII), Data Masking, Audit Logging</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Protect data at rest and ensure full traceability</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7.2  Authentication Flow  (OAuth 2.0 + JWT)</w:t>
      </w:r>
    </w:p>
    <w:p>
      <w:pPr>
        <w:spacing w:after="80" w:before="140"/>
        <w:jc w:val="center"/>
      </w:pPr>
      <w:r>
        <w:drawing>
          <wp:inline distT="0" distB="0" distL="0" distR="0">
            <wp:extent cx="6096000" cy="3619500"/>
            <wp:effectExtent t="0" r="0" b="0" l="0"/>
            <wp:docPr id="1" name="OAuth 2.0 + JWT Authentication Flow" descr="OAuth 2.0 + JWT Authentication Flow" title="OAuth 2.0 + JWT Authent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61950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OAuth 2.0 + JWT Authentication Flow</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7.3  JWT Token Structure</w:t>
      </w:r>
    </w:p>
    <w:p>
      <w:pPr>
        <w:shd w:fill="F0F4F8" w:val="clear"/>
        <w:spacing w:after="80" w:before="80"/>
        <w:ind w:left="360" w:right="360"/>
      </w:pPr>
      <w:r>
        <w:rPr>
          <w:rFonts w:ascii="Courier New" w:cs="Courier New" w:eastAsia="Courier New" w:hAnsi="Courier New"/>
          <w:color w:val="1A1A2E"/>
          <w:sz w:val="16"/>
          <w:szCs w:val="16"/>
        </w:rPr>
        <w:t xml:space="preserve">{
  "header":  { "alg": "RS256", "typ": "JWT", "kid": "key-2026-04" },
  "payload": {
    "iss": "https://auth.metaltrade.ir",
    "sub": "550e8400-e29b-41d4-a716-446655440000",
    "aud": ["api.metaltrade.ir"],
    "exp": 1714056600,  "iat": 1714053000,
    "user":  { "phone": "091*****89", "type": 1, "membershipLevel": 3, "kycStatus": 2 },
    "roles": ["Buyer", "Seller", "GoldMember"],
    "permissions": ["order:create","order:read","bid:create","match:execute",...],
    "claims": { "seller_grade":"A", "buyer_grade":"B+", "monthly_limit":50000000000 },
    "session": { "id": "sess_abc123", "ip": "x.x.x.x", "deviceId": "dev_xyz" }
  }
}</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7.4  Role-Permission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Role</w:t>
            </w:r>
          </w:p>
        </w:tc>
        <w:tc>
          <w:tcPr>
            <w:tcW w:type="dxa" w:w="2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Description</w:t>
            </w:r>
          </w:p>
        </w:tc>
        <w:tc>
          <w:tcPr>
            <w:tcW w:type="dxa" w:w="52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Key Permissions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Guest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Unauthenticated</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public:read, prices:read, products:read</w:t>
            </w:r>
          </w:p>
        </w:tc>
      </w:tr>
      <w:tr>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Registered, no KYC</w:t>
            </w:r>
          </w:p>
        </w:tc>
        <w:tc>
          <w:tcPr>
            <w:tcW w:type="dxa" w:w="52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user:read, user:update, kyc:submit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Buyer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KYC-verified buyer</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order:read, bid:create, bid:cancel, payment:create, complaint:create</w:t>
            </w:r>
          </w:p>
        </w:tc>
      </w:tr>
      <w:tr>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Seller</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KYC-verified seller</w:t>
            </w:r>
          </w:p>
        </w:tc>
        <w:tc>
          <w:tcPr>
            <w:tcW w:type="dxa" w:w="52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order:create/update/cancel, match:execute, invoice:create, payment:create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GoldMember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Gold-tier member</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All Buyer+Seller + grade:read:others, order:credit, analytics:read, priority:notif</w:t>
            </w:r>
          </w:p>
        </w:tc>
      </w:tr>
      <w:tr>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Operator</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Trading operations</w:t>
            </w:r>
          </w:p>
        </w:tc>
        <w:tc>
          <w:tcPr>
            <w:tcW w:type="dxa" w:w="52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match:monitor, complaint:respond, kyc:review, user:read:basic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System administrator</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(all) – except audit:delete (permanently forbidden)</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7.5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Protection</w:t>
            </w:r>
          </w:p>
        </w:tc>
        <w:tc>
          <w:tcPr>
            <w:tcW w:type="dxa" w:w="2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Method</w:t>
            </w:r>
          </w:p>
        </w:tc>
        <w:tc>
          <w:tcPr>
            <w:tcW w:type="dxa" w:w="46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Database (at rest)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TDE – AES-256</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Keys stored in Azure Key Vault; 90-day rotation</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PII columns</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Always Encrypted</w:t>
            </w:r>
          </w:p>
        </w:tc>
        <w:tc>
          <w:tcPr>
            <w:tcW w:type="dxa" w:w="4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NationalCode, IBAN, PasswordHash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External transit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TLS 1.3</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TLS_AES_256_GCM_SHA384; HSTS max-age=31536000</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Internal transit</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mTLS via Linkerd</w:t>
            </w:r>
          </w:p>
        </w:tc>
        <w:tc>
          <w:tcPr>
            <w:tcW w:type="dxa" w:w="4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Internal CA; certificate auto-rotation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Passwords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Argon2id</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Memory=64 MB, Iterations=3, Salt=16 B, Hash=32 B</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keys</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HMAC-SHA256</w:t>
            </w:r>
          </w:p>
        </w:tc>
        <w:tc>
          <w:tcPr>
            <w:tcW w:type="dxa" w:w="4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90-day rotation; stored hashed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Phone / NationalCode (display)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Dynamic Data Masking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0912***6789 for non-privileged roles</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Files (Blob)</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Storage Service Encryption</w:t>
            </w:r>
          </w:p>
        </w:tc>
        <w:tc>
          <w:tcPr>
            <w:tcW w:type="dxa" w:w="4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AES-256; Microsoft-managed keys</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7.6  Security Monitoring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660"/>
      </w:tblGrid>
      <w:tr>
        <w:tc>
          <w:tcPr>
            <w:tcW w:type="dxa" w:w="2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Alert</w:t>
            </w:r>
          </w:p>
        </w:tc>
        <w:tc>
          <w:tcPr>
            <w:tcW w:type="dxa" w:w="2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Condition</w:t>
            </w:r>
          </w:p>
        </w:tc>
        <w:tc>
          <w:tcPr>
            <w:tcW w:type="dxa" w:w="12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Severity</w:t>
            </w:r>
          </w:p>
        </w:tc>
        <w:tc>
          <w:tcPr>
            <w:tcW w:type="dxa" w:w="36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Auto-Action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BruteForce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 failed logins / 5 min / 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High</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Block IP 1 hr + notify security</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SuspiciousLogin</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New geo &gt; 500 km in &lt; 2 hrs</w:t>
            </w:r>
          </w:p>
        </w:tc>
        <w:tc>
          <w:tcPr>
            <w:tcW w:type="dxa" w:w="1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Medium</w:t>
            </w:r>
          </w:p>
        </w:tc>
        <w:tc>
          <w:tcPr>
            <w:tcW w:type="dxa" w:w="3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Step-up auth + notify user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PrivilegeEscalation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Unauthorised access to Admin/Financial resources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Critical</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Block session + create incident</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DataExfiltration</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Download &gt; 10 MB/hr (non-admin)</w:t>
            </w:r>
          </w:p>
        </w:tc>
        <w:tc>
          <w:tcPr>
            <w:tcW w:type="dxa" w:w="1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High</w:t>
            </w:r>
          </w:p>
        </w:tc>
        <w:tc>
          <w:tcPr>
            <w:tcW w:type="dxa" w:w="3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Throttle + review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SQLInjection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WAF pattern match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Critical</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Block IP 24 hr + notify</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HighErrorRate</w:t>
            </w:r>
          </w:p>
        </w:tc>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5xx &gt; 1 % for 5 min</w:t>
            </w:r>
          </w:p>
        </w:tc>
        <w:tc>
          <w:tcPr>
            <w:tcW w:type="dxa" w:w="1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High</w:t>
            </w:r>
          </w:p>
        </w:tc>
        <w:tc>
          <w:tcPr>
            <w:tcW w:type="dxa" w:w="36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PagerDuty + auto-scale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CertExpiry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Certificate expires in &lt; 30 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Trigger renewal workflow</w:t>
            </w:r>
          </w:p>
        </w:tc>
      </w:tr>
    </w:tbl>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8: DevOps &amp; CI/CD</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8.1  CI/CD Pipeline</w:t>
      </w:r>
    </w:p>
    <w:p>
      <w:pPr>
        <w:spacing w:after="80" w:before="140"/>
        <w:jc w:val="center"/>
      </w:pPr>
      <w:r>
        <w:drawing>
          <wp:inline distT="0" distB="0" distL="0" distR="0">
            <wp:extent cx="6286500" cy="2505075"/>
            <wp:effectExtent t="0" r="0" b="0" l="0"/>
            <wp:docPr id="1" name="CI/CD Pipeline – Source to Production" descr="CI/CD Pipeline – Source to Production" title="CI/CD Pipeline – Source to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86500" cy="250507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CI/CD Pipeline – Source to Production</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8.2  Pipeline Stage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c>
          <w:tcPr>
            <w:tcW w:type="dxa" w:w="22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Stage</w:t>
            </w:r>
          </w:p>
        </w:tc>
        <w:tc>
          <w:tcPr>
            <w:tcW w:type="dxa" w:w="1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Tool</w:t>
            </w:r>
          </w:p>
        </w:tc>
        <w:tc>
          <w:tcPr>
            <w:tcW w:type="dxa" w:w="3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Gate Criteria</w:t>
            </w:r>
          </w:p>
        </w:tc>
        <w:tc>
          <w:tcPr>
            <w:tcW w:type="dxa" w:w="23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On Failure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Source Control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GitHub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 requires 2 approvals; protected branches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 blocked</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Build &amp; Compile</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GitHub Actions</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Zero build errors; warnings as errors</w:t>
            </w:r>
          </w:p>
        </w:tc>
        <w:tc>
          <w:tcPr>
            <w:tcW w:type="dxa" w:w="2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Pipeline fails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Unit Tests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xUnit + Jest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Coverage ≥ 80 %; zero failures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Pipeline fails</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Security Scan</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Snyk + SonarQube</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No critical/high CVEs; SonarQuality ≥ B</w:t>
            </w:r>
          </w:p>
        </w:tc>
        <w:tc>
          <w:tcPr>
            <w:tcW w:type="dxa" w:w="2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Pipeline fails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Docker Build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Docker multi-stage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Image size &lt; 500 MB; no root user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Pipeline fails</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Push to ACR</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Azure CR</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Trivy scan – no critical vulns</w:t>
            </w:r>
          </w:p>
        </w:tc>
        <w:tc>
          <w:tcPr>
            <w:tcW w:type="dxa" w:w="2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Pipeline fails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Deploy Dev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Helm + AKS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All pods Running; health checks pass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Rollback</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Integration Tests</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Postman/Newman</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100 % API contract tests pass</w:t>
            </w:r>
          </w:p>
        </w:tc>
        <w:tc>
          <w:tcPr>
            <w:tcW w:type="dxa" w:w="2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Rollback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Deploy Staging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Helm Blue-Green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Zero-downtime switch; smoke tests pass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Rollback</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E2E Tests</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Playwright</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All critical user journeys pass</w:t>
            </w:r>
          </w:p>
        </w:tc>
        <w:tc>
          <w:tcPr>
            <w:tcW w:type="dxa" w:w="2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Block promotion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Manual Approval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GitHub Environments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Required approver sign-off</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Block</w:t>
            </w:r>
          </w:p>
        </w:tc>
      </w:tr>
      <w:tr>
        <w:tc>
          <w:tcPr>
            <w:tcW w:type="dxa" w:w="22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Deploy Production</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Helm Rolling</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Canary 5 % → 25 % → 100 %  over 30 min</w:t>
            </w:r>
          </w:p>
        </w:tc>
        <w:tc>
          <w:tcPr>
            <w:tcW w:type="dxa" w:w="23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Auto rollback</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8.3  Kubernetes &amp; Auto-scaling</w:t>
      </w:r>
    </w:p>
    <w:p>
      <w:pPr>
        <w:shd w:fill="F0F4F8" w:val="clear"/>
        <w:spacing w:after="80" w:before="80"/>
        <w:ind w:left="360" w:right="360"/>
      </w:pPr>
      <w:r>
        <w:rPr>
          <w:rFonts w:ascii="Courier New" w:cs="Courier New" w:eastAsia="Courier New" w:hAnsi="Courier New"/>
          <w:color w:val="1A1A2E"/>
          <w:sz w:val="16"/>
          <w:szCs w:val="16"/>
        </w:rPr>
        <w:t xml:space="preserve"># Helm values.yaml – Order Service (Production)
replicaCount: 3
autoscaling:
  enabled: true
  minReplicas: 3
  maxReplicas: 20
  targetCPUUtilizationPercentage: 70
  targetMemoryUtilizationPercentage: 80
resources:
  limits:   { cpu: 1000m, memory: 1Gi }
  requests: { cpu: 250m,  memory: 256Mi }
podDisruptionBudget:
  minAvailable: 2
affinity:
  podAntiAffinity:
    topologyKey: topology.kubernetes.io/zone   # Spread across AZs
livenessProbe:  { httpGet: { path: /health/live,  port: 80 }, initialDelaySeconds: 30 }
readinessProbe: { httpGet: { path: /health/ready, port: 80 }, initialDelaySeconds: 10 }</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8.4  Infrastructure as Code  (Terraform)</w:t>
      </w:r>
    </w:p>
    <w:p>
      <w:pPr>
        <w:shd w:fill="F0F4F8" w:val="clear"/>
        <w:spacing w:after="80" w:before="80"/>
        <w:ind w:left="360" w:right="360"/>
      </w:pPr>
      <w:r>
        <w:rPr>
          <w:rFonts w:ascii="Courier New" w:cs="Courier New" w:eastAsia="Courier New" w:hAnsi="Courier New"/>
          <w:color w:val="1A1A2E"/>
          <w:sz w:val="16"/>
          <w:szCs w:val="16"/>
        </w:rPr>
        <w:t xml:space="preserve"># Key Terraform resources (main.tf)
resource "azurerm_kubernetes_cluster" "main" {
  kubernetes_version = "1.28"
  default_node_pool {
    vm_size = "Standard_D4s_v3"
    enable_auto_scaling = true
    min_count = 3; max_count = 10
    availability_zones = ["1","2","3"]
  }
}
resource "azurerm_mssql_database" "main" {
  sku_name       = "BC_Gen5_8"   # Business Critical
  zone_redundant = true
  short_term_retention_policy { retention_days = 35 }
  long_term_retention_policy  { yearly_retention = "P5Y" }
}
resource "azurerm_redis_cache" "main" {
  sku_name = "Premium"; capacity = 2; zones = ["1","2"]
}</w:t>
      </w:r>
    </w:p>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9: Monitoring &amp; Observability  (مانیتورینگ)</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9.1  Observability Stack</w:t>
      </w:r>
    </w:p>
    <w:p>
      <w:pPr>
        <w:spacing w:after="80" w:before="140"/>
        <w:jc w:val="center"/>
      </w:pPr>
      <w:r>
        <w:drawing>
          <wp:inline distT="0" distB="0" distL="0" distR="0">
            <wp:extent cx="6096000" cy="3286125"/>
            <wp:effectExtent t="0" r="0" b="0" l="0"/>
            <wp:docPr id="1" name="Observability Stack – End-to-End" descr="Observability Stack – End-to-End" title="Observability Stack – End-to-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28612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Observability Stack – End-to-End</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9.2  SLIs /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400"/>
        <w:gridCol w:w="2960"/>
      </w:tblGrid>
      <w:tr>
        <w:tc>
          <w:tcPr>
            <w:tcW w:type="dxa" w:w="2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Service</w:t>
            </w:r>
          </w:p>
        </w:tc>
        <w:tc>
          <w:tcPr>
            <w:tcW w:type="dxa" w:w="16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Availability SLO</w:t>
            </w:r>
          </w:p>
        </w:tc>
        <w:tc>
          <w:tcPr>
            <w:tcW w:type="dxa" w:w="14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Latency P95</w:t>
            </w:r>
          </w:p>
        </w:tc>
        <w:tc>
          <w:tcPr>
            <w:tcW w:type="dxa" w:w="14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Error Rate</w:t>
            </w:r>
          </w:p>
        </w:tc>
        <w:tc>
          <w:tcPr>
            <w:tcW w:type="dxa" w:w="29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Special SLO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Gateway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99.95 %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200 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0.1 %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 Engine</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99.99 %</w:t>
            </w:r>
          </w:p>
        </w:tc>
        <w:tc>
          <w:tcPr>
            <w:tcW w:type="dxa" w:w="1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50 ms</w:t>
            </w:r>
          </w:p>
        </w:tc>
        <w:tc>
          <w:tcPr>
            <w:tcW w:type="dxa" w:w="1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0.01 %</w:t>
            </w:r>
          </w:p>
        </w:tc>
        <w:tc>
          <w:tcPr>
            <w:tcW w:type="dxa" w:w="29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 accuracy 100 %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 Service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99.9 %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150 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0.1 %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 processing &lt; 5 s</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Payment Service</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99.99 %</w:t>
            </w:r>
          </w:p>
        </w:tc>
        <w:tc>
          <w:tcPr>
            <w:tcW w:type="dxa" w:w="1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1,000 ms</w:t>
            </w:r>
          </w:p>
        </w:tc>
        <w:tc>
          <w:tcPr>
            <w:tcW w:type="dxa" w:w="1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0.5 %</w:t>
            </w:r>
          </w:p>
        </w:tc>
        <w:tc>
          <w:tcPr>
            <w:tcW w:type="dxa" w:w="29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Tx success &gt; 99.5 %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Real-time (SignalR)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99.9 %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100 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0.1 %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Delivery rate &gt; 99.9 %</w:t>
            </w:r>
          </w:p>
        </w:tc>
      </w:tr>
      <w:tr>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Auth Service</w:t>
            </w:r>
          </w:p>
        </w:tc>
        <w:tc>
          <w:tcPr>
            <w:tcW w:type="dxa" w:w="16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99.99 %</w:t>
            </w:r>
          </w:p>
        </w:tc>
        <w:tc>
          <w:tcPr>
            <w:tcW w:type="dxa" w:w="1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200 ms</w:t>
            </w:r>
          </w:p>
        </w:tc>
        <w:tc>
          <w:tcPr>
            <w:tcW w:type="dxa" w:w="14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0.1 %</w:t>
            </w:r>
          </w:p>
        </w:tc>
        <w:tc>
          <w:tcPr>
            <w:tcW w:type="dxa" w:w="29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Grading Service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99.9 %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500 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&lt; 0.1 %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Grade accuracy 100 %</w:t>
            </w:r>
          </w:p>
        </w:tc>
      </w:tr>
    </w:tbl>
    <w:p>
      <w:pPr>
        <w:shd w:fill="E8F0FB" w:val="clear"/>
        <w:spacing w:after="100" w:before="100"/>
        <w:ind w:left="360"/>
      </w:pPr>
      <w:r>
        <w:rPr>
          <w:rFonts w:ascii="Arial" w:cs="Arial" w:eastAsia="Arial" w:hAnsi="Arial"/>
          <w:b/>
          <w:bCs/>
          <w:i w:val="false"/>
          <w:iCs w:val="false"/>
          <w:color w:val="1E3C78"/>
          <w:sz w:val="20"/>
          <w:szCs w:val="20"/>
        </w:rPr>
        <w:t xml:space="preserve">Error Budget: </w:t>
      </w:r>
      <w:r>
        <w:rPr>
          <w:rFonts w:ascii="Arial" w:cs="Arial" w:eastAsia="Arial" w:hAnsi="Arial"/>
          <w:b w:val="false"/>
          <w:bCs w:val="false"/>
          <w:i w:val="false"/>
          <w:iCs w:val="false"/>
          <w:color w:val="222222"/>
          <w:sz w:val="20"/>
          <w:szCs w:val="20"/>
        </w:rPr>
        <w:t xml:space="preserve">Monthly allowance = 0.05 % downtime = 21.6 min/month. Alert fires at 50 % consumed.</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9.3  Key Dashboards &amp; Alerts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60"/>
      </w:tblGrid>
      <w:tr>
        <w:tc>
          <w:tcPr>
            <w:tcW w:type="dxa" w:w="2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Dashboard / Panel</w:t>
            </w:r>
          </w:p>
        </w:tc>
        <w:tc>
          <w:tcPr>
            <w:tcW w:type="dxa" w:w="3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Metric</w:t>
            </w:r>
          </w:p>
        </w:tc>
        <w:tc>
          <w:tcPr>
            <w:tcW w:type="dxa" w:w="18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Tool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Trading Board Health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Active orders, bids/min, match rate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Grafana</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GMV &amp; Revenue</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Rolling GMV, commission earned, daily trend</w:t>
            </w:r>
          </w:p>
        </w:tc>
        <w:tc>
          <w:tcPr>
            <w:tcW w:type="dxa" w:w="1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Grafana + Azure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API Performance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P50/P95/P99 by service &amp; endpoint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Application Insights</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Error Rate Trend</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5xx rate over time by service</w:t>
            </w:r>
          </w:p>
        </w:tc>
        <w:tc>
          <w:tcPr>
            <w:tcW w:type="dxa" w:w="1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Application Insights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Kubernetes Cluster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Pod count, CPU/memory, HPA events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Grafana + Prometheus</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Database Health</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Query duration, lock waits, DTU %</w:t>
            </w:r>
          </w:p>
        </w:tc>
        <w:tc>
          <w:tcPr>
            <w:tcW w:type="dxa" w:w="1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Azure Monitor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Security Events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Failed logins, WAF blocks, suspicious IPs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Log Analytics</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 Funnel</w:t>
            </w:r>
          </w:p>
        </w:tc>
        <w:tc>
          <w:tcPr>
            <w:tcW w:type="dxa" w:w="3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Registration → KYC → First trade</w:t>
            </w:r>
          </w:p>
        </w:tc>
        <w:tc>
          <w:tcPr>
            <w:tcW w:type="dxa" w:w="1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Grafana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SLO Burn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Error-budget consumption over rolling window</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Grafana + Prometheus</w:t>
            </w:r>
          </w:p>
        </w:tc>
      </w:tr>
    </w:tbl>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Chapter 10: Execution Plan &amp; Budget  (برنامه اجرایی و بودجه)</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10.1  Project Phasing  (Gantt)</w:t>
      </w:r>
    </w:p>
    <w:p>
      <w:pPr>
        <w:spacing w:after="80" w:before="140"/>
        <w:jc w:val="center"/>
      </w:pPr>
      <w:r>
        <w:drawing>
          <wp:inline distT="0" distB="0" distL="0" distR="0">
            <wp:extent cx="6477000" cy="3409950"/>
            <wp:effectExtent t="0" r="0" b="0" l="0"/>
            <wp:docPr id="1" name="Project Timeline – Gantt Chart (2026-2027)" descr="Project Timeline – Gantt Chart (2026-2027)" title="Project Timeline – Gantt Chart (2026-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477000" cy="3409950"/>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Project Timeline – Gantt Chart (2026-2027)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000"/>
        <w:gridCol w:w="1760"/>
      </w:tblGrid>
      <w:tr>
        <w:tc>
          <w:tcPr>
            <w:tcW w:type="dxa" w:w="1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Phase</w:t>
            </w:r>
          </w:p>
        </w:tc>
        <w:tc>
          <w:tcPr>
            <w:tcW w:type="dxa" w:w="1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Period</w:t>
            </w:r>
          </w:p>
        </w:tc>
        <w:tc>
          <w:tcPr>
            <w:tcW w:type="dxa" w:w="4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Key Deliverables</w:t>
            </w:r>
          </w:p>
        </w:tc>
        <w:tc>
          <w:tcPr>
            <w:tcW w:type="dxa" w:w="17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Success Milestone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Phase 0 – Preparation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Q1 2026 ✓</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Requirements, architecture design, infrastructure baseline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Architecture approved</w:t>
            </w:r>
          </w:p>
        </w:tc>
      </w:tr>
      <w:tr>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Phase 1 – MVP</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Q2 2026</w:t>
            </w:r>
          </w:p>
        </w:tc>
        <w:tc>
          <w:tcPr>
            <w:tcW w:type="dxa" w:w="4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 Service, Order Service, Matching Engine, Payment Service, Frontend MVP</w:t>
            </w:r>
          </w:p>
        </w:tc>
        <w:tc>
          <w:tcPr>
            <w:tcW w:type="dxa" w:w="1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Beta Launch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Phase 2 – Core Dev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Q3 2026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Advanced KYC, Grading &amp; Complaint systems, Push notifications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Production Launch</w:t>
            </w:r>
          </w:p>
        </w:tc>
      </w:tr>
      <w:tr>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Phase 3 – Ancillary</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Q4 2026</w:t>
            </w:r>
          </w:p>
        </w:tc>
        <w:tc>
          <w:tcPr>
            <w:tcW w:type="dxa" w:w="4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Inspection, Logistics, Insurance, Warehouse modules</w:t>
            </w:r>
          </w:p>
        </w:tc>
        <w:tc>
          <w:tcPr>
            <w:tcW w:type="dxa" w:w="1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Full-featured platform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Phase 4 – Intelligence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2027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Price-prediction AI, Behaviour analytics, Advanced BI &amp; reporting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Smart platform</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10.2  Grading System Detail</w:t>
      </w:r>
    </w:p>
    <w:p>
      <w:pPr>
        <w:spacing w:after="80" w:before="140"/>
        <w:jc w:val="center"/>
      </w:pPr>
      <w:r>
        <w:drawing>
          <wp:inline distT="0" distB="0" distL="0" distR="0">
            <wp:extent cx="5905500" cy="3552825"/>
            <wp:effectExtent t="0" r="0" b="0" l="0"/>
            <wp:docPr id="1" name="Grading System – Score Weights &amp; Grade Levels" descr="Grading System – Score Weights &amp; Grade Levels" title="Grading System – Score Weights &amp; Grade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55282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Grading System – Score Weights &amp; Grade Levels</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10.3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Role</w:t>
            </w:r>
          </w:p>
        </w:tc>
        <w:tc>
          <w:tcPr>
            <w:tcW w:type="dxa" w:w="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w:t>
            </w:r>
          </w:p>
        </w:tc>
        <w:tc>
          <w:tcPr>
            <w:tcW w:type="dxa" w:w="57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Project Manager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Project delivery, stakeholder management, timeline &amp; budget</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Product Owner</w:t>
            </w:r>
          </w:p>
        </w:tc>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Product vision, backlog prioritisation, business requirements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Solution Architect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Overall architecture design, governance, technical standards</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Security Architect</w:t>
            </w:r>
          </w:p>
        </w:tc>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0.5</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Security review, threat modelling, penetration-test oversight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Tech Lead – Backend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Backend technical leadership, code reviews, standards enforcement</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Senior .NET Developer</w:t>
            </w:r>
          </w:p>
        </w:tc>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Core service development (Order, Matching, Payment)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Mid-level .NET Developer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Feature development, unit testing, bug fixing</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Junior Developer</w:t>
            </w:r>
          </w:p>
        </w:tc>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Supporting tasks, test coverage,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Tech Lead – Frontend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Frontend architecture, design-system ownership</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Senior React Developer</w:t>
            </w:r>
          </w:p>
        </w:tc>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Complex UI, performance optimisation, state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Mid-level React Developer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Standard UI components, form validation, API integration</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DevOps Engineer</w:t>
            </w:r>
          </w:p>
        </w:tc>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CI/CD pipelines, AKS, infrastructure as code, monitoring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Site Reliability Engineer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Production reliability, on-call rota, SLO management</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QA Lead + QA Engineers</w:t>
            </w:r>
          </w:p>
        </w:tc>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Test strategy, automation suite, regression, performance testing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Database Administrator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Schema design, query optimisation, backup &amp; recovery</w:t>
            </w:r>
          </w:p>
        </w:tc>
      </w:tr>
      <w:tr>
        <w:tc>
          <w:tcPr>
            <w:tcW w:type="dxa" w:w="2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UI/UX Designer</w:t>
            </w:r>
          </w:p>
        </w:tc>
        <w:tc>
          <w:tcPr>
            <w:tcW w:type="dxa" w:w="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c>
          <w:tcPr>
            <w:tcW w:type="dxa" w:w="5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User research, wireframes, design system, accessibility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Business Analyst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Requirements elicitation, process modelling, user stories</w:t>
            </w:r>
          </w:p>
        </w:tc>
      </w:tr>
    </w:tbl>
    <w:p>
      <w:pPr>
        <w:shd w:fill="E8F0FB" w:val="clear"/>
        <w:spacing w:after="100" w:before="100"/>
        <w:ind w:left="360"/>
      </w:pPr>
      <w:r>
        <w:rPr>
          <w:rFonts w:ascii="Arial" w:cs="Arial" w:eastAsia="Arial" w:hAnsi="Arial"/>
          <w:b/>
          <w:bCs/>
          <w:i w:val="false"/>
          <w:iCs w:val="false"/>
          <w:color w:val="1E3C78"/>
          <w:sz w:val="20"/>
          <w:szCs w:val="20"/>
        </w:rPr>
        <w:t xml:space="preserve">Total Headcount: </w:t>
      </w:r>
      <w:r>
        <w:rPr>
          <w:rFonts w:ascii="Arial" w:cs="Arial" w:eastAsia="Arial" w:hAnsi="Arial"/>
          <w:b w:val="false"/>
          <w:bCs w:val="false"/>
          <w:i w:val="false"/>
          <w:iCs w:val="false"/>
          <w:color w:val="222222"/>
          <w:sz w:val="20"/>
          <w:szCs w:val="20"/>
        </w:rPr>
        <w:t xml:space="preserve">32 FTEs across all roles.</w:t>
      </w:r>
    </w:p>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10.4  Budget (2-Year)</w:t>
      </w:r>
    </w:p>
    <w:p>
      <w:pPr>
        <w:spacing w:after="80" w:before="140"/>
        <w:jc w:val="center"/>
      </w:pPr>
      <w:r>
        <w:drawing>
          <wp:inline distT="0" distB="0" distL="0" distR="0">
            <wp:extent cx="5524500" cy="3095625"/>
            <wp:effectExtent t="0" r="0" b="0" l="0"/>
            <wp:docPr id="1" name="2-Year Budget Breakdown" descr="2-Year Budget Breakdown" title="2-Year Budget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095625"/>
                    </a:xfrm>
                    <a:prstGeom prst="rect">
                      <a:avLst/>
                    </a:prstGeom>
                  </pic:spPr>
                </pic:pic>
              </a:graphicData>
            </a:graphic>
          </wp:inline>
        </w:drawing>
      </w:r>
    </w:p>
    <w:p>
      <w:pPr>
        <w:spacing w:after="180" w:before="40"/>
        <w:jc w:val="center"/>
      </w:pPr>
      <w:r>
        <w:rPr>
          <w:rFonts w:ascii="Arial" w:cs="Arial" w:eastAsia="Arial" w:hAnsi="Arial"/>
          <w:b w:val="false"/>
          <w:bCs w:val="false"/>
          <w:i/>
          <w:iCs/>
          <w:color w:val="555555"/>
          <w:sz w:val="18"/>
          <w:szCs w:val="18"/>
        </w:rPr>
        <w:t xml:space="preserve">Figure: 2-Year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Category</w:t>
            </w:r>
          </w:p>
        </w:tc>
        <w:tc>
          <w:tcPr>
            <w:tcW w:type="dxa" w:w="1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Year 1</w:t>
            </w:r>
          </w:p>
        </w:tc>
        <w:tc>
          <w:tcPr>
            <w:tcW w:type="dxa" w:w="18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Year 2</w:t>
            </w:r>
          </w:p>
        </w:tc>
        <w:tc>
          <w:tcPr>
            <w:tcW w:type="dxa" w:w="17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2-Year Total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Personnel (development, mgmt, support)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10.0 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10.0 B</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20.0 B IRR</w:t>
            </w:r>
          </w:p>
        </w:tc>
      </w:tr>
      <w:tr>
        <w:tc>
          <w:tcPr>
            <w:tcW w:type="dxa" w:w="4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Azure Infrastructure</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3.0 B</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5.0 B</w:t>
            </w:r>
          </w:p>
        </w:tc>
        <w:tc>
          <w:tcPr>
            <w:tcW w:type="dxa" w:w="1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8.0 B IRR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Software &amp; Licenses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0.6 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0.55 B</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1.15 B IRR</w:t>
            </w:r>
          </w:p>
        </w:tc>
      </w:tr>
      <w:tr>
        <w:tc>
          <w:tcPr>
            <w:tcW w:type="dxa" w:w="4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External Services (SMS, KYC)</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0.4 B</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0.4 B</w:t>
            </w:r>
          </w:p>
        </w:tc>
        <w:tc>
          <w:tcPr>
            <w:tcW w:type="dxa" w:w="1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0.8 B IRR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Training &amp; Consulting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0.4 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0.3 B</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0.7 B IRR</w:t>
            </w:r>
          </w:p>
        </w:tc>
      </w:tr>
      <w:tr>
        <w:tc>
          <w:tcPr>
            <w:tcW w:type="dxa" w:w="4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Contingency (15 %)</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2.2 B</w:t>
            </w:r>
          </w:p>
        </w:tc>
        <w:tc>
          <w:tcPr>
            <w:tcW w:type="dxa" w:w="18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2.4 B</w:t>
            </w:r>
          </w:p>
        </w:tc>
        <w:tc>
          <w:tcPr>
            <w:tcW w:type="dxa" w:w="17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4.6 B IRR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16.6 B IRR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18.65 B IRR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35.25 B IRR  (~$700K USD)</w:t>
            </w:r>
          </w:p>
        </w:tc>
      </w:tr>
    </w:tbl>
    <w:p>
      <w:pPr>
        <w:pStyle w:val="Heading2"/>
        <w:pBdr>
          <w:bottom w:val="single" w:color="E8F0FB" w:sz="4" w:space="1"/>
        </w:pBdr>
        <w:spacing w:after="160" w:before="280"/>
      </w:pPr>
      <w:r>
        <w:rPr>
          <w:rFonts w:ascii="Arial" w:cs="Arial" w:eastAsia="Arial" w:hAnsi="Arial"/>
          <w:b/>
          <w:bCs/>
          <w:i w:val="false"/>
          <w:iCs w:val="false"/>
          <w:color w:val="3467B2"/>
          <w:sz w:val="26"/>
          <w:szCs w:val="26"/>
        </w:rPr>
        <w:t xml:space="preserve">10.5  Risk Register</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000"/>
        <w:gridCol w:w="700"/>
        <w:gridCol w:w="900"/>
        <w:gridCol w:w="4060"/>
      </w:tblGrid>
      <w:tr>
        <w:tc>
          <w:tcPr>
            <w:tcW w:type="dxa" w:w="7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ID</w:t>
            </w:r>
          </w:p>
        </w:tc>
        <w:tc>
          <w:tcPr>
            <w:tcW w:type="dxa" w:w="11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Category</w:t>
            </w:r>
          </w:p>
        </w:tc>
        <w:tc>
          <w:tcPr>
            <w:tcW w:type="dxa" w:w="20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Risk</w:t>
            </w:r>
          </w:p>
        </w:tc>
        <w:tc>
          <w:tcPr>
            <w:tcW w:type="dxa" w:w="7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Prob</w:t>
            </w:r>
          </w:p>
        </w:tc>
        <w:tc>
          <w:tcPr>
            <w:tcW w:type="dxa" w:w="9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Impact</w:t>
            </w:r>
          </w:p>
        </w:tc>
        <w:tc>
          <w:tcPr>
            <w:tcW w:type="dxa" w:w="40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Mitigation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R-001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Technical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Matching Engine complexity exceeds estimates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POC first; Algos from proven trading systems; expert consulting</w:t>
            </w:r>
          </w:p>
        </w:tc>
      </w:tr>
      <w:tr>
        <w:tc>
          <w:tcPr>
            <w:tcW w:type="dxa" w:w="7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R-002</w:t>
            </w:r>
          </w:p>
        </w:tc>
        <w:tc>
          <w:tcPr>
            <w:tcW w:type="dxa" w:w="11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Security</w:t>
            </w:r>
          </w:p>
        </w:tc>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Cyber attack or data breach</w:t>
            </w:r>
          </w:p>
        </w:tc>
        <w:tc>
          <w:tcPr>
            <w:tcW w:type="dxa" w:w="7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Low</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Critical</w:t>
            </w:r>
          </w:p>
        </w:tc>
        <w:tc>
          <w:tcPr>
            <w:tcW w:type="dxa" w:w="40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Pen-test before launch; Bug Bounty; quarterly audits; IR plan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R-003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Business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Market adoption failure / slow uptake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Deep user research; MVP fast iteration; secure anchor sellers upfront</w:t>
            </w:r>
          </w:p>
        </w:tc>
      </w:tr>
      <w:tr>
        <w:tc>
          <w:tcPr>
            <w:tcW w:type="dxa" w:w="7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R-004</w:t>
            </w:r>
          </w:p>
        </w:tc>
        <w:tc>
          <w:tcPr>
            <w:tcW w:type="dxa" w:w="11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Regulatory</w:t>
            </w:r>
          </w:p>
        </w:tc>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Sudden regulatory changes</w:t>
            </w:r>
          </w:p>
        </w:tc>
        <w:tc>
          <w:tcPr>
            <w:tcW w:type="dxa" w:w="7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w:t>
            </w:r>
          </w:p>
        </w:tc>
        <w:tc>
          <w:tcPr>
            <w:tcW w:type="dxa" w:w="40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Ongoing legal counsel; flexible config-driven rules; regulator dialogue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R-005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Key personnel attrition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Full documentation; knowledge-sharing; retention packages; cross-train</w:t>
            </w:r>
          </w:p>
        </w:tc>
      </w:tr>
      <w:tr>
        <w:tc>
          <w:tcPr>
            <w:tcW w:type="dxa" w:w="7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R-006</w:t>
            </w:r>
          </w:p>
        </w:tc>
        <w:tc>
          <w:tcPr>
            <w:tcW w:type="dxa" w:w="11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Technical</w:t>
            </w:r>
          </w:p>
        </w:tc>
        <w:tc>
          <w:tcPr>
            <w:tcW w:type="dxa" w:w="20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Third-party service outages (SMS, KYC, Bank)</w:t>
            </w:r>
          </w:p>
        </w:tc>
        <w:tc>
          <w:tcPr>
            <w:tcW w:type="dxa" w:w="7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w:t>
            </w:r>
          </w:p>
        </w:tc>
        <w:tc>
          <w:tcPr>
            <w:tcW w:type="dxa" w:w="9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w:t>
            </w:r>
          </w:p>
        </w:tc>
        <w:tc>
          <w:tcPr>
            <w:tcW w:type="dxa" w:w="40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Multi-vendor strategy; local fallback; graceful degradation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R-007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Financial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FX / inflation impact on IRR budget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USD cost hedging; quarterly budget reviews; contingency buffer</w:t>
            </w:r>
          </w:p>
        </w:tc>
      </w:tr>
    </w:tbl>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Appendix A: Technical Glossary  (واژه‌نامه فنی)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Term</w:t>
            </w:r>
          </w:p>
        </w:tc>
        <w:tc>
          <w:tcPr>
            <w:tcW w:type="dxa" w:w="6860"/>
            <w:tcBorders>
              <w:top w:val="single" w:color="999999" w:sz="1"/>
              <w:left w:val="single" w:color="999999" w:sz="1"/>
              <w:bottom w:val="single" w:color="999999" w:sz="1"/>
              <w:right w:val="single" w:color="999999" w:sz="1"/>
            </w:tcBorders>
            <w:shd w:fill="1E3C78"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Match</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Completion of a trade – buyer bid accepted by seller (manual or automatic)</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Bid</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Price proposal submitted by a buyer against an active sell order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Order Book</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Live registry of all Active and PartiallyFilled sell orders</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Open Auction</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Auction where all bid prices are visible to all participants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Dark Auction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Auction where bid prices are hidden from competing bidders</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KYC</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Know Your Customer – identity verification process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Grade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Credit/performance level (A+→D) assigned based on transaction history</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Ex-Work</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Incoterm: delivery at seller's premises; buyer bears all transport risk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FOB</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Free On Board – delivery at origin port; buyer arranges onward shipping</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CIF</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Cost, Insurance, Freight – seller arranges and pays shipping &amp; insurance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Tolerance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Allowed weight variance (%) between order spec and actual delivery</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Commission</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Platform fee: 0.5 % of transaction value (seller 40 %, buyer 60 %)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Escrow</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Trust account holding funds until delivery is confirmed</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CQRS</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Command Query Responsibility Segregation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Saga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Distributed-transaction pattern with compensating transactions on failure</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Circuit Breaker</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Resilience pattern: open/close state protecting against cascades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TDE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Transparent Data Encryption – database-level encryption at rest</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Always Encrypted</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SQL Server column encryption – data protected even from DBAs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JWT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JSON Web Token – compact, signed bearer token for stateless auth</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mTLS</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Mutual TLS – bidirectional certificate authentication between services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HPA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Horizontal Pod Autoscaler – Kubernetes auto-scaling by CPU/memory</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SLO</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Service Level Objective – agreed availability/performance target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SLI</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Service Level Indicator – measured metric backing an SLO</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RTO</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Recovery Time Objective – maximum tolerable downtime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RPO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Recovery Point Objective – maximum tolerable data loss</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GMV</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Gross Merchandise Value – total value of trades on the platform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TAM/SAM/SOM</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Total/Serviceable/Obtainable Addressable Market</w:t>
            </w:r>
          </w:p>
        </w:tc>
      </w:tr>
      <w:tr>
        <w:tc>
          <w:tcPr>
            <w:tcW w:type="dxa" w:w="250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CDC</w:t>
            </w:r>
          </w:p>
        </w:tc>
        <w:tc>
          <w:tcPr>
            <w:tcW w:type="dxa" w:w="6860"/>
            <w:tcBorders>
              <w:top w:val="single" w:color="CCCCCC" w:sz="1"/>
              <w:left w:val="single" w:color="CCCCCC" w:sz="1"/>
              <w:bottom w:val="single" w:color="CCCCCC" w:sz="1"/>
              <w:right w:val="single" w:color="CCCCCC" w:sz="1"/>
            </w:tcBorders>
            <w:shd w:fill="F8FAFF" w:val="clear"/>
            <w:tcMar>
              <w:top w:type="dxa" w:w="60"/>
              <w:left w:type="dxa" w:w="120"/>
              <w:bottom w:type="dxa" w:w="60"/>
              <w:right w:type="dxa" w:w="120"/>
            </w:tcMar>
            <w:vAlign w:val="center"/>
          </w:tcPr>
          <w:p>
            <w:r>
              <w:rPr>
                <w:rFonts w:ascii="Arial" w:cs="Arial" w:eastAsia="Arial" w:hAnsi="Arial"/>
                <w:b w:val="false"/>
                <w:bCs w:val="false"/>
                <w:i w:val="false"/>
                <w:iCs w:val="false"/>
                <w:color w:val="222222"/>
                <w:sz w:val="18"/>
                <w:szCs w:val="18"/>
              </w:rPr>
              <w:t xml:space="preserve">Change Data Capture – streaming DB changes to analytics pipeline</w:t>
            </w:r>
          </w:p>
        </w:tc>
      </w:tr>
    </w:tbl>
    <w:p>
      <w:r>
        <w:br w:type="pag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Appendix B: Production Readiness Checklist  (چک‌لیست)</w:t>
      </w:r>
    </w:p>
    <w:p>
      <w:pPr>
        <w:pStyle w:val="Heading3"/>
        <w:spacing w:after="120" w:before="200"/>
      </w:pPr>
      <w:r>
        <w:rPr>
          <w:rFonts w:ascii="Arial" w:cs="Arial" w:eastAsia="Arial" w:hAnsi="Arial"/>
          <w:b/>
          <w:bCs/>
          <w:i w:val="false"/>
          <w:iCs w:val="false"/>
          <w:color w:val="006060"/>
          <w:sz w:val="22"/>
          <w:szCs w:val="22"/>
        </w:rPr>
        <w:t xml:space="preserve">Security Checks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Penetration test completed &amp; sign-off received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Security audit passed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WAF rules configured and tested (OWASP CRS 3.2)</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DDoS Standard protection enabled on AFD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SSL/TLS certificates installed &amp; HSTS configured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All secrets in Azure Key Vault – zero in code/config</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RBAC policies applied and peer-reviewed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Data masking configured for PII fields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Always Encrypted columns verified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Log retention policy enforced (7 years)</w:t>
      </w:r>
    </w:p>
    <w:p>
      <w:pPr>
        <w:spacing w:after="80" w:before="80"/>
        <w:jc w:val="left"/>
      </w:pPr>
      <w:r>
        <w:rPr>
          <w:rFonts w:ascii="Arial" w:cs="Arial" w:eastAsia="Arial" w:hAnsi="Arial"/>
          <w:b w:val="false"/>
          <w:bCs w:val="false"/>
          <w:i w:val="false"/>
          <w:iCs w:val="false"/>
          <w:color w:val="222222"/>
          <w:sz w:val="22"/>
          <w:szCs w:val="22"/>
        </w:rPr>
        <w:t xml:space="preserve"/>
      </w:r>
    </w:p>
    <w:p>
      <w:pPr>
        <w:pStyle w:val="Heading3"/>
        <w:spacing w:after="120" w:before="200"/>
      </w:pPr>
      <w:r>
        <w:rPr>
          <w:rFonts w:ascii="Arial" w:cs="Arial" w:eastAsia="Arial" w:hAnsi="Arial"/>
          <w:b/>
          <w:bCs/>
          <w:i w:val="false"/>
          <w:iCs w:val="false"/>
          <w:color w:val="006060"/>
          <w:sz w:val="22"/>
          <w:szCs w:val="22"/>
        </w:rPr>
        <w:t xml:space="preserve">Performance Checks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Load test: 10,000 concurrent users – passed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Stress test: 20,000 users – graceful degradation</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API P95 &lt; 200 ms verified under load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Auto-scaling HPA policies tested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CDN configured and cache-hit ratio &gt; 85 %</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DB query plans reviewed – no table scans on hot paths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Covering indexes deployed and tested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Connection pooling configured correctly</w:t>
      </w:r>
    </w:p>
    <w:p>
      <w:pPr>
        <w:spacing w:after="80" w:before="80"/>
        <w:jc w:val="left"/>
      </w:pPr>
      <w:r>
        <w:rPr>
          <w:rFonts w:ascii="Arial" w:cs="Arial" w:eastAsia="Arial" w:hAnsi="Arial"/>
          <w:b w:val="false"/>
          <w:bCs w:val="false"/>
          <w:i w:val="false"/>
          <w:iCs w:val="false"/>
          <w:color w:val="222222"/>
          <w:sz w:val="22"/>
          <w:szCs w:val="22"/>
        </w:rPr>
        <w:t xml:space="preserve"/>
      </w:r>
    </w:p>
    <w:p>
      <w:pPr>
        <w:pStyle w:val="Heading3"/>
        <w:spacing w:after="120" w:before="200"/>
      </w:pPr>
      <w:r>
        <w:rPr>
          <w:rFonts w:ascii="Arial" w:cs="Arial" w:eastAsia="Arial" w:hAnsi="Arial"/>
          <w:b/>
          <w:bCs/>
          <w:i w:val="false"/>
          <w:iCs w:val="false"/>
          <w:color w:val="006060"/>
          <w:sz w:val="22"/>
          <w:szCs w:val="22"/>
        </w:rPr>
        <w:t xml:space="preserve">Reliability Checks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Backup &amp; point-in-time restore tested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Disaster recovery drill completed (RTO &lt; 1 hr, RPO &lt; 15 min)</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Failover to DR region tested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Health check endpoints verified on all services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Circuit breakers configured and tested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Dead-letter queue processing running</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Blue-green deployment tested – zero downtime confirmed</w:t>
      </w:r>
    </w:p>
    <w:p>
      <w:pPr>
        <w:spacing w:after="80" w:before="80"/>
        <w:jc w:val="left"/>
      </w:pPr>
      <w:r>
        <w:rPr>
          <w:rFonts w:ascii="Arial" w:cs="Arial" w:eastAsia="Arial" w:hAnsi="Arial"/>
          <w:b w:val="false"/>
          <w:bCs w:val="false"/>
          <w:i w:val="false"/>
          <w:iCs w:val="false"/>
          <w:color w:val="222222"/>
          <w:sz w:val="22"/>
          <w:szCs w:val="22"/>
        </w:rPr>
        <w:t xml:space="preserve"/>
      </w:r>
    </w:p>
    <w:p>
      <w:pPr>
        <w:pStyle w:val="Heading3"/>
        <w:spacing w:after="120" w:before="200"/>
      </w:pPr>
      <w:r>
        <w:rPr>
          <w:rFonts w:ascii="Arial" w:cs="Arial" w:eastAsia="Arial" w:hAnsi="Arial"/>
          <w:b/>
          <w:bCs/>
          <w:i w:val="false"/>
          <w:iCs w:val="false"/>
          <w:color w:val="006060"/>
          <w:sz w:val="22"/>
          <w:szCs w:val="22"/>
        </w:rPr>
        <w:t xml:space="preserve">Monitoring Checks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Application Insights SDK integrated in all services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Log Analytics workspace configured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Grafana dashboards live (Business + Technical + Security)</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Alert rules configured, tested, and routed to PagerDuty</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On-call rotation schedule established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Runbooks created for all P1/P2 alert types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SLO error-budget dashboards live</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Distributed tracing validated end-to-end</w:t>
      </w:r>
    </w:p>
    <w:p>
      <w:pPr>
        <w:spacing w:after="80" w:before="80"/>
        <w:jc w:val="left"/>
      </w:pPr>
      <w:r>
        <w:rPr>
          <w:rFonts w:ascii="Arial" w:cs="Arial" w:eastAsia="Arial" w:hAnsi="Arial"/>
          <w:b w:val="false"/>
          <w:bCs w:val="false"/>
          <w:i w:val="false"/>
          <w:iCs w:val="false"/>
          <w:color w:val="222222"/>
          <w:sz w:val="22"/>
          <w:szCs w:val="22"/>
        </w:rPr>
        <w:t xml:space="preserve"/>
      </w:r>
    </w:p>
    <w:p>
      <w:pPr>
        <w:pStyle w:val="Heading3"/>
        <w:spacing w:after="120" w:before="200"/>
      </w:pPr>
      <w:r>
        <w:rPr>
          <w:rFonts w:ascii="Arial" w:cs="Arial" w:eastAsia="Arial" w:hAnsi="Arial"/>
          <w:b/>
          <w:bCs/>
          <w:i w:val="false"/>
          <w:iCs w:val="false"/>
          <w:color w:val="006060"/>
          <w:sz w:val="22"/>
          <w:szCs w:val="22"/>
        </w:rPr>
        <w:t xml:space="preserve">Documentation Checks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OpenAPI 3.0 specification published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Architecture documentation finalised (this document)</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Runbooks and incident playbooks created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User guides and FAQ ready</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Deployment and rollback procedures documented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Data dictionary and DB schema documented</w:t>
      </w:r>
    </w:p>
    <w:p>
      <w:pPr>
        <w:spacing w:after="80" w:before="80"/>
        <w:jc w:val="left"/>
      </w:pPr>
      <w:r>
        <w:rPr>
          <w:rFonts w:ascii="Arial" w:cs="Arial" w:eastAsia="Arial" w:hAnsi="Arial"/>
          <w:b w:val="false"/>
          <w:bCs w:val="false"/>
          <w:i w:val="false"/>
          <w:iCs w:val="false"/>
          <w:color w:val="222222"/>
          <w:sz w:val="22"/>
          <w:szCs w:val="22"/>
        </w:rPr>
        <w:t xml:space="preserve"/>
      </w:r>
    </w:p>
    <w:p>
      <w:pPr>
        <w:pStyle w:val="Heading3"/>
        <w:spacing w:after="120" w:before="200"/>
      </w:pPr>
      <w:r>
        <w:rPr>
          <w:rFonts w:ascii="Arial" w:cs="Arial" w:eastAsia="Arial" w:hAnsi="Arial"/>
          <w:b/>
          <w:bCs/>
          <w:i w:val="false"/>
          <w:iCs w:val="false"/>
          <w:color w:val="006060"/>
          <w:sz w:val="22"/>
          <w:szCs w:val="22"/>
        </w:rPr>
        <w:t xml:space="preserve">Legal &amp; Compliance Checks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Terms of Service reviewed by legal and published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Privacy Policy approved and published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Data processing agreements signed with vendors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KYC/AML compliance verified with legal counsel</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Regulatory approval obtained (if required)</w:t>
      </w:r>
    </w:p>
    <w:p>
      <w:pPr>
        <w:spacing w:after="80" w:before="80"/>
        <w:jc w:val="left"/>
      </w:pPr>
      <w:r>
        <w:rPr>
          <w:rFonts w:ascii="Arial" w:cs="Arial" w:eastAsia="Arial" w:hAnsi="Arial"/>
          <w:b w:val="false"/>
          <w:bCs w:val="false"/>
          <w:i w:val="false"/>
          <w:iCs w:val="false"/>
          <w:color w:val="222222"/>
          <w:sz w:val="22"/>
          <w:szCs w:val="22"/>
        </w:rPr>
        <w:t xml:space="preserve"/>
      </w:r>
    </w:p>
    <w:p>
      <w:pPr>
        <w:pStyle w:val="Heading3"/>
        <w:spacing w:after="120" w:before="200"/>
      </w:pPr>
      <w:r>
        <w:rPr>
          <w:rFonts w:ascii="Arial" w:cs="Arial" w:eastAsia="Arial" w:hAnsi="Arial"/>
          <w:b/>
          <w:bCs/>
          <w:i w:val="false"/>
          <w:iCs w:val="false"/>
          <w:color w:val="006060"/>
          <w:sz w:val="22"/>
          <w:szCs w:val="22"/>
        </w:rPr>
        <w:t xml:space="preserve">Business Operations Checks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Payment gateway end-to-end tested (real transactions)</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SMS gateway tested with failover to backup provider</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KYC provider integration tested (95 %+ pass rate)</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Support team trained and escalation matrix defined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Executive stakeholder demo completed and approved</w:t>
      </w:r>
    </w:p>
    <w:p>
      <w:pPr>
        <w:spacing w:after="40" w:before="40"/>
        <w:ind w:left="360"/>
      </w:pPr>
      <w:r>
        <w:rPr>
          <w:rFonts w:ascii="Arial" w:cs="Arial" w:eastAsia="Arial" w:hAnsi="Arial"/>
          <w:b/>
          <w:bCs/>
          <w:i w:val="false"/>
          <w:iCs w:val="false"/>
          <w:color w:val="3467B2"/>
          <w:sz w:val="20"/>
          <w:szCs w:val="20"/>
        </w:rPr>
        <w:t xml:space="preserve">☐  </w:t>
      </w:r>
      <w:r>
        <w:rPr>
          <w:rFonts w:ascii="Arial" w:cs="Arial" w:eastAsia="Arial" w:hAnsi="Arial"/>
          <w:b w:val="false"/>
          <w:bCs w:val="false"/>
          <w:i w:val="false"/>
          <w:iCs w:val="false"/>
          <w:color w:val="222222"/>
          <w:sz w:val="20"/>
          <w:szCs w:val="20"/>
        </w:rPr>
        <w:t xml:space="preserve">Go/no-go review completed by leadership</w:t>
      </w:r>
    </w:p>
    <w:p>
      <w:pPr>
        <w:spacing w:after="80" w:before="80"/>
        <w:jc w:val="left"/>
      </w:pPr>
      <w:r>
        <w:rPr>
          <w:rFonts w:ascii="Arial" w:cs="Arial" w:eastAsia="Arial" w:hAnsi="Arial"/>
          <w:b w:val="false"/>
          <w:bCs w:val="false"/>
          <w:i w:val="false"/>
          <w:iCs w:val="false"/>
          <w:color w:val="222222"/>
          <w:sz w:val="22"/>
          <w:szCs w:val="22"/>
        </w:rPr>
        <w:t xml:space="preserve"/>
      </w:r>
    </w:p>
    <w:p>
      <w:pPr>
        <w:pStyle w:val="Heading1"/>
        <w:pBdr>
          <w:bottom w:val="single" w:color="1E3C78" w:sz="8" w:space="1"/>
        </w:pBdr>
        <w:spacing w:after="200" w:before="400"/>
      </w:pPr>
      <w:r>
        <w:rPr>
          <w:rFonts w:ascii="Arial" w:cs="Arial" w:eastAsia="Arial" w:hAnsi="Arial"/>
          <w:b/>
          <w:bCs/>
          <w:i w:val="false"/>
          <w:iCs w:val="false"/>
          <w:color w:val="1E3C78"/>
          <w:sz w:val="34"/>
          <w:szCs w:val="34"/>
        </w:rPr>
        <w:t xml:space="preserve">Appendix C: Security Audit Log Schema</w:t>
      </w:r>
    </w:p>
    <w:p>
      <w:pPr>
        <w:shd w:fill="F0F4F8" w:val="clear"/>
        <w:spacing w:after="80" w:before="80"/>
        <w:ind w:left="360" w:right="360"/>
      </w:pPr>
      <w:r>
        <w:rPr>
          <w:rFonts w:ascii="Courier New" w:cs="Courier New" w:eastAsia="Courier New" w:hAnsi="Courier New"/>
          <w:color w:val="1A1A2E"/>
          <w:sz w:val="16"/>
          <w:szCs w:val="16"/>
        </w:rPr>
        <w:t xml:space="preserve">CREATE TABLE SecurityAuditLogs (
  Id              BIGINT IDENTITY(1,1) PRIMARY KEY,
  EventId         UNIQUEIDENTIFIER NOT NULL DEFAULT NEWID(),
  EventType       NVARCHAR(50)  NOT NULL,  -- Login, Logout, MatchExecuted ...
  EventCategory   NVARCHAR(50)  NOT NULL,  -- Authentication, Trading, Admin ...
  Severity        TINYINT       NOT NULL,  -- 1=Info 2=Warning 3=Error 4=Critical
  UserId          BIGINT        NULL,
  Username        NVARCHAR(100) NULL,
  SessionId       NVARCHAR(100) NULL,
  IpAddress       NVARCHAR(45)  NOT NULL,
  UserAgent       NVARCHAR(500) NULL,
  RequestId       UNIQUEIDENTIFIER NOT NULL,
  Action          NVARCHAR(100) NOT NULL,
  Resource        NVARCHAR(200) NULL,
  ResourceId      NVARCHAR(100) NULL,
  Success         BIT           NOT NULL,
  ErrorCode       NVARCHAR(50)  NULL,
  OldValues       NVARCHAR(MAX) NULL,  -- JSON
  NewValues       NVARCHAR(MAX) NULL,  -- JSON
  CreatedAt       DATETIME2     NOT NULL DEFAULT SYSUTCDATETIME(),
  INDEX IX_Audit_EventType (EventType, CreatedAt DESC),
  INDEX IX_Audit_UserId    (UserId,    CreatedAt DESC),
  INDEX IX_Audit_IpAddress (IpAddress, CreatedAt DESC)
) ON PS_Monthly(CreatedAt);  -- Range-partitioned monthly</w:t>
      </w:r>
    </w:p>
    <w:p>
      <w:r>
        <w:br w:type="page"/>
      </w:r>
    </w:p>
    <w:p>
      <w:pPr>
        <w:spacing w:before="400"/>
        <w:jc w:val="center"/>
      </w:pPr>
      <w:r>
        <w:rPr>
          <w:rFonts w:ascii="Arial" w:cs="Arial" w:eastAsia="Arial" w:hAnsi="Arial"/>
          <w:b/>
          <w:bCs/>
          <w:i/>
          <w:iCs/>
          <w:color w:val="555555"/>
          <w:sz w:val="24"/>
          <w:szCs w:val="24"/>
        </w:rPr>
        <w:t xml:space="preserve">— End of Document —</w:t>
      </w:r>
    </w:p>
    <w:p>
      <w:pPr>
        <w:spacing w:before="100"/>
        <w:jc w:val="center"/>
      </w:pPr>
      <w:r>
        <w:rPr>
          <w:rFonts w:ascii="Arial" w:cs="Arial" w:eastAsia="Arial" w:hAnsi="Arial"/>
          <w:b w:val="false"/>
          <w:bCs w:val="false"/>
          <w:i/>
          <w:iCs/>
          <w:color w:val="9B2C22"/>
          <w:sz w:val="20"/>
          <w:szCs w:val="20"/>
        </w:rPr>
        <w:t xml:space="preserve">This document is CONFIDENTIAL and for internal use only.</w:t>
      </w:r>
    </w:p>
    <w:p>
      <w:pPr>
        <w:spacing w:before="60"/>
        <w:jc w:val="center"/>
      </w:pPr>
      <w:r>
        <w:rPr>
          <w:rFonts w:ascii="Arial" w:cs="Arial" w:eastAsia="Arial" w:hAnsi="Arial"/>
          <w:b w:val="false"/>
          <w:bCs w:val="false"/>
          <w:i w:val="false"/>
          <w:iCs w:val="false"/>
          <w:color w:val="555555"/>
          <w:sz w:val="18"/>
          <w:szCs w:val="18"/>
        </w:rPr>
        <w:t xml:space="preserve">Version 2.0.0  |  1405/02/05  (April 25, 2026)  |  Metal Trading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rFonts w:ascii="Arial" w:cs="Arial" w:eastAsia="Arial" w:hAnsi="Arial"/>
        <w:b w:val="false"/>
        <w:bCs w:val="false"/>
        <w:i w:val="false"/>
        <w:iCs w:val="false"/>
        <w:color w:val="555555"/>
        <w:sz w:val="16"/>
        <w:szCs w:val="16"/>
      </w:rPr>
      <w:t xml:space="preserve">© 2026 Metal Trading Platform  |  Confidential – Internal Use Only</w:t>
    </w:r>
    <w:r>
      <w:rPr>
        <w:rFonts w:ascii="Arial" w:cs="Arial" w:eastAsia="Arial" w:hAnsi="Arial"/>
        <w:b w:val="false"/>
        <w:bCs w:val="false"/>
        <w:i w:val="false"/>
        <w:iCs w:val="false"/>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pPr>
    <w:r>
      <w:rPr>
        <w:rFonts w:ascii="Arial" w:cs="Arial" w:eastAsia="Arial" w:hAnsi="Arial"/>
        <w:b w:val="false"/>
        <w:bCs w:val="false"/>
        <w:i w:val="false"/>
        <w:iCs w:val="false"/>
        <w:color w:val="555555"/>
        <w:sz w:val="18"/>
        <w:szCs w:val="18"/>
      </w:rPr>
      <w:t xml:space="preserve">Metal Trading Platform (MTP)  –  Architecture Document v2.0</w:t>
    </w:r>
    <w:r>
      <w:rPr>
        <w:rFonts w:ascii="Arial" w:cs="Arial" w:eastAsia="Arial" w:hAnsi="Arial"/>
        <w:b/>
        <w:bCs/>
        <w:i w:val="false"/>
        <w:iCs w:val="false"/>
        <w:color w:val="9B2C22"/>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C78"/>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3467B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6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56cd89d2ee00b6c6788b69e8dcfa85d04ce461.png"/><Relationship Id="rId10" Type="http://schemas.openxmlformats.org/officeDocument/2006/relationships/image" Target="media/b3428ee80d3fedd4ed0eb0c9a69383e65e89727f.png"/><Relationship Id="rId11" Type="http://schemas.openxmlformats.org/officeDocument/2006/relationships/image" Target="media/16d7f996210a8b4df9cc3b0cd9651dafa193e2f8.png"/><Relationship Id="rId12" Type="http://schemas.openxmlformats.org/officeDocument/2006/relationships/image" Target="media/60c7fca87dc7f461d9c6f4ad58a1bbe93691da00.png"/><Relationship Id="rId13" Type="http://schemas.openxmlformats.org/officeDocument/2006/relationships/image" Target="media/07dac95e4831572943d17cb5b3b35037ebb1d444.png"/><Relationship Id="rId14" Type="http://schemas.openxmlformats.org/officeDocument/2006/relationships/image" Target="media/4ebd721fce9f82f47a45cb792c78859fbafb7e54.png"/><Relationship Id="rId15" Type="http://schemas.openxmlformats.org/officeDocument/2006/relationships/image" Target="media/2dbe720bb6df4a3ee57673ea8aa39fea1a26086f.png"/><Relationship Id="rId16" Type="http://schemas.openxmlformats.org/officeDocument/2006/relationships/image" Target="media/f13699452f98cf401a2760696034b2ecf300986f.png"/><Relationship Id="rId17" Type="http://schemas.openxmlformats.org/officeDocument/2006/relationships/image" Target="media/7bd030bee1a473f26221d62862a920bb85357d97.png"/><Relationship Id="rId18" Type="http://schemas.openxmlformats.org/officeDocument/2006/relationships/image" Target="media/738e286632c5f9929f3e010da5c9a01d1b941c57.png"/><Relationship Id="rId19" Type="http://schemas.openxmlformats.org/officeDocument/2006/relationships/image" Target="media/b8bf4a987b285b70f6a05c31e10060d7774ef9ed.png"/><Relationship Id="rId20" Type="http://schemas.openxmlformats.org/officeDocument/2006/relationships/image" Target="media/d1dc17ca77df6660926cfcb58a9a03e519e70615.png"/><Relationship Id="rId21" Type="http://schemas.openxmlformats.org/officeDocument/2006/relationships/image" Target="media/5dced40e87d45e7824a053fbc31cf0329a946a97.png"/><Relationship Id="rId22" Type="http://schemas.openxmlformats.org/officeDocument/2006/relationships/image" Target="media/b0c2be75d2f91086c47a8952f54f3bda91194506.png"/><Relationship Id="rId23" Type="http://schemas.openxmlformats.org/officeDocument/2006/relationships/image" Target="media/b0498cc95f9e534dfe495ac3fef624d94719f07f.png"/><Relationship Id="rId24" Type="http://schemas.openxmlformats.org/officeDocument/2006/relationships/image" Target="media/f6c26874f9ee410e4d89cf212ac70c5d41cf8eb2.png"/><Relationship Id="rId25" Type="http://schemas.openxmlformats.org/officeDocument/2006/relationships/image" Target="media/4463c53344298c7862fedd1f10d98ef00433179e.png"/><Relationship Id="rId26" Type="http://schemas.openxmlformats.org/officeDocument/2006/relationships/image" Target="media/918a12c1368e2c155eca5d1b20369a3fc2989916.png"/><Relationship Id="rId27" Type="http://schemas.openxmlformats.org/officeDocument/2006/relationships/image" Target="media/e87aeb839c78a68fe31ea26d3b9abe74262a7c31.png"/><Relationship Id="rId28" Type="http://schemas.openxmlformats.org/officeDocument/2006/relationships/image" Target="media/edb4d2840eae7eed4d4e8a86841d4eb75e6d45c4.png"/><Relationship Id="rId29" Type="http://schemas.openxmlformats.org/officeDocument/2006/relationships/image" Target="media/93aa0bdba5a109f49dd00f059338cc32d8f55b8c.png"/><Relationship Id="rId30" Type="http://schemas.openxmlformats.org/officeDocument/2006/relationships/image" Target="media/24277bf7173027339778f031ea18b9bbd1f1b66f.png"/><Relationship Id="rId31" Type="http://schemas.openxmlformats.org/officeDocument/2006/relationships/image" Target="media/dcbc5325685c1e3daa257ecdad3eedc11e4472ae.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MTP Enterprise Architecture Document v2.0</dc:title>
  <dc:creator>MTP Architecture Team</dc:creator>
  <dc:description>Complete Software Architecture &amp; Proposal Document</dc:description>
  <cp:lastModifiedBy>Un-named</cp:lastModifiedBy>
  <cp:revision>1</cp:revision>
  <dcterms:created xsi:type="dcterms:W3CDTF">2026-04-25T20:13:35.548Z</dcterms:created>
  <dcterms:modified xsi:type="dcterms:W3CDTF">2026-04-25T20:13:35.551Z</dcterms:modified>
</cp:coreProperties>
</file>

<file path=docProps/custom.xml><?xml version="1.0" encoding="utf-8"?>
<Properties xmlns="http://schemas.openxmlformats.org/officeDocument/2006/custom-properties" xmlns:vt="http://schemas.openxmlformats.org/officeDocument/2006/docPropsVTypes"/>
</file>