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ServiceNow Architecture Engine — Architecture &amp; Operating Model (v2.8.0)</w:t>
      </w:r>
    </w:p>
    <w:p>
      <w:pPr>
        <w:spacing w:after="120"/>
      </w:pPr>
      <w:r>
        <w:t xml:space="preserve">This document describes how the </w:t>
      </w:r>
      <w:r>
        <w:rPr>
          <w:b/>
        </w:rPr>
        <w:t xml:space="preserve">Chief ServiceNow Architect</w:t>
      </w:r>
      <w:r>
        <w:t xml:space="preserve"> engine is structured and how it works: the orchestration model, the mandatory routing protocol, the full specialist roster (skills and sub-agents), the cross-cutting consults, and the governance rails that bind every task. It is a self-description of the system — the meta-architecture, not a client deliverable.</w:t>
      </w:r>
    </w:p>
    <w:p>
      <w:pPr>
        <w:spacing w:after="120"/>
      </w:pPr>
      <w:r>
        <w:rPr>
          <w:b/>
        </w:rPr>
        <w:t xml:space="preserve">Authoritative version-of-record:</w:t>
      </w:r>
      <w:r>
        <w:t xml:space="preserve"> </w:t>
      </w:r>
      <w:r>
        <w:rPr>
          <w:rFonts w:ascii="Consolas" w:hAnsi="Consolas"/>
          <w:color w:val="C7254E"/>
        </w:rPr>
        <w:t xml:space="preserve">CLAUDE.md</w:t>
      </w:r>
      <w:r>
        <w:t xml:space="preserve"> v2.8.0. Routing detail lives in </w:t>
      </w:r>
      <w:r>
        <w:rPr>
          <w:rFonts w:ascii="Consolas" w:hAnsi="Consolas"/>
          <w:color w:val="C7254E"/>
        </w:rPr>
        <w:t xml:space="preserve">taxonomy.md</w:t>
      </w:r>
      <w:r>
        <w:t xml:space="preserve">; the global rules in </w:t>
      </w:r>
      <w:r>
        <w:rPr>
          <w:rFonts w:ascii="Consolas" w:hAnsi="Consolas"/>
          <w:color w:val="C7254E"/>
        </w:rPr>
        <w:t xml:space="preserve">governance-rules.md</w:t>
      </w:r>
      <w:r>
        <w:t xml:space="preserve">; reusable prompts in </w:t>
      </w:r>
      <w:r>
        <w:rPr>
          <w:rFonts w:ascii="Consolas" w:hAnsi="Consolas"/>
          <w:color w:val="C7254E"/>
        </w:rPr>
        <w:t xml:space="preserve">prompt-patterns.md</w:t>
      </w:r>
      <w:r>
        <w:t xml:space="preserve">.</w:t>
      </w:r>
    </w:p>
    <w:p>
      <w:pPr>
        <w:pBdr>
          <w:bottom w:val="single" w:sz="6" w:space="1" w:color="C9D3DF"/>
        </w:pBdr>
        <w:spacing w:after="120"/>
      </w:pPr>
    </w:p>
    <w:p>
      <w:pPr>
        <w:pStyle w:val="Heading1"/>
      </w:pPr>
      <w:r>
        <w:t xml:space="preserve">1. Identity &amp; operating principles</w:t>
      </w:r>
    </w:p>
    <w:p>
      <w:pPr>
        <w:spacing w:after="120"/>
      </w:pPr>
      <w:r>
        <w:t xml:space="preserve">The engine operates as a single </w:t>
      </w:r>
      <w:r>
        <w:rPr>
          <w:b/>
        </w:rPr>
        <w:t xml:space="preserve">Chief ServiceNow Architect</w:t>
      </w:r>
      <w:r>
        <w:t xml:space="preserve"> — a senior practitioner persona — that </w:t>
      </w:r>
      <w:r>
        <w:rPr>
          <w:b/>
        </w:rPr>
        <w:t xml:space="preserve">orchestrates</w:t>
      </w:r>
      <w:r>
        <w:t xml:space="preserve"> a roster of specialist sub-agents and skills to deliver enterprise-grade ServiceNow consulting artefacts. It is built on five non-negotiable principles: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Senior practitioner rigour.</w:t>
      </w:r>
      <w:r>
        <w:t xml:space="preserve"> Architectural discipline, naming hygiene, scope discipline and ServiceNow best practice are mandatory.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Clarify before drafting.</w:t>
      </w:r>
      <w:r>
        <w:t xml:space="preserve"> No deliverable is produced without first surfacing assumptions and open questions.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Route, do not impersonate.</w:t>
      </w:r>
      <w:r>
        <w:t xml:space="preserve"> When a request matches a specialist, the architect proposes the handoff and waits for approval before invoking that sub-agent or adopting that persona.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Ground in primary documentation.</w:t>
      </w:r>
      <w:r>
        <w:t xml:space="preserve"> The authoritative source is the </w:t>
      </w:r>
      <w:r>
        <w:rPr>
          <w:rFonts w:ascii="Consolas" w:hAnsi="Consolas"/>
          <w:color w:val="C7254E"/>
        </w:rPr>
        <w:t xml:space="preserve">ServiceNowDocs/</w:t>
      </w:r>
      <w:r>
        <w:t xml:space="preserve"> submodule (Australia release family by default); read it before relying on memory and cite the path.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Confidentiality firewall.</w:t>
      </w:r>
      <w:r>
        <w:t xml:space="preserve"> Client information is never blended across engagements; folder discipline (</w:t>
      </w:r>
      <w:r>
        <w:rPr>
          <w:rFonts w:ascii="Consolas" w:hAnsi="Consolas"/>
          <w:color w:val="C7254E"/>
        </w:rPr>
        <w:t xml:space="preserve">clients/&lt;name&gt;/</w:t>
      </w:r>
      <w:r>
        <w:t xml:space="preserve">) is the enforcement.</w:t>
      </w:r>
    </w:p>
    <w:p>
      <w:pPr>
        <w:spacing w:after="120"/>
      </w:pPr>
      <w:r>
        <w:t xml:space="preserve">Output for all artefacts (stories, designs, code comments) is corporate professional English.</w:t>
      </w:r>
    </w:p>
    <w:p>
      <w:pPr>
        <w:pBdr>
          <w:bottom w:val="single" w:sz="6" w:space="1" w:color="C9D3DF"/>
        </w:pBdr>
        <w:spacing w:after="120"/>
      </w:pPr>
    </w:p>
    <w:p>
      <w:pPr>
        <w:pStyle w:val="Heading1"/>
      </w:pPr>
      <w:r>
        <w:t xml:space="preserve">2. Architecture at a glance</w:t>
      </w:r>
    </w:p>
    <w:p>
      <w:pPr>
        <w:spacing w:after="120"/>
      </w:pPr>
      <w:r>
        <w:t xml:space="preserve">The diagram below shows the whole engine on one page: the orchestrator at the top, the mandatory routing protocol (with the §1.1 Baseline-First gate), the five Domain Expert gateways, the nine builder sub-agents, the reviewer/quality and specialist skills, the advisory consultants, and the governance rails that run across everything.</w:t>
      </w:r>
    </w:p>
    <w:p>
      <w:pPr>
        <w:jc w:val="center"/>
        <w:spacing w:before="80" w:after="120"/>
      </w:pPr>
      <w:r>
        <w:drawing>
          <wp:inline distT="0" distB="0" distL="0" distR="0">
            <wp:extent cx="5669280" cy="6058371"/>
            <wp:effectExtent l="0" t="0" r="0" b="0"/>
            <wp:docPr id="101" name="Picture 101" descr="ServiceNow Architecture Engine v2.8.0 — orchestration and specialist ros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Picture 101" descr="ServiceNow Architecture Engine v2.8.0 — orchestration and specialist roster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5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C9D3DF"/>
        </w:pBdr>
        <w:spacing w:after="120"/>
      </w:pPr>
    </w:p>
    <w:p>
      <w:pPr>
        <w:pStyle w:val="Heading1"/>
      </w:pPr>
      <w:r>
        <w:t xml:space="preserve">3. The orchestration model</w:t>
      </w:r>
    </w:p>
    <w:p>
      <w:pPr>
        <w:spacing w:after="120"/>
      </w:pPr>
      <w:r>
        <w:t xml:space="preserve">The Chief Architect never executes specialist work blindly. It </w:t>
      </w:r>
      <w:r>
        <w:rPr>
          <w:b/>
        </w:rPr>
        <w:t xml:space="preserve">receives</w:t>
      </w:r>
      <w:r>
        <w:t xml:space="preserve"> the task and engagement context, </w:t>
      </w:r>
      <w:r>
        <w:rPr>
          <w:b/>
        </w:rPr>
        <w:t xml:space="preserve">evaluates</w:t>
      </w:r>
      <w:r>
        <w:t xml:space="preserve"> it against governance, </w:t>
      </w:r>
      <w:r>
        <w:rPr>
          <w:b/>
        </w:rPr>
        <w:t xml:space="preserve">routes</w:t>
      </w:r>
      <w:r>
        <w:t xml:space="preserve"> it to the right specialist(s), </w:t>
      </w:r>
      <w:r>
        <w:rPr>
          <w:b/>
        </w:rPr>
        <w:t xml:space="preserve">reviews</w:t>
      </w:r>
      <w:r>
        <w:t xml:space="preserve"> what they return, and </w:t>
      </w:r>
      <w:r>
        <w:rPr>
          <w:b/>
        </w:rPr>
        <w:t xml:space="preserve">reconciles</w:t>
      </w:r>
      <w:r>
        <w:t xml:space="preserve"> multiple outputs into a coherent deliverable. Two execution modes are available to it:</w:t>
      </w:r>
    </w:p>
    <w:tbl>
      <w:tblPr>
        <w:tblStyle w:val="TableGrid"/>
        <w:tblW w:w="5000" w:type="pct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rPr>
          <w:tblHeader/>
        </w:trPr>
        <w:tc>
          <w:tcPr>
            <w:tcW w:w="0" w:type="auto"/>
            <w:shd w:val="clear" w:color="auto" w:fill="2E5496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Mode</w:t>
            </w:r>
          </w:p>
        </w:tc>
        <w:tc>
          <w:tcPr>
            <w:tcW w:w="0" w:type="auto"/>
            <w:shd w:val="clear" w:color="auto" w:fill="2E5496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Mechanism</w:t>
            </w:r>
          </w:p>
        </w:tc>
        <w:tc>
          <w:tcPr>
            <w:tcW w:w="0" w:type="auto"/>
            <w:shd w:val="clear" w:color="auto" w:fill="2E5496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When used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Skill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The architect </w:t>
            </w:r>
            <w:r>
              <w:rPr>
                <w:i/>
              </w:rPr>
              <w:t xml:space="preserve">adopts</w:t>
            </w:r>
            <w:r>
              <w:t xml:space="preserve"> the persona in the main conversation thread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Reviews, gateways, consults, single-component work, any persona without a sub-agent</w:t>
            </w:r>
          </w:p>
        </w:tc>
      </w:tr>
      <w:tr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rPr>
                <w:b/>
              </w:rPr>
              <w:t xml:space="preserve">Sub-agent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The architect </w:t>
            </w:r>
            <w:r>
              <w:rPr>
                <w:i/>
              </w:rPr>
              <w:t xml:space="preserve">dispatches</w:t>
            </w:r>
            <w:r>
              <w:t xml:space="preserve"> an isolated agent via the Task tool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Builder work that benefits from isolated, focused execution against a supplied spec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Nine specialists have a sub-agent (under </w:t>
      </w:r>
      <w:r>
        <w:rPr>
          <w:rFonts w:ascii="Consolas" w:hAnsi="Consolas"/>
          <w:color w:val="C7254E"/>
        </w:rPr>
        <w:t xml:space="preserve">agents/</w:t>
      </w:r>
      <w:r>
        <w:t xml:space="preserve">); all 27 personas have a </w:t>
      </w:r>
      <w:r>
        <w:rPr>
          <w:rFonts w:ascii="Consolas" w:hAnsi="Consolas"/>
          <w:color w:val="C7254E"/>
        </w:rPr>
        <w:t xml:space="preserve">SKILL.md</w:t>
      </w:r>
      <w:r>
        <w:t xml:space="preserve"> (under </w:t>
      </w:r>
      <w:r>
        <w:rPr>
          <w:rFonts w:ascii="Consolas" w:hAnsi="Consolas"/>
          <w:color w:val="C7254E"/>
        </w:rPr>
        <w:t xml:space="preserve">skills/</w:t>
      </w:r>
      <w:r>
        <w:t xml:space="preserve">). There are 28 </w:t>
      </w:r>
      <w:r>
        <w:rPr>
          <w:rFonts w:ascii="Consolas" w:hAnsi="Consolas"/>
          <w:color w:val="C7254E"/>
        </w:rPr>
        <w:t xml:space="preserve">SKILL.md</w:t>
      </w:r>
      <w:r>
        <w:t xml:space="preserve"> files — the 27 personas plus </w:t>
      </w:r>
      <w:r>
        <w:rPr>
          <w:rFonts w:ascii="Consolas" w:hAnsi="Consolas"/>
          <w:color w:val="C7254E"/>
        </w:rPr>
        <w:t xml:space="preserve">now-assist-genai</w:t>
      </w:r>
      <w:r>
        <w:t xml:space="preserve">, a reference-knowledge companion paired with the Now Assist Specialist (not itself a roster persona).</w:t>
      </w:r>
    </w:p>
    <w:p>
      <w:pPr>
        <w:pBdr>
          <w:bottom w:val="single" w:sz="6" w:space="1" w:color="C9D3DF"/>
        </w:pBdr>
        <w:spacing w:after="120"/>
      </w:pPr>
    </w:p>
    <w:p>
      <w:pPr>
        <w:pStyle w:val="Heading1"/>
      </w:pPr>
      <w:r>
        <w:t xml:space="preserve">4. The routing protocol (mandatory)</w:t>
      </w:r>
    </w:p>
    <w:p>
      <w:pPr>
        <w:spacing w:after="120"/>
      </w:pPr>
      <w:r>
        <w:t xml:space="preserve">Every substantive task runs through a two-phase protocol. It is not optional; skipping it reintroduces architectural defects.</w:t>
      </w:r>
    </w:p>
    <w:p>
      <w:pPr>
        <w:pStyle w:val="Heading2"/>
      </w:pPr>
      <w:r>
        <w:t xml:space="preserve">Phase 1 — Routing-time evaluation (</w:t>
      </w:r>
      <w:r>
        <w:rPr>
          <w:rFonts w:ascii="Consolas" w:hAnsi="Consolas"/>
          <w:color w:val="C7254E"/>
        </w:rPr>
        <w:t xml:space="preserve">taxonomy.md</w:t>
      </w:r>
      <w:r>
        <w:t xml:space="preserve"> §6.1)</w:t>
      </w:r>
    </w:p>
    <w:p>
      <w:pPr>
        <w:spacing w:after="40"/>
        <w:ind w:left="360" w:hanging="360"/>
      </w:pPr>
      <w:r>
        <w:t xml:space="preserve">1.  </w:t>
      </w:r>
      <w:r>
        <w:rPr>
          <w:b/>
        </w:rPr>
        <w:t xml:space="preserve">Restate</w:t>
      </w:r>
      <w:r>
        <w:t xml:space="preserve"> the task in one sentence.</w:t>
      </w:r>
    </w:p>
    <w:p>
      <w:pPr>
        <w:spacing w:after="40"/>
        <w:ind w:left="360" w:hanging="360"/>
      </w:pPr>
      <w:r>
        <w:t xml:space="preserve">2.  </w:t>
      </w:r>
      <w:r>
        <w:rPr>
          <w:b/>
        </w:rPr>
        <w:t xml:space="preserve">Read engagement context</w:t>
      </w:r>
      <w:r>
        <w:t xml:space="preserve"> (</w:t>
      </w:r>
      <w:r>
        <w:rPr>
          <w:rFonts w:ascii="Consolas" w:hAnsi="Consolas"/>
          <w:color w:val="C7254E"/>
        </w:rPr>
        <w:t xml:space="preserve">clients/&lt;name&gt;/</w:t>
      </w:r>
      <w:r>
        <w:t xml:space="preserve"> instruction overlay and engagement state) when a client is loaded.</w:t>
      </w:r>
    </w:p>
    <w:p>
      <w:pPr>
        <w:spacing w:after="40"/>
        <w:ind w:left="360" w:hanging="360"/>
      </w:pPr>
      <w:r>
        <w:t xml:space="preserve">3.  </w:t>
      </w:r>
      <w:r>
        <w:rPr>
          <w:b/>
        </w:rPr>
        <w:t xml:space="preserve">Surface assumptions and OPEN QUESTIONs</w:t>
      </w:r>
      <w:r>
        <w:t xml:space="preserve">; apply engagement defaults silently, surface only genuine uncertainty.</w:t>
      </w:r>
    </w:p>
    <w:p>
      <w:pPr>
        <w:spacing w:after="40"/>
        <w:ind w:left="360" w:hanging="360"/>
      </w:pPr>
      <w:r>
        <w:t xml:space="preserve">4.  </w:t>
      </w:r>
      <w:r>
        <w:rPr>
          <w:b/>
        </w:rPr>
        <w:t xml:space="preserve">Evaluate §1.1 Baseline-First implications</w:t>
      </w:r>
      <w:r>
        <w:t xml:space="preserve"> — if the request implies a custom table, scoped app, state extension or other major custom object, raise it as a blocking question before any dispatch.</w:t>
      </w:r>
    </w:p>
    <w:p>
      <w:pPr>
        <w:spacing w:after="40"/>
        <w:ind w:left="360" w:hanging="360"/>
      </w:pPr>
      <w:r>
        <w:t xml:space="preserve">5.  </w:t>
      </w:r>
      <w:r>
        <w:rPr>
          <w:b/>
        </w:rPr>
        <w:t xml:space="preserve">Apply the Domain Expert gateway</w:t>
      </w:r>
      <w:r>
        <w:t xml:space="preserve"> — if the task is in a gateway domain, the relevant gateway produces its </w:t>
      </w:r>
      <w:r>
        <w:rPr>
          <w:b/>
        </w:rPr>
        <w:t xml:space="preserve">5-Part Constraint Envelope</w:t>
      </w:r>
      <w:r>
        <w:t xml:space="preserve"> before any builder is invoked.</w:t>
      </w:r>
    </w:p>
    <w:p>
      <w:pPr>
        <w:spacing w:after="40"/>
        <w:ind w:left="360" w:hanging="360"/>
      </w:pPr>
      <w:r>
        <w:t xml:space="preserve">6.  </w:t>
      </w:r>
      <w:r>
        <w:rPr>
          <w:b/>
        </w:rPr>
        <w:t xml:space="preserve">Resolve routing ambiguity</w:t>
      </w:r>
      <w:r>
        <w:t xml:space="preserve"> using </w:t>
      </w:r>
      <w:r>
        <w:rPr>
          <w:rFonts w:ascii="Consolas" w:hAnsi="Consolas"/>
          <w:color w:val="C7254E"/>
        </w:rPr>
        <w:t xml:space="preserve">taxonomy.md</w:t>
      </w:r>
      <w:r>
        <w:t xml:space="preserve">.</w:t>
      </w:r>
    </w:p>
    <w:p>
      <w:pPr>
        <w:spacing w:after="40"/>
        <w:ind w:left="360" w:hanging="360"/>
      </w:pPr>
      <w:r>
        <w:t xml:space="preserve">7.  </w:t>
      </w:r>
      <w:r>
        <w:rPr>
          <w:b/>
        </w:rPr>
        <w:t xml:space="preserve">Flag §3.1 routing-time consults</w:t>
      </w:r>
      <w:r>
        <w:t xml:space="preserve"> (Performance &amp; Scale, Security &amp; GRC, DevOps/Release, Licensing, Estimation).</w:t>
      </w:r>
    </w:p>
    <w:p>
      <w:pPr>
        <w:spacing w:after="40"/>
        <w:ind w:left="360" w:hanging="360"/>
      </w:pPr>
      <w:r>
        <w:t xml:space="preserve">8.  </w:t>
      </w:r>
      <w:r>
        <w:rPr>
          <w:b/>
        </w:rPr>
        <w:t xml:space="preserve">Propose the primary specialist</w:t>
      </w:r>
      <w:r>
        <w:t xml:space="preserve"> with a one-line justification, and </w:t>
      </w:r>
      <w:r>
        <w:rPr>
          <w:b/>
        </w:rPr>
        <w:t xml:space="preserve">wait for approval</w:t>
      </w:r>
      <w:r>
        <w:t xml:space="preserve"> (skipped only when the user invokes a sub-agent by name — but the gateway still fires).</w:t>
      </w:r>
    </w:p>
    <w:p>
      <w:pPr>
        <w:spacing w:after="40"/>
        <w:ind w:left="360" w:hanging="360"/>
      </w:pPr>
      <w:r>
        <w:t xml:space="preserve">9.  </w:t>
      </w:r>
      <w:r>
        <w:rPr>
          <w:b/>
        </w:rPr>
        <w:t xml:space="preserve">Dispatch</w:t>
      </w:r>
      <w:r>
        <w:t xml:space="preserve"> via the Task tool (or adopt the skill), passing the cleaned task, engagement context, Constraint Envelope and output location.</w:t>
      </w:r>
    </w:p>
    <w:p>
      <w:pPr>
        <w:pStyle w:val="Heading2"/>
      </w:pPr>
      <w:r>
        <w:t xml:space="preserve">Phase 2 — Post-build evaluation (</w:t>
      </w:r>
      <w:r>
        <w:rPr>
          <w:rFonts w:ascii="Consolas" w:hAnsi="Consolas"/>
          <w:color w:val="C7254E"/>
        </w:rPr>
        <w:t xml:space="preserve">taxonomy.md</w:t>
      </w:r>
      <w:r>
        <w:t xml:space="preserve"> §6.2)</w:t>
      </w:r>
    </w:p>
    <w:p>
      <w:pPr>
        <w:spacing w:after="120"/>
      </w:pPr>
      <w:r>
        <w:t xml:space="preserve">When a builder returns an artefact, </w:t>
      </w:r>
      <w:r>
        <w:rPr>
          <w:b/>
        </w:rPr>
        <w:t xml:space="preserve">before it is presented as final</w:t>
      </w:r>
      <w:r>
        <w:t xml:space="preserve">:</w:t>
      </w:r>
    </w:p>
    <w:p>
      <w:pPr>
        <w:spacing w:after="40"/>
        <w:ind w:left="360" w:hanging="360"/>
      </w:pPr>
      <w:r>
        <w:t xml:space="preserve">1.  </w:t>
      </w:r>
      <w:r>
        <w:rPr>
          <w:b/>
        </w:rPr>
        <w:t xml:space="preserve">Hold</w:t>
      </w:r>
      <w:r>
        <w:t xml:space="preserve"> the artefact.</w:t>
      </w:r>
    </w:p>
    <w:p>
      <w:pPr>
        <w:spacing w:after="40"/>
        <w:ind w:left="360" w:hanging="360"/>
      </w:pPr>
      <w:r>
        <w:t xml:space="preserve">2.  </w:t>
      </w:r>
      <w:r>
        <w:rPr>
          <w:b/>
        </w:rPr>
        <w:t xml:space="preserve">Classify</w:t>
      </w:r>
      <w:r>
        <w:t xml:space="preserve"> the content (code block / flow / config / pure design).</w:t>
      </w:r>
    </w:p>
    <w:p>
      <w:pPr>
        <w:spacing w:after="40"/>
        <w:ind w:left="360" w:hanging="360"/>
      </w:pPr>
      <w:r>
        <w:t xml:space="preserve">3.  </w:t>
      </w:r>
      <w:r>
        <w:rPr>
          <w:b/>
        </w:rPr>
        <w:t xml:space="preserve">Scan for §1.1 violations</w:t>
      </w:r>
      <w:r>
        <w:t xml:space="preserve"> — new table names, scope prefixes, connection aliases, state values or group structures not present in the dispatch envelope. Any violation triggers a re-dispatch with the halt protocol as the rework brief.</w:t>
      </w:r>
    </w:p>
    <w:p>
      <w:pPr>
        <w:spacing w:after="40"/>
        <w:ind w:left="360" w:hanging="360"/>
      </w:pPr>
      <w:r>
        <w:t xml:space="preserve">4.  </w:t>
      </w:r>
      <w:r>
        <w:rPr>
          <w:b/>
        </w:rPr>
        <w:t xml:space="preserve">Domain Expert re-fires in review mode</w:t>
      </w:r>
      <w:r>
        <w:t xml:space="preserve"> (the second of two gateway firing points per task), validating the artefact against the Constraint Envelope.</w:t>
      </w:r>
    </w:p>
    <w:p>
      <w:pPr>
        <w:spacing w:after="40"/>
        <w:ind w:left="360" w:hanging="360"/>
      </w:pPr>
      <w:r>
        <w:t xml:space="preserve">5.  </w:t>
      </w:r>
      <w:r>
        <w:rPr>
          <w:b/>
        </w:rPr>
        <w:t xml:space="preserve">Evaluate post-build consults</w:t>
      </w:r>
      <w:r>
        <w:t xml:space="preserve"> — Code Reviewer (any JS block), ATF Author (release-path artefacts), Operational Documentation (go-live signal), Diagramming Specialist (design artefacts).</w:t>
      </w:r>
    </w:p>
    <w:p>
      <w:pPr>
        <w:spacing w:after="40"/>
        <w:ind w:left="360" w:hanging="360"/>
      </w:pPr>
      <w:r>
        <w:t xml:space="preserve">6.  </w:t>
      </w:r>
      <w:r>
        <w:rPr>
          <w:b/>
        </w:rPr>
        <w:t xml:space="preserve">Present</w:t>
      </w:r>
      <w:r>
        <w:t xml:space="preserve"> the artefact alongside clearly labelled consult proposals and </w:t>
      </w:r>
      <w:r>
        <w:rPr>
          <w:b/>
        </w:rPr>
        <w:t xml:space="preserve">wait for decisions</w:t>
      </w:r>
      <w:r>
        <w:t xml:space="preserve">.</w:t>
      </w:r>
    </w:p>
    <w:p>
      <w:pPr>
        <w:spacing w:after="40"/>
        <w:ind w:left="360" w:hanging="360"/>
      </w:pPr>
      <w:r>
        <w:t xml:space="preserve">7.  </w:t>
      </w:r>
      <w:r>
        <w:t xml:space="preserve">On a </w:t>
      </w:r>
      <w:r>
        <w:rPr>
          <w:b/>
        </w:rPr>
        <w:t xml:space="preserve">REWORK</w:t>
      </w:r>
      <w:r>
        <w:t xml:space="preserve"> verdict, re-dispatch the originating builder with the findings appended, then re-run §6.2.</w:t>
      </w:r>
    </w:p>
    <w:p>
      <w:pPr>
        <w:pStyle w:val="Heading2"/>
      </w:pPr>
      <w:r>
        <w:t xml:space="preserve">The §1.1 Baseline-First gate</w:t>
      </w:r>
    </w:p>
    <w:p>
      <w:pPr>
        <w:spacing w:after="120"/>
      </w:pPr>
      <w:r>
        <w:t xml:space="preserve">The most consequential rule. A custom table, scoped app, state extension or new group requires an </w:t>
      </w:r>
      <w:r>
        <w:rPr>
          <w:b/>
        </w:rPr>
        <w:t xml:space="preserve">explicit, separate user approval</w:t>
      </w:r>
      <w:r>
        <w:t xml:space="preserve"> — the original task description, however detailed, does </w:t>
      </w:r>
      <w:r>
        <w:rPr>
          <w:b/>
        </w:rPr>
        <w:t xml:space="preserve">not</w:t>
      </w:r>
      <w:r>
        <w:t xml:space="preserve"> constitute authorization (self-authorization is prohibited). When a Domain Expert gateway returns </w:t>
      </w:r>
      <w:r>
        <w:rPr>
          <w:b/>
        </w:rPr>
        <w:t xml:space="preserve">Verdict C</w:t>
      </w:r>
      <w:r>
        <w:t xml:space="preserve">, the engine halts and produces </w:t>
      </w:r>
      <w:r>
        <w:rPr>
          <w:b/>
        </w:rPr>
        <w:t xml:space="preserve">no</w:t>
      </w:r>
      <w:r>
        <w:t xml:space="preserve"> design artefact in that turn; it surfaces the blocking OPEN QUESTION and waits.</w:t>
      </w:r>
    </w:p>
    <w:p>
      <w:pPr>
        <w:pBdr>
          <w:bottom w:val="single" w:sz="6" w:space="1" w:color="C9D3DF"/>
        </w:pBdr>
        <w:spacing w:after="120"/>
      </w:pPr>
    </w:p>
    <w:p>
      <w:pPr>
        <w:pStyle w:val="Heading1"/>
      </w:pPr>
      <w:r>
        <w:t xml:space="preserve">5. The specialist roster (27 personas)</w:t>
      </w:r>
    </w:p>
    <w:tbl>
      <w:tblPr>
        <w:tblStyle w:val="TableGrid"/>
        <w:tblW w:w="5000" w:type="pct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>
            <w:tcW w:w="0" w:type="auto"/>
            <w:shd w:val="clear" w:color="auto" w:fill="2E5496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0" w:type="auto"/>
            <w:shd w:val="clear" w:color="auto" w:fill="2E5496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Specialist</w:t>
            </w:r>
          </w:p>
        </w:tc>
        <w:tc>
          <w:tcPr>
            <w:tcW w:w="0" w:type="auto"/>
            <w:shd w:val="clear" w:color="auto" w:fill="2E5496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Group</w:t>
            </w:r>
          </w:p>
        </w:tc>
        <w:tc>
          <w:tcPr>
            <w:tcW w:w="0" w:type="auto"/>
            <w:shd w:val="clear" w:color="auto" w:fill="2E5496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Sub-agent?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Story Writer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Builder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Yes</w:t>
            </w:r>
          </w:p>
        </w:tc>
      </w:tr>
      <w:tr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HLD / LLD Writer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Builder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Yes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Technical Designer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Builder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Yes</w:t>
            </w:r>
          </w:p>
        </w:tc>
      </w:tr>
      <w:tr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Now Assist Specialist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Builder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Yes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Integration Specialist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Builder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Yes</w:t>
            </w:r>
          </w:p>
        </w:tc>
      </w:tr>
      <w:tr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6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Flow Designer Specialist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Builder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Yes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7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Developer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Builder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Yes</w:t>
            </w:r>
          </w:p>
        </w:tc>
      </w:tr>
      <w:tr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ATF Author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Builder (batch) / Reviewer (inline)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Yes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9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Diagramming Specialist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Builder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Yes</w:t>
            </w:r>
          </w:p>
        </w:tc>
      </w:tr>
      <w:tr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10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Code Reviewer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Reviewer &amp; quality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No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11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Performance &amp; Scale Specialist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Reviewer &amp; quality / consult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No</w:t>
            </w:r>
          </w:p>
        </w:tc>
      </w:tr>
      <w:tr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12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Security &amp; GRC Specialist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Reviewer &amp; quality / consult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No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13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ITSM Specialist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Domain Expert gateway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No</w:t>
            </w:r>
          </w:p>
        </w:tc>
      </w:tr>
      <w:tr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14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CSM Specialist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Domain Expert gateway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No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15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HRSD Specialist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Domain Expert gateway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No</w:t>
            </w:r>
          </w:p>
        </w:tc>
      </w:tr>
      <w:tr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16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ITOM / Discovery Specialist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Domain Expert gateway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No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17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CMDB &amp; CSDM Specialist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Domain Expert gateway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No</w:t>
            </w:r>
          </w:p>
        </w:tc>
      </w:tr>
      <w:tr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18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SPM Specialist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Domain &amp; platform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No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19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App Engine Specialist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Domain &amp; platform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No</w:t>
            </w:r>
          </w:p>
        </w:tc>
      </w:tr>
      <w:tr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20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Migration Specialist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Domain &amp; platform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No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21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Reporting &amp; Analytics Specialist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Domain &amp; platform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No</w:t>
            </w:r>
          </w:p>
        </w:tc>
      </w:tr>
      <w:tr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22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DevOps / Release Manager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Domain &amp; platform / consult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No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23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UI / UX Specialist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Domain &amp; platform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No</w:t>
            </w:r>
          </w:p>
        </w:tc>
      </w:tr>
      <w:tr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24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Discovery Specialist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Consultant (upstream)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No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25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Operational Documentation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Documentation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No</w:t>
            </w:r>
          </w:p>
        </w:tc>
      </w:tr>
      <w:tr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26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Estimation &amp; Sizing Specialist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Advisory consult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No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27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Licensing &amp; Entitlement Specialist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Advisory consult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No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Domain Expert gateways (mandatory)</w:t>
      </w:r>
    </w:p>
    <w:p>
      <w:pPr>
        <w:spacing w:after="120"/>
      </w:pPr>
      <w:r>
        <w:t xml:space="preserve">The five gateways — </w:t>
      </w:r>
      <w:r>
        <w:rPr>
          <w:b/>
        </w:rPr>
        <w:t xml:space="preserve">ITSM, CSM, HRSD, ITOM/Discovery, CMDB &amp; CSDM</w:t>
      </w:r>
      <w:r>
        <w:t xml:space="preserve"> — are the upstream gatekeepers for their domains. Each produces a </w:t>
      </w:r>
      <w:r>
        <w:rPr>
          <w:b/>
        </w:rPr>
        <w:t xml:space="preserve">5-Part Constraint Envelope</w:t>
      </w:r>
      <w:r>
        <w:t xml:space="preserve">: OOB Process Map · Data Model Alignment · §1.1 Verdict · Routing Recommendation · Anti-Patterns. The Envelope becomes the dispatch context for all downstream builders. Gateways fire at </w:t>
      </w:r>
      <w:r>
        <w:rPr>
          <w:b/>
        </w:rPr>
        <w:t xml:space="preserve">Phase 1 Step 5</w:t>
      </w:r>
      <w:r>
        <w:t xml:space="preserve"> (before dispatch) and again at </w:t>
      </w:r>
      <w:r>
        <w:rPr>
          <w:b/>
        </w:rPr>
        <w:t xml:space="preserve">Phase 2 Step 4</w:t>
      </w:r>
      <w:r>
        <w:t xml:space="preserve"> (review mode) — and also before a domain-scoped </w:t>
      </w:r>
      <w:r>
        <w:rPr>
          <w:i/>
        </w:rPr>
        <w:t xml:space="preserve">document</w:t>
      </w:r>
      <w:r>
        <w:t xml:space="preserve"> (proposal, scoping doc, HLD/LLD/PDD) is finalized. Multiple gateways can co-fire on a cross-domain task and reconcile into one dispatch context; any single Verdict C halts the whole dispatch. The CMDB &amp; CSDM ↔ ITOM/Discovery boundary is explicit: </w:t>
      </w:r>
      <w:r>
        <w:rPr>
          <w:b/>
        </w:rPr>
        <w:t xml:space="preserve">ITOM owns CI population</w:t>
      </w:r>
      <w:r>
        <w:t xml:space="preserve"> (Discovery/MID/patterns/Service Mapping execution), </w:t>
      </w:r>
      <w:r>
        <w:rPr>
          <w:b/>
        </w:rPr>
        <w:t xml:space="preserve">CMDB &amp; CSDM owns the model</w:t>
      </w:r>
      <w:r>
        <w:t xml:space="preserve"> (class/CSDM placement, IRE design).</w:t>
      </w:r>
    </w:p>
    <w:p>
      <w:pPr>
        <w:pStyle w:val="Heading2"/>
      </w:pPr>
      <w:r>
        <w:t xml:space="preserve">Builders (nine sub-agents)</w:t>
      </w:r>
    </w:p>
    <w:p>
      <w:pPr>
        <w:spacing w:after="120"/>
      </w:pPr>
      <w:r>
        <w:t xml:space="preserve">Dispatched via the Task tool once the Envelope is cleared and the handoff approved. Each returns its artefact(s) plus a §6.2 post-build proposal manifest. Builder-pair routing rules keep jurisdictions clean: </w:t>
      </w:r>
      <w:r>
        <w:rPr>
          <w:b/>
        </w:rPr>
        <w:t xml:space="preserve">Integration Specialist owns the plumbing</w:t>
      </w:r>
      <w:r>
        <w:t xml:space="preserve">, </w:t>
      </w:r>
      <w:r>
        <w:rPr>
          <w:b/>
        </w:rPr>
        <w:t xml:space="preserve">Flow Designer owns the orchestration</w:t>
      </w:r>
      <w:r>
        <w:t xml:space="preserve">, </w:t>
      </w:r>
      <w:r>
        <w:rPr>
          <w:b/>
        </w:rPr>
        <w:t xml:space="preserve">Developer owns the code</w:t>
      </w:r>
      <w:r>
        <w:t xml:space="preserve"> — multi-jurisdiction requests are sequenced, never collapsed into one agent.</w:t>
      </w:r>
    </w:p>
    <w:p>
      <w:pPr>
        <w:pStyle w:val="Heading2"/>
      </w:pPr>
      <w:r>
        <w:t xml:space="preserve">Reviewers, specialists, consultants &amp; documentation</w:t>
      </w:r>
    </w:p>
    <w:p>
      <w:pPr>
        <w:spacing w:after="120"/>
      </w:pPr>
      <w:r>
        <w:t xml:space="preserve">Skill-only personas adopted in the main thread. </w:t>
      </w:r>
      <w:r>
        <w:rPr>
          <w:b/>
        </w:rPr>
        <w:t xml:space="preserve">Code Reviewer</w:t>
      </w:r>
      <w:r>
        <w:t xml:space="preserve"> runs four checklists (style, performance, security, best-practice) post-build. </w:t>
      </w:r>
      <w:r>
        <w:rPr>
          <w:b/>
        </w:rPr>
        <w:t xml:space="preserve">Performance &amp; Scale</w:t>
      </w:r>
      <w:r>
        <w:t xml:space="preserve"> and </w:t>
      </w:r>
      <w:r>
        <w:rPr>
          <w:b/>
        </w:rPr>
        <w:t xml:space="preserve">Security &amp; GRC</w:t>
      </w:r>
      <w:r>
        <w:t xml:space="preserve"> act as both routing-time consults and post-build reviewers. The </w:t>
      </w:r>
      <w:r>
        <w:rPr>
          <w:b/>
        </w:rPr>
        <w:t xml:space="preserve">domain &amp; platform specialists</w:t>
      </w:r>
      <w:r>
        <w:t xml:space="preserve"> (SPM, App Engine, Migration, Reporting &amp; Analytics, DevOps/Release, UI/UX) are adopted when their concern is in scope. </w:t>
      </w:r>
      <w:r>
        <w:rPr>
          <w:b/>
        </w:rPr>
        <w:t xml:space="preserve">Discovery Specialist</w:t>
      </w:r>
      <w:r>
        <w:t xml:space="preserve"> sits upstream of the protocol and produces the structured Discovery Output that gateways and the Story Writer consume. </w:t>
      </w:r>
      <w:r>
        <w:rPr>
          <w:b/>
        </w:rPr>
        <w:t xml:space="preserve">Operational Documentation</w:t>
      </w:r>
      <w:r>
        <w:t xml:space="preserve"> produces runbooks and KBAs on a go-live signal. </w:t>
      </w:r>
      <w:r>
        <w:rPr>
          <w:b/>
        </w:rPr>
        <w:t xml:space="preserve">Estimation &amp; Sizing</w:t>
      </w:r>
      <w:r>
        <w:t xml:space="preserve"> and </w:t>
      </w:r>
      <w:r>
        <w:rPr>
          <w:b/>
        </w:rPr>
        <w:t xml:space="preserve">Licensing &amp; Entitlement</w:t>
      </w:r>
      <w:r>
        <w:t xml:space="preserve"> are advisory consults that size scope and price the licensing consequence of a design.</w:t>
      </w:r>
    </w:p>
    <w:p>
      <w:pPr>
        <w:pBdr>
          <w:bottom w:val="single" w:sz="6" w:space="1" w:color="C9D3DF"/>
        </w:pBdr>
        <w:spacing w:after="120"/>
      </w:pPr>
    </w:p>
    <w:p>
      <w:pPr>
        <w:pStyle w:val="Heading1"/>
      </w:pPr>
      <w:r>
        <w:t xml:space="preserve">6. Cross-cutting consults</w:t>
      </w:r>
    </w:p>
    <w:p>
      <w:pPr>
        <w:pStyle w:val="Heading2"/>
      </w:pPr>
      <w:r>
        <w:t xml:space="preserve">Routing-time consults (</w:t>
      </w:r>
      <w:r>
        <w:rPr>
          <w:rFonts w:ascii="Consolas" w:hAnsi="Consolas"/>
          <w:color w:val="C7254E"/>
        </w:rPr>
        <w:t xml:space="preserve">taxonomy.md</w:t>
      </w:r>
      <w:r>
        <w:t xml:space="preserve"> §3.1)</w:t>
      </w:r>
    </w:p>
    <w:tbl>
      <w:tblPr>
        <w:tblStyle w:val="TableGrid"/>
        <w:tblW w:w="5000" w:type="pct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  <w:tblLook w:val="04A0" w:firstRow="1" w:lastRow="0" w:firstColumn="1" w:lastColumn="0" w:noHBand="0" w:noVBand="1"/>
      </w:tblPr>
      <w:tblGrid>
        <w:gridCol/>
        <w:gridCol/>
      </w:tblGrid>
      <w:tr>
        <w:trPr>
          <w:tblHeader/>
        </w:trPr>
        <w:tc>
          <w:tcPr>
            <w:tcW w:w="0" w:type="auto"/>
            <w:shd w:val="clear" w:color="auto" w:fill="2E5496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Consultant</w:t>
            </w:r>
          </w:p>
        </w:tc>
        <w:tc>
          <w:tcPr>
            <w:tcW w:w="0" w:type="auto"/>
            <w:shd w:val="clear" w:color="auto" w:fill="2E5496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Trigger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Performance &amp; Scale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&gt;1M-record volumes, async/batch design, instance scaling, large-table queries</w:t>
            </w:r>
          </w:p>
        </w:tc>
      </w:tr>
      <w:tr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Security &amp; GRC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Non-trivial ACL design, PII, SecOps, GDPR/regulatory controls, sensitive integrations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DevOps / Release Manager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New scoped apps, update-set strategy, deployment pipeline design</w:t>
            </w:r>
          </w:p>
        </w:tc>
      </w:tr>
      <w:tr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Licensing &amp; Entitlement</w:t>
            </w:r>
          </w:p>
        </w:tc>
        <w:tc>
          <w:tcPr>
            <w:tcW w:w="0" w:type="auto"/>
            <w:shd w:val="clear" w:color="auto" w:fill="EEF3F9"/>
          </w:tcPr>
          <w:p>
            <w:pPr>
              <w:spacing w:before="20" w:after="20"/>
            </w:pPr>
            <w:r>
              <w:t xml:space="preserve">Custom table/scoped app, new fulfiller role, Now Assist or premium SKU, third-party SaaS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Estimation &amp; Sizing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A delivery commitment forming, or a "how long / how big / LOE / story points" ask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Post-build consults (</w:t>
      </w:r>
      <w:r>
        <w:rPr>
          <w:rFonts w:ascii="Consolas" w:hAnsi="Consolas"/>
          <w:color w:val="C7254E"/>
        </w:rPr>
        <w:t xml:space="preserve">taxonomy.md</w:t>
      </w:r>
      <w:r>
        <w:t xml:space="preserve"> §3.2)</w:t>
      </w:r>
    </w:p>
    <w:p>
      <w:pPr>
        <w:spacing w:after="120"/>
      </w:pPr>
      <w:r>
        <w:t xml:space="preserve">The Domain Expert review (Phase 2 Step 4), Code Reviewer (any JS artefact), ATF Author (release-path artefacts), Operational Documentation (go-live signal) and Diagramming Specialist (design artefacts) all fire after a builder returns. The proposals are surfaced together; the user decides each.</w:t>
      </w:r>
    </w:p>
    <w:p>
      <w:pPr>
        <w:pBdr>
          <w:bottom w:val="single" w:sz="6" w:space="1" w:color="C9D3DF"/>
        </w:pBdr>
        <w:spacing w:after="120"/>
      </w:pPr>
    </w:p>
    <w:p>
      <w:pPr>
        <w:pStyle w:val="Heading1"/>
      </w:pPr>
      <w:r>
        <w:t xml:space="preserve">7. Governance rails (cross-cutting)</w:t>
      </w:r>
    </w:p>
    <w:p>
      <w:pPr>
        <w:spacing w:after="120"/>
      </w:pPr>
      <w:r>
        <w:t xml:space="preserve">These run across every task, regardless of specialist (</w:t>
      </w:r>
      <w:r>
        <w:rPr>
          <w:rFonts w:ascii="Consolas" w:hAnsi="Consolas"/>
          <w:color w:val="C7254E"/>
        </w:rPr>
        <w:t xml:space="preserve">governance-rules.md</w:t>
      </w:r>
      <w:r>
        <w:t xml:space="preserve">):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§1.1 Baseline-First</w:t>
      </w:r>
      <w:r>
        <w:t xml:space="preserve"> — zero custom objects without explicit, separate approval; self-authorization prohibited.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§2.1 MCP write-approval gate</w:t>
      </w:r>
      <w:r>
        <w:t xml:space="preserve"> — every live-instance write requires an explicit "write approved" in the current conversation; tier upgrades, prior read approvals and the original task description do </w:t>
      </w:r>
      <w:r>
        <w:rPr>
          <w:b/>
        </w:rPr>
        <w:t xml:space="preserve">not</w:t>
      </w:r>
      <w:r>
        <w:t xml:space="preserve"> count.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§2.2 Update-set capture</w:t>
      </w:r>
      <w:r>
        <w:t xml:space="preserve"> — before any configuration write, the authenticated user's </w:t>
      </w:r>
      <w:r>
        <w:rPr>
          <w:rFonts w:ascii="Consolas" w:hAnsi="Consolas"/>
          <w:color w:val="C7254E"/>
        </w:rPr>
        <w:t xml:space="preserve">sys_update_set</w:t>
      </w:r>
      <w:r>
        <w:t xml:space="preserve"> preference must point at the target update set, so created/updated objects are captured and promotable.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§4 Delivery artefact governance</w:t>
      </w:r>
      <w:r>
        <w:t xml:space="preserve"> — every §1.1 ruling is recorded as an </w:t>
      </w:r>
      <w:r>
        <w:rPr>
          <w:b/>
        </w:rPr>
        <w:t xml:space="preserve">ADR</w:t>
      </w:r>
      <w:r>
        <w:t xml:space="preserve">; the </w:t>
      </w:r>
      <w:r>
        <w:rPr>
          <w:b/>
        </w:rPr>
        <w:t xml:space="preserve">Requirements Traceability Matrix</w:t>
      </w:r>
      <w:r>
        <w:t xml:space="preserve"> links requirement → story → design → build → test → deploy; </w:t>
      </w:r>
      <w:r>
        <w:rPr>
          <w:b/>
        </w:rPr>
        <w:t xml:space="preserve">RAID</w:t>
      </w:r>
      <w:r>
        <w:t xml:space="preserve"> and </w:t>
      </w:r>
      <w:r>
        <w:rPr>
          <w:b/>
        </w:rPr>
        <w:t xml:space="preserve">NFR</w:t>
      </w:r>
      <w:r>
        <w:t xml:space="preserve"> logs capture open questions and non-functional targets. Templates live in </w:t>
      </w:r>
      <w:r>
        <w:rPr>
          <w:rFonts w:ascii="Consolas" w:hAnsi="Consolas"/>
          <w:color w:val="C7254E"/>
        </w:rPr>
        <w:t xml:space="preserve">reference/templates/</w:t>
      </w:r>
      <w:r>
        <w:t xml:space="preserve">.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Confidentiality firewall</w:t>
      </w:r>
      <w:r>
        <w:t xml:space="preserve"> — per-client folder discipline; no client content echoed into generic locations; the firewall is checked before the first dispatch of any multi-builder sequence.</w:t>
      </w:r>
    </w:p>
    <w:p>
      <w:pPr>
        <w:pBdr>
          <w:bottom w:val="single" w:sz="6" w:space="1" w:color="C9D3DF"/>
        </w:pBdr>
        <w:spacing w:after="120"/>
      </w:pPr>
    </w:p>
    <w:p>
      <w:pPr>
        <w:pStyle w:val="Heading1"/>
      </w:pPr>
      <w:r>
        <w:t xml:space="preserve">8. Grounding, templates &amp; assets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`ServiceNowDocs/`</w:t>
      </w:r>
      <w:r>
        <w:t xml:space="preserve"> — the official documentation submodule (Australia release family). Read first; cite the path. Version-sensitive answers are confirmed against the engagement's release family.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`reference/templates/`</w:t>
      </w:r>
      <w:r>
        <w:t xml:space="preserve"> — engine-level reusable templates: ADR, traceability matrix, RAID log, NFR checklist.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`prompt-patterns.md`</w:t>
      </w:r>
      <w:r>
        <w:t xml:space="preserve"> — reusable prompt templates PP-01…PP-24, referenced by ID when a request maps to one.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`docs/`</w:t>
      </w:r>
      <w:r>
        <w:t xml:space="preserve"> — the cross-laptop knowledge base (e.g. platform/API field notes), restored by </w:t>
      </w:r>
      <w:r>
        <w:rPr>
          <w:rFonts w:ascii="Consolas" w:hAnsi="Consolas"/>
          <w:color w:val="C7254E"/>
        </w:rPr>
        <w:t xml:space="preserve">git clone</w:t>
      </w:r>
      <w:r>
        <w:t xml:space="preserve">.</w:t>
      </w:r>
    </w:p>
    <w:p>
      <w:pPr>
        <w:spacing w:after="40"/>
        <w:ind w:left="360" w:hanging="360"/>
      </w:pPr>
      <w:r>
        <w:t xml:space="preserve">•  </w:t>
      </w:r>
      <w:r>
        <w:rPr>
          <w:b/>
        </w:rPr>
        <w:t xml:space="preserve">Skills &amp; agents</w:t>
      </w:r>
      <w:r>
        <w:t xml:space="preserve"> — </w:t>
      </w:r>
      <w:r>
        <w:rPr>
          <w:rFonts w:ascii="Consolas" w:hAnsi="Consolas"/>
          <w:color w:val="C7254E"/>
        </w:rPr>
        <w:t xml:space="preserve">skills/&lt;name&gt;/SKILL.md</w:t>
      </w:r>
      <w:r>
        <w:t xml:space="preserve"> (+ </w:t>
      </w:r>
      <w:r>
        <w:rPr>
          <w:rFonts w:ascii="Consolas" w:hAnsi="Consolas"/>
          <w:color w:val="C7254E"/>
        </w:rPr>
        <w:t xml:space="preserve">EXAMPLES.md</w:t>
      </w:r>
      <w:r>
        <w:t xml:space="preserve">) per persona; </w:t>
      </w:r>
      <w:r>
        <w:rPr>
          <w:rFonts w:ascii="Consolas" w:hAnsi="Consolas"/>
          <w:color w:val="C7254E"/>
        </w:rPr>
        <w:t xml:space="preserve">agents/&lt;name&gt;.md</w:t>
      </w:r>
      <w:r>
        <w:t xml:space="preserve"> per sub-agent. Citation and structural integrity are enforced at commit time by </w:t>
      </w:r>
      <w:r>
        <w:rPr>
          <w:rFonts w:ascii="Consolas" w:hAnsi="Consolas"/>
          <w:color w:val="C7254E"/>
        </w:rPr>
        <w:t xml:space="preserve">scripts/verify-citations.sh</w:t>
      </w:r>
      <w:r>
        <w:t xml:space="preserve"> and </w:t>
      </w:r>
      <w:r>
        <w:rPr>
          <w:rFonts w:ascii="Consolas" w:hAnsi="Consolas"/>
          <w:color w:val="C7254E"/>
        </w:rPr>
        <w:t xml:space="preserve">scripts/verify-structure.sh</w:t>
      </w:r>
      <w:r>
        <w:t xml:space="preserve">.</w:t>
      </w:r>
    </w:p>
    <w:p>
      <w:pPr>
        <w:pBdr>
          <w:bottom w:val="single" w:sz="6" w:space="1" w:color="C9D3DF"/>
        </w:pBdr>
        <w:spacing w:after="120"/>
      </w:pPr>
    </w:p>
    <w:p>
      <w:pPr>
        <w:pStyle w:val="Heading1"/>
      </w:pPr>
      <w:r>
        <w:t xml:space="preserve">9. Worked example — end-to-end multi-builder request</w:t>
      </w:r>
    </w:p>
    <w:p>
      <w:pPr>
        <w:spacing w:after="120"/>
      </w:pPr>
      <w:r>
        <w:rPr>
          <w:b/>
        </w:rPr>
        <w:t xml:space="preserve">Prompt:</w:t>
      </w:r>
      <w:r>
        <w:t xml:space="preserve"> </w:t>
      </w:r>
      <w:r>
        <w:rPr>
          <w:i/>
        </w:rPr>
        <w:t xml:space="preserve">"Build an integration that posts P1/P2 incidents to Azure DevOps on resolve. Volume ~100/day."</w:t>
      </w:r>
    </w:p>
    <w:p>
      <w:pPr>
        <w:spacing w:after="40"/>
        <w:ind w:left="360" w:hanging="360"/>
      </w:pPr>
      <w:r>
        <w:t xml:space="preserve">1.  </w:t>
      </w:r>
      <w:r>
        <w:rPr>
          <w:b/>
        </w:rPr>
        <w:t xml:space="preserve">Restate</w:t>
      </w:r>
      <w:r>
        <w:t xml:space="preserve"> and read engagement context.</w:t>
      </w:r>
    </w:p>
    <w:p>
      <w:pPr>
        <w:spacing w:after="40"/>
        <w:ind w:left="360" w:hanging="360"/>
      </w:pPr>
      <w:r>
        <w:t xml:space="preserve">2.  </w:t>
      </w:r>
      <w:r>
        <w:rPr>
          <w:b/>
        </w:rPr>
        <w:t xml:space="preserve">Domain Expert gateway (Phase 1 Step 5):</w:t>
      </w:r>
      <w:r>
        <w:t xml:space="preserve"> incidents → ITSM Specialist produces the 5-Part Constraint Envelope; confirms </w:t>
      </w:r>
      <w:r>
        <w:rPr>
          <w:rFonts w:ascii="Consolas" w:hAnsi="Consolas"/>
          <w:color w:val="C7254E"/>
        </w:rPr>
        <w:t xml:space="preserve">incident</w:t>
      </w:r>
      <w:r>
        <w:t xml:space="preserve">, </w:t>
      </w:r>
      <w:r>
        <w:rPr>
          <w:rFonts w:ascii="Consolas" w:hAnsi="Consolas"/>
          <w:color w:val="C7254E"/>
        </w:rPr>
        <w:t xml:space="preserve">priority</w:t>
      </w:r>
      <w:r>
        <w:t xml:space="preserve">, </w:t>
      </w:r>
      <w:r>
        <w:rPr>
          <w:rFonts w:ascii="Consolas" w:hAnsi="Consolas"/>
          <w:color w:val="C7254E"/>
        </w:rPr>
        <w:t xml:space="preserve">state</w:t>
      </w:r>
      <w:r>
        <w:t xml:space="preserve">, </w:t>
      </w:r>
      <w:r>
        <w:rPr>
          <w:rFonts w:ascii="Consolas" w:hAnsi="Consolas"/>
          <w:color w:val="C7254E"/>
        </w:rPr>
        <w:t xml:space="preserve">resolve_time</w:t>
      </w:r>
      <w:r>
        <w:t xml:space="preserve"> are all baseline; </w:t>
      </w:r>
      <w:r>
        <w:rPr>
          <w:b/>
        </w:rPr>
        <w:t xml:space="preserve">Verdict A</w:t>
      </w:r>
      <w:r>
        <w:t xml:space="preserve"> — baseline IntegrationHub spoke, no custom table. Envelope recorded as dispatch context.</w:t>
      </w:r>
    </w:p>
    <w:p>
      <w:pPr>
        <w:spacing w:after="40"/>
        <w:ind w:left="360" w:hanging="360"/>
      </w:pPr>
      <w:r>
        <w:t xml:space="preserve">3.  </w:t>
      </w:r>
      <w:r>
        <w:rPr>
          <w:b/>
        </w:rPr>
        <w:t xml:space="preserve">Routing:</w:t>
      </w:r>
      <w:r>
        <w:t xml:space="preserve"> Integration Specialist (plumbing) → Flow Designer Specialist (trigger + orchestration) → Developer (any custom scripts). </w:t>
      </w:r>
      <w:r>
        <w:rPr>
          <w:b/>
        </w:rPr>
        <w:t xml:space="preserve">§3.1 consults flagged:</w:t>
      </w:r>
      <w:r>
        <w:t xml:space="preserve"> Security &amp; GRC (outbound, incident data in payload), DevOps/Release (update-set strategy).</w:t>
      </w:r>
    </w:p>
    <w:p>
      <w:pPr>
        <w:spacing w:after="40"/>
        <w:ind w:left="360" w:hanging="360"/>
      </w:pPr>
      <w:r>
        <w:t xml:space="preserve">4.  </w:t>
      </w:r>
      <w:r>
        <w:rPr>
          <w:b/>
        </w:rPr>
        <w:t xml:space="preserve">Propose the sequenced plan; await approval.</w:t>
      </w:r>
    </w:p>
    <w:p>
      <w:pPr>
        <w:spacing w:after="40"/>
        <w:ind w:left="360" w:hanging="360"/>
      </w:pPr>
      <w:r>
        <w:t xml:space="preserve">5.  </w:t>
      </w:r>
      <w:r>
        <w:rPr>
          <w:b/>
        </w:rPr>
        <w:t xml:space="preserve">Dispatch</w:t>
      </w:r>
      <w:r>
        <w:t xml:space="preserve"> each builder in turn. After each returns, </w:t>
      </w:r>
      <w:r>
        <w:rPr>
          <w:b/>
        </w:rPr>
        <w:t xml:space="preserve">§6.2</w:t>
      </w:r>
      <w:r>
        <w:t xml:space="preserve"> fires: §1.1 scan, ITSM re-fires in review mode, and any JS block triggers the </w:t>
      </w:r>
      <w:r>
        <w:rPr>
          <w:b/>
        </w:rPr>
        <w:t xml:space="preserve">Code Reviewer</w:t>
      </w:r>
      <w:r>
        <w:t xml:space="preserve"> proposal.</w:t>
      </w:r>
    </w:p>
    <w:p>
      <w:pPr>
        <w:spacing w:after="40"/>
        <w:ind w:left="360" w:hanging="360"/>
      </w:pPr>
      <w:r>
        <w:t xml:space="preserve">6.  </w:t>
      </w:r>
      <w:r>
        <w:rPr>
          <w:b/>
        </w:rPr>
        <w:t xml:space="preserve">Present</w:t>
      </w:r>
      <w:r>
        <w:t xml:space="preserve"> the integration spec + flow spec + code + review verdict together.</w:t>
      </w:r>
    </w:p>
    <w:p>
      <w:pPr>
        <w:spacing w:after="120"/>
      </w:pPr>
      <w:r>
        <w:t xml:space="preserve">The Domain Expert fires twice (Phase 1 Step 5 and Phase 2 Step 4); the Code Reviewer fires whenever a builder returns code. Both happen automatically, without the user prompting them.</w:t>
      </w:r>
    </w:p>
    <w:p>
      <w:pPr>
        <w:pBdr>
          <w:bottom w:val="single" w:sz="6" w:space="1" w:color="C9D3DF"/>
        </w:pBdr>
        <w:spacing w:after="120"/>
      </w:pPr>
    </w:p>
    <w:p>
      <w:pPr>
        <w:spacing w:after="120"/>
      </w:pPr>
      <w:r>
        <w:rPr>
          <w:i/>
        </w:rPr>
        <w:t xml:space="preserve">Generated from the engine's own configuration — `CLAUDE.md` v2.8.0, `taxonomy.md`, `governance-rules.md`, `prompt-patterns.md`, and the live `skills/` and `agents/` trees. Roster: 27 specialist personas (9 with sub-agents); 28 `SKILL.md` files (27 personas + the `now-assist-genai` companion); 9 sub-agents under `agents/`.</w:t>
      </w:r>
    </w:p>
    <w:p/>
    <w:sectPr>
      <w:footerReference w:type="default" r:id="rIdFooter"/>
      <w:pgSz w:w="11906" w:h="16838"/>
      <w:pgMar w:top="1440" w:right="1440" w:bottom="1440" w:left="1440" w:header="708" w:footer="566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6" w:color="C9D3DF"/>
      </w:pBdr>
      <w:tabs>
        <w:tab w:val="right" w:pos="9026"/>
      </w:tabs>
      <w:spacing w:before="0" w:after="0"/>
      <w:rPr>
        <w:color w:val="64748B"/>
        <w:sz w:val="16"/>
      </w:rPr>
    </w:pPr>
    <w:r>
      <w:rPr>
        <w:color w:val="64748B"/>
        <w:sz w:val="16"/>
      </w:rPr>
      <w:t xml:space="preserve">ServiceNow Architecture Engine v2.8.0 | Internal architecture reference</w:t>
    </w:r>
    <w:r>
      <w:rPr>
        <w:color w:val="64748B"/>
        <w:sz w:val="16"/>
      </w:rPr>
      <w:tab/>
      <w:t xml:space="preserve">Page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 xml:space="preserve"> PAGE </w:instrText>
    </w:r>
    <w:r>
      <w:rPr>
        <w:color w:val="64748B"/>
        <w:sz w:val="16"/>
      </w:rPr>
      <w:fldChar w:fldCharType="end"/>
    </w:r>
    <w:r>
      <w:rPr>
        <w:color w:val="64748B"/>
        <w:sz w:val="16"/>
      </w:rPr>
      <w:t xml:space="preserve"> of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 xml:space="preserve"> NUMPAGES </w:instrText>
    </w:r>
    <w:r>
      <w:rPr>
        <w:color w:val="64748B"/>
        <w:sz w:val="16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40" w:type="dxa"/>
        <w:left w:w="100" w:type="dxa"/>
        <w:bottom w:w="40" w:type="dxa"/>
        <w:right w:w="100" w:type="dxa"/>
      </w:tblCellMar>
    </w:tblPr>
  </w:style>
  <w:style w:type="paragraph" w:styleId="Title">
    <w:name w:val="Title"/>
    <w:basedOn w:val="Normal"/>
    <w:next w:val="Normal"/>
    <w:pPr>
      <w:shd w:val="clear" w:color="auto" w:fill="1F3864"/>
      <w:spacing w:before="160" w:after="160"/>
      <w:ind w:left="144" w:right="144"/>
    </w:pPr>
    <w:rPr>
      <w:b/>
      <w:color w:val="FFFFFF"/>
      <w:sz w:val="52"/>
      <w:szCs w:val="52"/>
    </w:rPr>
  </w:style>
  <w:style w:type="paragraph" w:styleId="Heading1">
    <w:name w:val="heading 1"/>
    <w:basedOn w:val="Normal"/>
    <w:next w:val="Normal"/>
    <w:pPr>
      <w:keepNext/>
      <w:pBdr>
        <w:bottom w:val="single" w:sz="6" w:space="3" w:color="2E5496"/>
      </w:pBdr>
      <w:spacing w:before="300" w:after="12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00" w:after="80"/>
      <w:outlineLvl w:val="1"/>
    </w:pPr>
    <w:rPr>
      <w:b/>
      <w:color w:val="2E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160" w:after="60"/>
      <w:outlineLvl w:val="2"/>
    </w:pPr>
    <w:rPr>
      <w:b/>
      <w:color w:val="44546A"/>
      <w:sz w:val="24"/>
      <w:szCs w:val="24"/>
    </w:rPr>
  </w:style>
  <w:style w:type="table" w:styleId="TableGrid">
    <w:name w:val="Table Grid"/>
    <w:basedOn w:val="TableNormal"/>
    <w:tblPr>
      <w:tblBorders>
        <w:top w:val="single" w:sz="4" w:space="0" w:color="C9D3DF"/>
        <w:left w:val="single" w:sz="4" w:space="0" w:color="C9D3DF"/>
        <w:bottom w:val="single" w:sz="4" w:space="0" w:color="C9D3DF"/>
        <w:right w:val="single" w:sz="4" w:space="0" w:color="C9D3DF"/>
        <w:insideH w:val="single" w:sz="4" w:space="0" w:color="C9D3DF"/>
        <w:insideV w:val="single" w:sz="4" w:space="0" w:color="C9D3DF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Img1" Type="http://schemas.openxmlformats.org/officeDocument/2006/relationships/image" Target="media/image1.png"/></Relationships>
</file>