
<file path=[Content_Types].xml><?xml version="1.0" encoding="utf-8"?>
<Types xmlns="http://schemas.openxmlformats.org/package/2006/content-types">
  <Default ContentType="application/x-font-ttf" Extension="eot"/>
  <Default ContentType="image/gif" Extension="gif"/>
  <Default ContentType="image/jpeg" Extension="jpeg"/>
  <Default ContentType="image/jpeg" Extension="jpg"/>
  <Default ContentType="application/x-font-ttf" Extension="otf"/>
  <Default ContentType="image/png" Extension="png"/>
  <Default ContentType="application/vnd.openxmlformats-package.relationships+xml" Extension="rels"/>
  <Default ContentType="image/tiff" Extension="tiff"/>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1"/>
        <w:gridCol w:w="3940"/>
        <w:gridCol w:w="3600"/>
        <w:gridCol w:w="3860"/>
        <w:gridCol w:w="100"/>
      </w:tblGrid>
      <w:tr>
        <w:trPr>
          <w:trHeight w:hRule="exact" w:val="600"/>
        </w:trPr>
        <w:tc>
          <w:tcPr>
     </w:tcPr>
          <w:p>
            <w:pPr>
              <w:pStyle w:val="EMPTY_CELL_STYLE"/>
            </w:pPr>
            <w:bookmarkStart w:id="0" w:name="JR_PAGE_ANCHOR_0_1"/>
            <w:bookmarkEnd w:id="0"/>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40"/>
        </w:trPr>
        <w:tc>
          <w:tcPr>
     </w:tcPr>
          <w:p>
            <w:pPr>
              <w:pStyle w:val="EMPTY_CELL_STYLE"/>
            </w:pPr>
          </w:p>
        </w:tc>
        <w:tc>
          <w:tcPr>
     </w:tcPr>
          <w:p>
            <w:pPr>
              <w:pStyle w:val="EMPTY_CELL_STYLE"/>
            </w:pPr>
          </w:p>
        </w:tc>
        <w:tc>
          <w:tcPr>
            <w:vMerge w:val="restart"/>
            <w:tcMar>
              <w:top w:w="0" w:type="dxa"/>
              <w:left w:w="0" w:type="dxa"/>
              <w:bottom w:w="0" w:type="dxa"/>
              <w:right w:w="0" w:type="dxa"/>
            </w:tcMar>
            <w:vAlign w:val="top"/>
          </w:tcPr>
          <w:p>
            <w:pPr>
              <w:jc w:val="left"/>
              <w:spacing w:lineRule="auto" w:line="240" w:after="0" w:before="0"/>
            </w:pPr>
            <w:r>
              <w:rPr/>
              <w:drawing>
                <wp:anchor distT="0" distB="0" distL="0" distR="0" simplePos="0" relativeHeight="0" behindDoc="0" locked="0" layoutInCell="1" allowOverlap="1">
                  <wp:simplePos x="0" y="0"/>
                  <wp:positionH relativeFrom="column">
                    <wp:posOffset>0</wp:posOffset>
                  </wp:positionH>
                  <wp:positionV relativeFrom="paragraph">
                    <wp:posOffset>0</wp:posOffset>
                  </wp:positionV>
                  <wp:extent cx="2286000" cy="635000"/>
                  <wp:effectExtent l="0" t="0" r="0" b="0"/>
                  <wp:wrapNone/>
                  <wp:docPr id="527574480" name="Picture">
</wp:docPr>
                  <a:graphic>
                    <a:graphicData uri="http://schemas.openxmlformats.org/drawingml/2006/picture">
                      <pic:pic>
                        <pic:nvPicPr>
                          <pic:cNvPr id="527574480" name="Picture"/>
                          <pic:cNvPicPr/>
                        </pic:nvPicPr>
                        <pic:blipFill>
                          <a:blip r:embed="img_0_0_3.jpg"/>
                          <a:srcRect/>
                          <a:stretch>
                            <a:fillRect l="0" t="0" r="8888" b="0"/>
                          </a:stretch>
                        </pic:blipFill>
                        <pic:spPr>
                          <a:xfrm rot="0">
                            <a:off x="0" y="0"/>
                            <a:ext cx="2286000" cy="635000"/>
                          </a:xfrm>
                          <a:prstGeom prst="rect"/>
                        </pic:spPr>
                      </pic:pic>
                    </a:graphicData>
                  </a:graphic>
                </wp:anchor>
              </w:drawing>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vMerge w:val="continue"/>
            <w:tcMar>
              <w:top w:w="0" w:type="dxa"/>
              <w:left w:w="0" w:type="dxa"/>
              <w:bottom w:w="0" w:type="dxa"/>
              <w:right w:w="0" w:type="dxa"/>
            </w:tcMar>
            <w:vAlign w:val="top"/>
          </w:tcPr>
          <w:p>
            <w:pPr>
              <w:pStyle w:val="EMPTY_CELL_STYLE"/>
            </w:pPr>
          </w:p>
        </w:tc>
        <w:tc>
          <w:tcPr>
     </w:tcPr>
          <w:p>
            <w:pPr>
              <w:pStyle w:val="EMPTY_CELL_STYLE"/>
            </w:pPr>
          </w:p>
        </w:tc>
        <w:tc>
          <w:tcPr>
     </w:tcPr>
          <w:p>
            <w:pPr>
              <w:pStyle w:val="EMPTY_CELL_STYLE"/>
            </w:pPr>
          </w:p>
        </w:tc>
      </w:tr>
      <w:tr>
        <w:trPr>
          <w:trHeight w:hRule="exact" w:val="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
        </w:trPr>
        <w:tc>
          <w:tcPr>
     </w:tcPr>
          <w:p>
            <w:pPr>
              <w:pStyle w:val="EMPTY_CELL_STYLE"/>
            </w:pPr>
          </w:p>
        </w:tc>
        <w:tc>
          <w:tcPr>
            <w:gridSpan w:val="3"/>
            <w:shd w:val="clear" w:color="auto" w:fill="FFFFFF"/>
            <w:tcBorders>
              <w:top w:val="single" w:sz="8" w:space="0" w:color="000000"/>
            </w:tcBorders>
            <w:tcMar>
              <w:top w:w="0" w:type="dxa"/>
              <w:left w:w="0" w:type="dxa"/>
              <w:bottom w:w="0" w:type="dxa"/>
              <w:right w:w="0" w:type="dxa"/>
            </w:tcMar>
          </w:tcPr>
          <w:p>
            <w:pPr>
              <w:pStyle w:val="EMPTY_CELL_STYLE"/>
            </w:pPr>
          </w:p>
        </w:tc>
        <w:tc>
          <w:tcPr>
     </w:tcPr>
          <w:p>
            <w:pPr>
              <w:pStyle w:val="EMPTY_CELL_STYLE"/>
            </w:pPr>
          </w:p>
        </w:tc>
      </w:tr>
      <w:tr>
        <w:trPr>
          <w:trHeight w:hRule="exact" w:val="1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atLeast" w:val="600"/>
        </w:trPr>
        <w:tc>
          <w:tcPr>
     </w:tcPr>
          <w:p>
            <w:pPr>
              <w:pStyle w:val="EMPTY_CELL_STYLE"/>
            </w:pPr>
          </w:p>
        </w:tc>
        <w:tc>
          <w:tcPr>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u w:val="single"/>
              </w:rPr>
              <w:t xml:space="preserve">РУКОВОДСТВО ПО ЭКСПЕРТНОЙ ОЦЕНКЕ</w:t>
            </w:r>
          </w:p>
        </w:tc>
        <w:tc>
          <w:tcPr>
     </w:tcPr>
          <w:p>
            <w:pPr>
              <w:pStyle w:val="EMPTY_CELL_STYLE"/>
            </w:pPr>
          </w:p>
        </w:tc>
      </w:tr>
    </w:tbl>
    <w:tbl>
      <w:tblPr>
        <w:tblLayout w:type="fixed"/>
      </w:tblPr>
      <w:tblGrid>
        <w:gridCol w:w="1"/>
        <w:gridCol w:w="11400"/>
        <w:gridCol w:w="200"/>
        <w:gridCol w:w="1"/>
      </w:tblGrid>
      <w:tr>
        <w:trPr>
          <w:trHeight w:hRule="exact" w:val="0"/>
        </w:trPr>
        <w:tc>
          <w:tcPr>
     </w:tcPr>
          <w:p>
            <w:pPr>
              <w:pStyle w:val="EMPTY_CELL_STYLE"/>
              <w:pageBreakBefore/>
            </w:pPr>
            <w:bookmarkStart w:id="1" w:name="JR_PAGE_ANCHOR_0_2"/>
            <w:bookmarkEnd w:id="1"/>
          </w:p>
        </w:tc>
        <w:tc>
          <w:tcPr>
     </w:tcPr>
          <w:p>
            <w:pPr>
              <w:pStyle w:val="EMPTY_CELL_STYLE"/>
            </w:pPr>
          </w:p>
        </w:tc>
        <w:tc>
          <w:tcPr>
     </w:tcPr>
          <w:p>
            <w:pPr>
              <w:pStyle w:val="EMPTY_CELL_STYLE"/>
            </w:pPr>
          </w:p>
        </w:tc>
        <w:tc>
          <w:tcPr>
     </w:tcPr>
          <w:p>
            <w:pPr>
              <w:pStyle w:val="EMPTY_CELL_STYLE"/>
            </w:pPr>
          </w:p>
        </w:tc>
      </w:tr>
      <w:tr>
        <w:trPr>
          <w:trHeight w:hRule="atLeast" w:val="600"/>
        </w:trPr>
        <w:tc>
          <w:tcPr>
     </w:tcPr>
          <w:p>
            <w:pPr>
              <w:pStyle w:val="EMPTY_CELL_STYLE"/>
            </w:pPr>
          </w:p>
        </w:tc>
        <w:tc>
          <w:tcPr>
            <w:tcMar>
              <w:top w:w="0" w:type="dxa"/>
              <w:left w:w="0" w:type="dxa"/>
              <w:bottom w:w="0" w:type="dxa"/>
              <w:right w:w="0" w:type="dxa"/>
            </w:tcMar>
            <w:vAlign w:val="center"/>
          </w:tcPr>
          <w:p>
            <w:pPr>
              <w:ind/>
              <w:jc w:val="both"/>
            </w:pPr>
            <w:r>
              <w:rPr>
                <w:rFonts w:ascii="Times New Roman" w:hAnsi="Times New Roman" w:eastAsia="Times New Roman" w:cs="Times New Roman"/>
                <w:color w:val="000000"/>
                <w:sz w:val="24"/>
                <w:b w:val="true"/>
              </w:rPr>
              <w:t xml:space="preserve">Оценка и сопоставление заявок (оценочная стадия) лот № 720.26.00773 Труба большого диаметра для Пермской ГРЭС</w:t>
            </w:r>
          </w:p>
        </w:tc>
        <w:tc>
          <w:tcPr>
     </w:tcPr>
          <w:p>
            <w:pPr>
              <w:pStyle w:val="EMPTY_CELL_STYLE"/>
            </w:pPr>
          </w:p>
        </w:tc>
        <w:tc>
          <w:tcPr>
     </w:tcPr>
          <w:p>
            <w:pPr>
              <w:pStyle w:val="EMPTY_CELL_STYLE"/>
            </w:pPr>
          </w:p>
        </w:tc>
      </w:tr>
      <w:tr>
        <w:trPr>
          <w:trHeight w:hRule="atLeast" w:val="800"/>
        </w:trPr>
        <w:tc>
          <w:tcPr>
     </w:tcPr>
          <w:p>
            <w:pPr>
              <w:pStyle w:val="EMPTY_CELL_STYLE"/>
            </w:pPr>
          </w:p>
        </w:tc>
        <w:tc>
          <w:tcPr>
            <w:tcMar>
              <w:top w:w="0" w:type="dxa"/>
              <w:left w:w="0" w:type="dxa"/>
              <w:bottom w:w="0" w:type="dxa"/>
              <w:right w:w="0" w:type="dxa"/>
            </w:tcMar>
            <w:vAlign w:val="center"/>
          </w:tcPr>
          <w:p>
            <w:pPr>
              <w:ind w:firstLine="0" w:left="0"/>
              <w:jc w:val="both"/>
            </w:pPr>
            <w:r>
              <w:rPr>
                <w:rFonts w:ascii="Times New Roman" w:hAnsi="Times New Roman" w:eastAsia="Times New Roman" w:cs="Times New Roman"/>
                <w:color w:val="000000"/>
                <w:sz w:val="24"/>
              </w:rPr>
              <w:t xml:space="preserve">1. Для определения лучших условий исполнения Договора закупочная/конкурсная комиссия оценивает и сопоставляет заявки по степени выгодности для Заказчика, исходя из следующих критериев: </w:t>
            </w:r>
          </w:p>
        </w:tc>
        <w:tc>
          <w:tcPr>
     </w:tcPr>
          <w:p>
            <w:pPr>
              <w:pStyle w:val="EMPTY_CELL_STYLE"/>
            </w:pPr>
          </w:p>
        </w:tc>
        <w:tc>
          <w:tcPr>
     </w:tcPr>
          <w:p>
            <w:pPr>
              <w:pStyle w:val="EMPTY_CELL_STYLE"/>
            </w:pPr>
          </w:p>
        </w:tc>
      </w:tr>
      <w:tr>
        <w:trPr>
          <w:trHeight w:hRule="exact" w:val="14680"/>
        </w:trPr>
        <w:tc>
          <w:tcPr>
     </w:tcPr>
          <w:p>
            <w:pPr>
              <w:pStyle w:val="EMPTY_CELL_STYLE"/>
            </w:pPr>
          </w:p>
        </w:tc>
        <w:tc>
          <w:tcPr>
            <w:gridSpan w:val="2"/>
            <w:tcMar>
              <w:top w:w="0" w:type="dxa"/>
              <w:left w:w="0" w:type="dxa"/>
              <w:bottom w:w="0" w:type="dxa"/>
              <w:right w:w="0" w:type="dxa"/>
            </w:tcMar>
          </w:tcPr>
          <w:tbl>
            <w:tblPr>
              <w:tblLayout w:type="fixed"/>
            </w:tblPr>
            <w:tblGrid>
              <w:gridCol w:w="1000"/>
              <w:gridCol w:w="3000"/>
              <w:gridCol w:w="2000"/>
              <w:gridCol w:w="1400"/>
              <w:gridCol w:w="1400"/>
              <w:gridCol w:w="1400"/>
              <w:gridCol w:w="1400"/>
            </w:tblGrid>
            <w:tr>
              <w:trPr>
                <w:trHeight w:hRule="exact" w:val="30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п/п</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Направление</w:t>
                          <w:br/>
                          <w:br/>
                          <w:t xml:space="preserve">экспертной</w:t>
                          <w:br/>
                          <w:br/>
                          <w:t xml:space="preserve">оценки</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Краткое наименование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Обозначение выставленного по критерию балла / полученного значения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Значимость критерия</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30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Обозначение значимости критерия</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Деловая репутация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Деловая репутация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Экономическая безопасность</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1.1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Качество поставляемой продукции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Временные параметры поставки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20%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2.1</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Гарантийные обязательства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2.2</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Соответствие объема и качества предлагаемого товара требованиям ТЗ</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Техническая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40%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2.3</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Коммерческое предложение</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3</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Цена договора, предложенная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Коммерческая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70%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3.1</w:t>
                        </w:r>
                      </w:p>
                    </w:tc>
                  </w:tr>
                </w:tbl>
                <w:p>
                  <w:pPr>
                    <w:pStyle w:val="EMPTY_CELL_STYLE"/>
                  </w:pPr>
                </w:p>
              </w:tc>
            </w:tr>
            <w:tr>
              <w:trPr>
                <w:trHeight w:hRule="exact" w:val="136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3.2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36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Цена договора, предложенная участником с учетом суммы упущенной выгоды/потенциального депозитного дохода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Коммерческая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3.2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Надежность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Добровольные системы подтверждения квалификации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4.1</w:t>
                        </w:r>
                      </w:p>
                    </w:tc>
                  </w:tr>
                </w:tbl>
                <w:p>
                  <w:pPr>
                    <w:pStyle w:val="EMPTY_CELL_STYLE"/>
                  </w:pPr>
                </w:p>
              </w:tc>
            </w:tr>
            <w:tr>
              <w:trPr>
                <w:trHeight w:hRule="exact" w:val="136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36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Аккредитация в Группе «Интер РАО» в качестве поставщика, закупаемых в рамках данной процедуры товаров, работ, услуг</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4.1.1</w:t>
                        </w:r>
                      </w:p>
                    </w:tc>
                  </w:tr>
                </w:tbl>
                <w:p>
                  <w:pPr>
                    <w:pStyle w:val="EMPTY_CELL_STYLE"/>
                  </w:pPr>
                </w:p>
              </w:tc>
            </w:tr>
            <w:tr>
              <w:trPr>
                <w:trHeight w:hRule="exact" w:val="19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19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Наличие сертифицированных систем менеджмента и/или иных добровольных сертифицированных подтверждений компетенции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4.1.2</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Опыт выполнения поставок</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35%</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w:t>
                        </w:r>
                      </w:p>
                    </w:tc>
                  </w:tr>
                </w:tbl>
                <w:p>
                  <w:pPr>
                    <w:pStyle w:val="EMPTY_CELL_STYLE"/>
                  </w:pPr>
                </w:p>
              </w:tc>
            </w:tr>
          </w:tbl>
          <w:p>
            <w:pPr>
              <w:pStyle w:val="EMPTY_CELL_STYLE"/>
            </w:pPr>
          </w:p>
        </w:tc>
        <w:tc>
          <w:tcPr>
     </w:tcPr>
          <w:p>
            <w:pPr>
              <w:pStyle w:val="EMPTY_CELL_STYLE"/>
            </w:pPr>
          </w:p>
        </w:tc>
      </w:tr>
    </w:tbl>
    <w:tbl>
      <w:tblPr>
        <w:tblLayout w:type="fixed"/>
      </w:tblPr>
      <w:tblGrid>
        <w:gridCol w:w="1"/>
        <w:gridCol w:w="11400"/>
        <w:gridCol w:w="200"/>
        <w:gridCol w:w="1"/>
      </w:tblGrid>
      <w:tr>
        <w:trPr>
          <w:trHeight w:hRule="exact" w:val="0"/>
        </w:trPr>
        <w:tc>
          <w:tcPr>
     </w:tcPr>
          <w:p>
            <w:pPr>
              <w:pStyle w:val="EMPTY_CELL_STYLE"/>
              <w:pageBreakBefore/>
            </w:pPr>
            <w:bookmarkStart w:id="2" w:name="JR_PAGE_ANCHOR_0_3"/>
            <w:bookmarkEnd w:id="2"/>
          </w:p>
        </w:tc>
        <w:tc>
          <w:tcPr>
     </w:tcPr>
          <w:p>
            <w:pPr>
              <w:pStyle w:val="EMPTY_CELL_STYLE"/>
            </w:pPr>
          </w:p>
        </w:tc>
        <w:tc>
          <w:tcPr>
     </w:tcPr>
          <w:p>
            <w:pPr>
              <w:pStyle w:val="EMPTY_CELL_STYLE"/>
            </w:pPr>
          </w:p>
        </w:tc>
        <w:tc>
          <w:tcPr>
     </w:tcPr>
          <w:p>
            <w:pPr>
              <w:pStyle w:val="EMPTY_CELL_STYLE"/>
            </w:pPr>
          </w:p>
        </w:tc>
      </w:tr>
      <w:tr>
        <w:trPr>
          <w:trHeight w:hRule="exact" w:val="6080"/>
        </w:trPr>
        <w:tc>
          <w:tcPr>
     </w:tcPr>
          <w:p>
            <w:pPr>
              <w:pStyle w:val="EMPTY_CELL_STYLE"/>
            </w:pPr>
          </w:p>
        </w:tc>
        <w:tc>
          <w:tcPr>
            <w:gridSpan w:val="2"/>
            <w:tcMar>
              <w:top w:w="0" w:type="dxa"/>
              <w:left w:w="0" w:type="dxa"/>
              <w:bottom w:w="0" w:type="dxa"/>
              <w:right w:w="0" w:type="dxa"/>
            </w:tcMar>
          </w:tcPr>
          <w:tbl>
            <w:tblPr>
              <w:tblLayout w:type="fixed"/>
            </w:tblPr>
            <w:tblGrid>
              <w:gridCol w:w="1000"/>
              <w:gridCol w:w="3000"/>
              <w:gridCol w:w="2000"/>
              <w:gridCol w:w="1400"/>
              <w:gridCol w:w="1400"/>
              <w:gridCol w:w="1400"/>
              <w:gridCol w:w="1400"/>
            </w:tblGrid>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Опыт выполнения поставок</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Квалификационная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4.2.1</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Финансово-экономическая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34%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4.3</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Финансово-экономическая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100%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4.3.1</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Юридические риски с учётом предложенных условий договора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17%</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w:t>
                        </w:r>
                      </w:p>
                    </w:tc>
                  </w:tr>
                </w:tbl>
                <w:p>
                  <w:pPr>
                    <w:pStyle w:val="EMPTY_CELL_STYLE"/>
                  </w:pPr>
                </w:p>
              </w:tc>
            </w:tr>
            <w:tr>
              <w:trPr>
                <w:trHeight w:hRule="exact" w:val="22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22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Оценка риска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4.4.1</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000"/>
                    <w:gridCol w:w="1000"/>
                  </w:tblGrid>
                  <w:tr>
                    <w:trPr>
                      <w:trHeight w:hRule="atLeast" w:val="600"/>
                    </w:trPr>
                    <w:tc>
                      <w:tcPr>
                        <w:tcMar>
                          <w:top w:w="0" w:type="dxa"/>
                          <w:left w:w="0" w:type="dxa"/>
                          <w:bottom w:w="0" w:type="dxa"/>
                          <w:right w:w="0" w:type="dxa"/>
                        </w:tcMar>
                        <w:vAlign w:val="center"/>
                      </w:tcPr>
                      <w:p>
                        <w:pPr>
                          <w:ind w:firstLine="200"/>
                          <w:jc w:val="left"/>
                        </w:pPr>
                        <w:r>
                          <w:rPr>
                            <w:rFonts w:ascii="Times New Roman" w:hAnsi="Times New Roman" w:eastAsia="Times New Roman" w:cs="Times New Roman"/>
                            <w:color w:val="000000"/>
                            <w:sz w:val="24"/>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3000"/>
                    <w:gridCol w:w="3000"/>
                  </w:tblGrid>
                  <w:tr>
                    <w:trPr>
                      <w:trHeight w:hRule="atLeast" w:val="82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Приемлемость условий договора, предложенных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000"/>
                    <w:gridCol w:w="2000"/>
                  </w:tblGrid>
                  <w:tr>
                    <w:trPr>
                      <w:trHeight w:hRule="atLeast" w:val="600"/>
                    </w:trPr>
                    <w:tc>
                      <w:tcPr>
                        <w:tcMar>
                          <w:top w:w="0" w:type="dxa"/>
                          <w:left w:w="0" w:type="dxa"/>
                          <w:bottom w:w="0" w:type="dxa"/>
                          <w:right w:w="0" w:type="dxa"/>
                        </w:tcMar>
                        <w:vAlign w:val="center"/>
                      </w:tcPr>
                      <w:p>
                        <w:pPr>
                          <w:ind w:firstLine="100"/>
                        </w:pPr>
                        <w:r>
                          <w:rPr>
                            <w:rFonts w:ascii="Times New Roman" w:hAnsi="Times New Roman" w:eastAsia="Times New Roman" w:cs="Times New Roman"/>
                            <w:color w:val="000000"/>
                            <w:sz w:val="24"/>
                          </w:rPr>
                          <w:t xml:space="preserve">Юридическая экспертиза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4.4.2</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24"/>
                          </w:rPr>
                          <w:t xml:space="preserve">50%</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400"/>
                    <w:gridCol w:w="1400"/>
                  </w:tblGrid>
                  <w:tr>
                    <w:trPr>
                      <w:trHeight w:hRule="atLeast" w:val="600"/>
                    </w:trPr>
                    <w:tc>
                      <w:tcPr>
                        <w:tcMar>
                          <w:top w:w="0" w:type="dxa"/>
                          <w:left w:w="0" w:type="dxa"/>
                          <w:bottom w:w="0" w:type="dxa"/>
                          <w:right w:w="0" w:type="dxa"/>
                        </w:tcMar>
                        <w:vAlign w:val="center"/>
                      </w:tcPr>
                      <w:p>
                        <w:pPr>
                          <w:ind w:firstLine="400"/>
                          <w:jc w:val="left"/>
                        </w:pPr>
                        <w:r>
                          <w:rPr>
                            <w:rFonts w:ascii="Times New Roman" w:hAnsi="Times New Roman" w:eastAsia="Times New Roman" w:cs="Times New Roman"/>
                            <w:color w:val="000000"/>
                            <w:sz w:val="32"/>
                            <w:b w:val="true"/>
                            <w:i w:val="true"/>
                          </w:rPr>
                          <w:t xml:space="preserve">b</w:t>
                        </w:r>
                        <w:r>
                          <w:rPr>
                            <w:rFonts w:ascii="Times New Roman" w:hAnsi="Times New Roman" w:eastAsia="Times New Roman" w:cs="Times New Roman"/>
                            <w:color w:val="000000"/>
                            <w:sz w:val="20"/>
                            <w:i w:val="true"/>
                          </w:rPr>
                          <w:t xml:space="preserve">4.4.2</w:t>
                        </w:r>
                      </w:p>
                    </w:tc>
                  </w:tr>
                </w:tbl>
                <w:p>
                  <w:pPr>
                    <w:pStyle w:val="EMPTY_CELL_STYLE"/>
                  </w:pPr>
                </w:p>
              </w:tc>
            </w:tr>
          </w:tbl>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atLeast" w:val="2200"/>
        </w:trPr>
        <w:tc>
          <w:tcPr>
     </w:tcPr>
          <w:p>
            <w:pPr>
              <w:pStyle w:val="EMPTY_CELL_STYLE"/>
            </w:pPr>
          </w:p>
        </w:tc>
        <w:tc>
          <w:tcPr>
            <w:tcMar>
              <w:top w:w="0" w:type="dxa"/>
              <w:left w:w="0" w:type="dxa"/>
              <w:bottom w:w="0" w:type="dxa"/>
              <w:right w:w="0" w:type="dxa"/>
            </w:tcMar>
            <w:vAlign w:val="top"/>
          </w:tcPr>
          <w:p>
            <w:pPr>
              <w:ind/>
            </w:pPr>
            <w:r>
              <w:rPr>
                <w:rFonts w:ascii="Times New Roman" w:hAnsi="Times New Roman" w:eastAsia="Times New Roman" w:cs="Times New Roman"/>
                <w:color w:val="000000"/>
                <w:sz w:val="24"/>
              </w:rPr>
              <w:br/>
              <w:t xml:space="preserve"> 2. В случае проведения закупки участниками которой могут быть только СМСП, и выбором способа  закупочной процедуры "конкурс" или "запрос предложений"  рассмотрение и оценка проводиться  в три этапа: </w:t>
              <w:br/>
              <w:t xml:space="preserve"> - на первом этапе проводиться экспертиза только по техническому направлению; </w:t>
              <w:br/>
              <w:t xml:space="preserve"> - на втором этапе проводятся экспертизы по направлениям: экономическая безопасность, квалификационная, финансово-экономическая, юридическая; </w:t>
              <w:br/>
              <w:t xml:space="preserve">- на третьем этапе проводится коммерческая экспертиза.</w:t>
            </w:r>
          </w:p>
        </w:tc>
        <w:tc>
          <w:tcPr>
     </w:tcPr>
          <w:p>
            <w:pPr>
              <w:pStyle w:val="EMPTY_CELL_STYLE"/>
            </w:pPr>
          </w:p>
        </w:tc>
        <w:tc>
          <w:tcPr>
     </w:tcPr>
          <w:p>
            <w:pPr>
              <w:pStyle w:val="EMPTY_CELL_STYLE"/>
            </w:pPr>
          </w:p>
        </w:tc>
      </w:tr>
      <w:tr>
        <w:trPr>
          <w:trHeight w:hRule="atLeast" w:val="540"/>
        </w:trPr>
        <w:tc>
          <w:tcPr>
     </w:tcPr>
          <w:p>
            <w:pPr>
              <w:pStyle w:val="EMPTY_CELL_STYLE"/>
            </w:pPr>
          </w:p>
        </w:tc>
        <w:tc>
          <w:tcPr>
            <w:tcMar>
              <w:top w:w="0" w:type="dxa"/>
              <w:left w:w="0" w:type="dxa"/>
              <w:bottom w:w="0" w:type="dxa"/>
              <w:right w:w="0" w:type="dxa"/>
            </w:tcMar>
            <w:vAlign w:val="center"/>
          </w:tcPr>
          <w:p>
            <w:pPr>
              <w:ind w:firstLine="0" w:left="0"/>
              <w:jc w:val="both"/>
            </w:pPr>
            <w:r>
              <w:rPr>
                <w:rFonts w:ascii="Times New Roman" w:hAnsi="Times New Roman" w:eastAsia="Times New Roman" w:cs="Times New Roman"/>
                <w:color w:val="000000"/>
                <w:sz w:val="24"/>
              </w:rPr>
              <w:t xml:space="preserve">3. Закупочная/конкурсная комиссия (Экспертная группа по поручению закупочной/конкурсной комиссии) оценивает и сопоставляет заявки в соответствии с критериями, указанными в п. 1.</w:t>
            </w:r>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6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t xml:space="preserve">4. Присвоение баллов осуществляется экспертным путем в соответствии с Приложением 1 к настоящему Руководству.</w:t>
                  </w:r>
                </w:p>
              </w:tc>
            </w:tr>
          </w:tbl>
          <w:p>
            <w:pPr>
              <w:pStyle w:val="EMPTY_CELL_STYLE"/>
            </w:pPr>
          </w:p>
        </w:tc>
        <w:tc>
          <w:tcPr>
     </w:tcPr>
          <w:p>
            <w:pPr>
              <w:pStyle w:val="EMPTY_CELL_STYLE"/>
            </w:pPr>
          </w:p>
        </w:tc>
        <w:tc>
          <w:tcPr>
     </w:tcPr>
          <w:p>
            <w:pPr>
              <w:pStyle w:val="EMPTY_CELL_STYLE"/>
            </w:pPr>
          </w:p>
        </w:tc>
      </w:tr>
      <w:tr>
        <w:trPr>
          <w:trHeight w:hRule="exact" w:val="60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4.1.  Присвоение баллов заявкам по критерию 1 Деловая репутация Участника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сумма баллов (с учетом значимости) по подкритериям критерия 1 Деловая репутация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1.1</w:t>
                  </w:r>
                  <w:r>
                    <w:rPr>
                      <w:rFonts w:ascii="Times New Roman" w:hAnsi="Times New Roman" w:eastAsia="Times New Roman" w:cs="Times New Roman"/>
                      <w:color w:val="000000"/>
                      <w:sz w:val="24"/>
                    </w:rPr>
                    <w:t xml:space="preserve"> − сумма баллов по соответствующим подкритериям критерия 1;</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1.1</w:t>
                  </w:r>
                  <w:r>
                    <w:rPr>
                      <w:rFonts w:ascii="Times New Roman" w:hAnsi="Times New Roman" w:eastAsia="Times New Roman" w:cs="Times New Roman"/>
                      <w:color w:val="000000"/>
                      <w:sz w:val="24"/>
                    </w:rPr>
                    <w:t xml:space="preserve"> − значимость каждого подкритерия критерия 1.</w:t>
                  </w:r>
                </w:p>
              </w:tc>
            </w:tr>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4.2.  Присвоение баллов заявкам по критерию 2 Качество поставляемой продукции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сумма баллов (с учетом значимости) по подкритериям критерия 2 Качество поставляемой продукции;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сумма баллов по соответствующим подкритериям критерия 2;</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2.3</w:t>
                  </w:r>
                  <w:r>
                    <w:rPr>
                      <w:rFonts w:ascii="Times New Roman" w:hAnsi="Times New Roman" w:eastAsia="Times New Roman" w:cs="Times New Roman"/>
                      <w:color w:val="000000"/>
                      <w:sz w:val="24"/>
                    </w:rPr>
                    <w:t xml:space="preserve"> − значимость каждого подкритерия критерия 2.</w:t>
                  </w: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3" w:name="JR_PAGE_ANCHOR_0_4"/>
            <w:bookmarkEnd w:id="3"/>
          </w:p>
        </w:tc>
        <w:tc>
          <w:tcPr>
     </w:tcPr>
          <w:p>
            <w:pPr>
              <w:pStyle w:val="EMPTY_CELL_STYLE"/>
            </w:pPr>
          </w:p>
        </w:tc>
        <w:tc>
          <w:tcPr>
     </w:tcPr>
          <w:p>
            <w:pPr>
              <w:pStyle w:val="EMPTY_CELL_STYLE"/>
            </w:pPr>
          </w:p>
        </w:tc>
      </w:tr>
      <w:tr>
        <w:trPr>
          <w:trHeight w:hRule="exact" w:val="302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4.3.  Присвоение баллов заявкам по критерию 3 Коммерческое предложение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3.2</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сумма баллов (с учетом значимости) по подкритериям критерия 3 Коммерческое предложение;</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3.2</w:t>
                  </w:r>
                  <w:r>
                    <w:rPr>
                      <w:rFonts w:ascii="Times New Roman" w:hAnsi="Times New Roman" w:eastAsia="Times New Roman" w:cs="Times New Roman"/>
                      <w:color w:val="000000"/>
                      <w:sz w:val="24"/>
                    </w:rPr>
                    <w:t xml:space="preserve"> − сумма баллов по соответствующим подкритериям критерия 3;</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3.2</w:t>
                  </w:r>
                  <w:r>
                    <w:rPr>
                      <w:rFonts w:ascii="Times New Roman" w:hAnsi="Times New Roman" w:eastAsia="Times New Roman" w:cs="Times New Roman"/>
                      <w:color w:val="000000"/>
                      <w:sz w:val="24"/>
                    </w:rPr>
                    <w:t xml:space="preserve"> − значимость каждого подкритерия критерия 3.</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4" w:name="JR_PAGE_ANCHOR_0_5"/>
            <w:bookmarkEnd w:id="4"/>
          </w:p>
        </w:tc>
        <w:tc>
          <w:tcPr>
     </w:tcPr>
          <w:p>
            <w:pPr>
              <w:pStyle w:val="EMPTY_CELL_STYLE"/>
            </w:pPr>
          </w:p>
        </w:tc>
        <w:tc>
          <w:tcPr>
     </w:tcPr>
          <w:p>
            <w:pPr>
              <w:pStyle w:val="EMPTY_CELL_STYLE"/>
            </w:pPr>
          </w:p>
        </w:tc>
      </w:tr>
      <w:tr>
        <w:trPr>
          <w:trHeight w:hRule="exact" w:val="1378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1378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4.3.1 Присвоение баллов заявкам по критерию 3.1 «Цена договора, предложенная участником» осуществляется в следующем порядке:</w:t>
                    <w:br/>
                    <w:t xml:space="preserve">первоначально проводится выбор шкалы оценок и присвоение плановой сумме базовой оценки: если хотя бы у одного участника Цена договора, предложенная участником (далее – ОФЕРТА) меньше начальной (максимальной) цены (далее – ГКПЗ), то шкала оценок от 1 до 5, плановая сумма ГКПЗ - 2 балла (сценарий 1), если все значения не меньше ГКПЗ, то шкала оценок от 1 до 3, плановая сумма ГКПЗ - 3 балла, т.е. максимум (сценарий 2):</w:t>
                    <w:br/>
                    <w:br/>
                    <w:t xml:space="preserve">ЕСЛИ(МИН(ДИАПАЗОН)&lt;ГКПЗ;</w:t>
                    <w:br/>
                    <w:br/>
                    <w:t xml:space="preserve">Сценарий 1: шкала оценок от 1 до 5. Проводится сопоставление ОФЕРТЫ участника и ГКПЗ:</w:t>
                    <w:br/>
                    <w:br/>
                    <w:t xml:space="preserve">ЕСЛИ(ОФЕРТА/ГКПЗ)&gt;1;</w:t>
                    <w:br/>
                    <w:br/>
                    <w:t xml:space="preserve">Если оферта участника равна ГКПЗ, то такой Участник получает 2 балла. Другие участники оцениваются по одному из следующих сценариев 1а или 1б:</w:t>
                    <w:br/>
                    <w:t xml:space="preserve">Сценарий 1а: ОФЕРТА участника больше ГКПЗ. Выполняется расчёт оценок в диапазоне от 1 до 2:</w:t>
                    <w:br/>
                    <w:br/>
                    <w:t xml:space="preserve">ЕСЛИ(ОФЕРТА=МАКС(ДИАПАЗОН) то 1;</w:t>
                    <w:br/>
                    <w:br/>
                    <w:t xml:space="preserve">иначе ((МАКС(ДИАПАЗОН)-ОФЕРТА)/(МАКС(ДИАПАЗОН)-ГКПЗ))+1);</w:t>
                    <w:br/>
                    <w:br/>
                    <w:t xml:space="preserve">Сценарий 1б: ОФЕРТА участника меньше ГКПЗ. Проверяется, есть ли предложения участника меньше ГКПЗ на 30%:</w:t>
                    <w:br/>
                    <w:br/>
                    <w:t xml:space="preserve">ЕСЛИ((МИН(ДИАПАЗОН)/ГКПЗ)&lt;0,7;</w:t>
                    <w:br/>
                    <w:br/>
                    <w:t xml:space="preserve">если минимальное предложение меньше ГКПЗ на 30%, то максимальному баллу 5 соответствует минимальное предложение:</w:t>
                    <w:br/>
                    <w:br/>
                    <w:t xml:space="preserve">ЕСЛИ(ОФЕРТА=МИН(ДИАПАЗОН) то 5;</w:t>
                    <w:br/>
                    <w:br/>
                    <w:t xml:space="preserve">иначе ((ГКПЗ-ОФЕРТА)*3/(ГКПЗ-МИН(ДИАПАЗОН))+2));</w:t>
                    <w:br/>
                    <w:br/>
                    <w:t xml:space="preserve">если минимальное предложение не меньше ГКПЗ на 30%, то максимальному баллу 5 соответствует сумма ГКПЗ минус 30%. Выполняется расчёт оценки в диапазоне от 2 до 5:</w:t>
                    <w:br/>
                    <w:br/>
                    <w:t xml:space="preserve">((ГКПЗ-ОФЕРТА)/(ГКПЗ)*10)+2));</w:t>
                    <w:br/>
                    <w:br/>
                    <w:t xml:space="preserve">Сценарий 2: шкала оценок от 1 до 3. 3 балла получает Участник с ценой ОФЕРТЫ равной плановой сумме ГКПЗ. Расчёт оценок остальных участников выполняется в диапазоне от 1 до 3:</w:t>
                    <w:br/>
                    <w:br/>
                    <w:t xml:space="preserve">ЕСЛИ(ОФЕРТА=МАКС(ДИАПАЗОН) то 1;</w:t>
                    <w:br/>
                    <w:br/>
                    <w:t xml:space="preserve">иначе ((МАКС(ДИАПАЗОН)-ОФЕРТА)*2/(МАКС(ДИАПАЗОН)-ГКПЗ))+1);</w:t>
                    <w:br/>
                    <w:br/>
                    <w:t xml:space="preserve">В случае, если закупочная процедура проводится в соответствии с Федеральным законом от 18.07.2011 223-ФЗ, то оценка и сопоставление предложений участников будут проводиться с учетом положений Постановления Правительства Российской Федерации от 23.12.2024 № 1875</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5" w:name="JR_PAGE_ANCHOR_0_6"/>
            <w:bookmarkEnd w:id="5"/>
          </w:p>
        </w:tc>
        <w:tc>
          <w:tcPr>
     </w:tcPr>
          <w:p>
            <w:pPr>
              <w:pStyle w:val="EMPTY_CELL_STYLE"/>
            </w:pPr>
          </w:p>
        </w:tc>
        <w:tc>
          <w:tcPr>
     </w:tcPr>
          <w:p>
            <w:pPr>
              <w:pStyle w:val="EMPTY_CELL_STYLE"/>
            </w:pPr>
          </w:p>
        </w:tc>
      </w:tr>
      <w:tr>
        <w:trPr>
          <w:trHeight w:hRule="exact" w:val="164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1644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4.3.2 Присвоение баллов заявкам по критерию 3.2 «Цена договора, предложенная участником с учетом суммы упущенной выгоды/потенциального депозитного дохода» осуществляется в следующем порядке:</w:t>
                    <w:br/>
                    <w:t xml:space="preserve">1) Объектом оценки является цена договора, предложенная участником с учетом суммы упущенной выгоды/потенциального депозитного дохода – это итоговая стоимость предложения участника, скорректированная на сумму упущенной выгоды (с -) и/или потенциального депозитного дохода (с +), возникших вследствие отклонения финансовых условий сделки, предложенных участником, от условий оплаты, предусмотренных техническим заданием заказчика, и скорректированная на сумму издержек валютного риска (IVR), в случае оценки заявок, стоимость которых выражена в иностранной валюте и/или рублях с привязкой к курсу иностранной валюты:</w:t>
                    <w:br/>
                    <w:br/>
                    <w:t xml:space="preserve">SDD = S + DD По сложным графикам (материалы /работы/ услуги), состоящим из нескольких авансовых платежей с разными сроками, учет ведется отдельно по каждому виду, этапу оплаты и суммируется.;</w:t>
                    <w:br/>
                    <w:br/>
                    <w:t xml:space="preserve">SDD = (S + DD) * Кv + IVR где:</w:t>
                    <w:br/>
                    <w:br/>
                    <w:t xml:space="preserve">SDD Цена договора, предложенная участником с учетом суммы упущенной выгоды/потенциального депозитного дохода (в рублях без НДС);</w:t>
                    <w:br/>
                    <w:t xml:space="preserve">S итоговая стоимость предложения участника или его части (в валюте предложения участника без НДС), указанная на ЭТП в случае проведения закупки в электронной форме, в ином случае, указанная в письме участника о подаче оферты;</w:t>
                    <w:br/>
                    <w:t xml:space="preserve">Кv курс иностранной валюты заявки участника (части заявки участника) на дату оценки, источник: http://www.cbr.ru/currency_base/dynamics.aspx,</w:t>
                    <w:br/>
                    <w:t xml:space="preserve">Kv принимается за 1, если валюта оферты участника соответствует валюте закупочной документации. В качестве даты оценки принимается:</w:t>
                    <w:br/>
                    <w:t xml:space="preserve">a) дата вскрытия конвертов, указанная в Протоколе вскрытия конвертов (для первичной экспертизы);</w:t>
                    <w:br/>
                    <w:t xml:space="preserve">b) дата формирования Протокола переговоров (для экспертизы, проводимой после проведения конкурентных переговоров);</w:t>
                    <w:br/>
                    <w:t xml:space="preserve">c) дата формирования Протокола вскрытия конвертов переторжки (для экспертизы, проводимой после переторжки);</w:t>
                    <w:br/>
                    <w:t xml:space="preserve">IVR сумма издержек валютного риска (в рублях без НДС), (принимается за 0, если валюта оферты участника соответствует валюте закупочной документации):</w:t>
                    <w:br/>
                    <w:t xml:space="preserve">a) определяется на основании опубликованной Методики оценки заявок участников закупочных процедур, стоимость которых выражена в иностранной валюте и/или рублях с привязкой к курсу иностранной валюты, опубликованной в составе закупочной документации;</w:t>
                    <w:br/>
                    <w:t xml:space="preserve">b) источником для определения показателя является график оплаты, представленный участником в составе заявки и заполненный в соответствии с требованиями закупочной документации;</w:t>
                    <w:br/>
                    <w:t xml:space="preserve">c) показатель не применяется, если валюта оферты участника соответствует валюте закупочной документации и не привязана к изменению курса другой валюты;</w:t>
                    <w:br/>
                    <w:t xml:space="preserve">DD сумма упущенной выгоды (с -) и/или потенциального депозитного дохода (с +), возникшая вследствие отклонений финансовых условий сделки, предложенных участником, от условий оплаты, предусмотренных техническим заданием заказчика, (в валюте предложения участника без НДС):</w:t>
                    <w:br/>
                    <w:t xml:space="preserve">a) источником для определения показателя является график оплаты, представленный участником в составе заявки и заполненный в соответствии с требованиями закупочной документации;</w:t>
                    <w:br/>
                    <w:t xml:space="preserve">b) по графикам оплаты, состоящим из нескольких этапов с разными ожидаемыми сроками оплаты, расчет ведется отдельно по каждому этапу оплаты итог суммируется:</w:t>
                    <w:br/>
                    <w:br/>
                    <w:t xml:space="preserve">DD = Sав + Sдни, где:</w:t>
                    <w:br/>
                    <w:br/>
                    <w:t xml:space="preserve">Sав сумма упущенной выгоды (с -), потенциального депозитного дохода (с +), возникшая вследствие Отклонения финансовых условий сделки, в части изменения суммы и/или периода аванса, (в валюте предложения участника без НДС);</w:t>
                    <w:br/>
                    <w:t xml:space="preserve">Sдни сумма упущенной выгоды (с -), потенциального депозитного дохода (с +), возникшая вследствие Отклонения финансовых условий сделки, в части изменения периода отсрочки платежа, (в валюте предложения участника без НДС).</w:t>
                    <w:br/>
                    <w:br/>
                    <w:t xml:space="preserve">Sав = (Аизм*R*k/Y*i)/100</w:t>
                    <w:br/>
                    <w:br/>
                    <w:t xml:space="preserve">Sдни = ((S-А)*R*k/Y*ОтсрИзм)/100</w:t>
                    <w:br/>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6" w:name="JR_PAGE_ANCHOR_0_7"/>
            <w:bookmarkEnd w:id="6"/>
          </w:p>
        </w:tc>
        <w:tc>
          <w:tcPr>
     </w:tcPr>
          <w:p>
            <w:pPr>
              <w:pStyle w:val="EMPTY_CELL_STYLE"/>
            </w:pPr>
          </w:p>
        </w:tc>
        <w:tc>
          <w:tcPr>
     </w:tcPr>
          <w:p>
            <w:pPr>
              <w:pStyle w:val="EMPTY_CELL_STYLE"/>
            </w:pPr>
          </w:p>
        </w:tc>
      </w:tr>
      <w:tr>
        <w:trPr>
          <w:trHeight w:hRule="exact" w:val="164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1644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А сумма аванса участника, указанного в его графике оплаты, в составе документов закупочной процедуры, (в валюте предложения участника без НДС);</w:t>
                    <w:br/>
                    <w:t xml:space="preserve">Аизм сумма отклонения аванса, возникшая вследствие отличия финансовых условий сделки, предложенных участником от финансовых условий сделки заказчика, установленных техническим заданием (проектом договора), (в валюте предложения участника без НДС);</w:t>
                    <w:br/>
                    <w:t xml:space="preserve">ОтсрИзм  изменение периода отсрочки платежа, возникшее вследствие сокращения (с-), увеличения (с +) периода отсрочки платежа предложенного участником, от периода отсрочки платежа установленного техническим заданием заказчика (проектом договора) (в календарных днях);</w:t>
                    <w:br/>
                    <w:t xml:space="preserve">R процентная ставка для расчета упущенной выгоды/потенциального депозитного дохода (ключевая ставка ЦБР), % годовых (учитывается на уровне ключевой ставки Банка России на момент проведения экспертизы) (источник:  http://www.cbr.ru/);</w:t>
                    <w:br/>
                    <w:t xml:space="preserve">i период авансирования - количество календарных дней от даты авансового платежа до ожидаемой даты поставки /выполнения работ/оказания;</w:t>
                    <w:br/>
                    <w:t xml:space="preserve">Y количество календарных дней в году (принято как 365 дн.);</w:t>
                    <w:br/>
                    <w:t xml:space="preserve">k увеличивающий коэффициент, равен:</w:t>
                    <w:br/>
                    <w:t xml:space="preserve">1,4  - по филиалам АО «Интер РАО – Электрогенерация»;</w:t>
                    <w:br/>
                    <w:t xml:space="preserve">1,3  -  АО «ТГК-11», АО «Омск РТС».2) Определенной по  вышеуказанной формуле Цене  предложения участника с учетом суммы упущенной выгоды/потенциального депозитного дохода присваивается балл:</w:t>
                    <w:br/>
                    <w:t xml:space="preserve">первоначально проводится выбор шкалы оценок и присвоение плановой сумме базовой оценки: если хотя бы у одного участника Цена договора с учетом суммы упущенной выгоды/потенциального депозитного дохода (далее – ПРИВЕДЕННАЯ ОФЕРТА) меньше начальной (максимальной) цены  (далее - ГКПЗ), то шкала оценок от 1 до 5, начальная (максимальная)  сумма ГКПЗ - 2 балла (сценарий 1), если все значения не меньше ГКПЗ, то шкала оценок от 1 до 3, плановая сумма ГКПЗ - 3 балла, т.е. максимум (сценарий 2):</w:t>
                    <w:br/>
                    <w:br/>
                    <w:t xml:space="preserve">ЕСЛИ(МИН(ДИАПАЗОН)&lt;ГКПЗ;</w:t>
                    <w:br/>
                    <w:br/>
                    <w:t xml:space="preserve">Сценарий 1: шкала оценок от 1 до 5. Проводится сопоставление ПРИВЕДЕННОЙ ОФЕРТЫ  и ГКПЗ:</w:t>
                    <w:br/>
                    <w:br/>
                    <w:t xml:space="preserve">ЕСЛИ(ПРИВЕДЕННАЯ ОФЕРТА/ГКПЗ)&gt;1;</w:t>
                    <w:br/>
                    <w:br/>
                    <w:t xml:space="preserve">2 балла получает Участник с предложением равным плановой сумме ГКПЗ. Другие участники оцениваются по одному из следующих сценариев 1а или 1б:</w:t>
                    <w:br/>
                    <w:t xml:space="preserve">Сценарий 1а: ПРИВЕДЕННАЯ ОФЕРТА  больше ГКПЗ. Выполняется расчёт оценок в диапазоне от 1 до 2:</w:t>
                    <w:br/>
                    <w:br/>
                    <w:t xml:space="preserve">ЕСЛИ(ПРИВЕДЕННАЯ ОФЕРТА=МАКС(ДИАПАЗОН) то 1;</w:t>
                    <w:br/>
                    <w:br/>
                    <w:t xml:space="preserve">иначе ((МАКС(ДИАПАЗОН)-ПРИВЕДЕННАЯ ОФЕРТА)/(МАКС(ДИАПАЗОН)-ГКПЗ))+1);</w:t>
                    <w:br/>
                    <w:br/>
                    <w:t xml:space="preserve">Сценарий 1б: ПРИВЕДЕННАЯ ОФЕРТА  участника меньше ГКПЗ. Проверяется, есть ли предложения участника меньше ГКПЗ на 30%:</w:t>
                    <w:br/>
                    <w:br/>
                    <w:t xml:space="preserve">ЕСЛИ((МИН(ДИАПАЗОН)/ГКПЗ)&lt;0,7;</w:t>
                    <w:br/>
                    <w:br/>
                    <w:t xml:space="preserve">если минимальное предложение меньше ГКПЗ на 30%, то максимальному баллу 5 соответствует минимальное предложение:</w:t>
                    <w:br/>
                    <w:br/>
                    <w:t xml:space="preserve">ЕСЛИ(ПРИВЕДЕННАЯ ОФЕРТА =МИН(ДИАПАЗОН) то 5;</w:t>
                    <w:br/>
                    <w:br/>
                    <w:t xml:space="preserve">иначе ((ГКПЗ- ПРИВЕДЕННАЯ ОФЕРТА )*3/(ГКПЗ-МИН(ДИАПАЗОН))+2));</w:t>
                    <w:br/>
                    <w:br/>
                    <w:t xml:space="preserve">если минимальное предложение не меньше ГКПЗ на 30%, то максимальному баллу 5 соответствует сумма ГКПЗ минус 30%. Выполняется расчёт оценки в диапазоне от 2 до 5:</w:t>
                    <w:br/>
                    <w:br/>
                    <w:t xml:space="preserve">((ГКПЗ-ОФЕРТА)/(ГКПЗ)*10)+2));</w:t>
                    <w:br/>
                    <w:br/>
                    <w:t xml:space="preserve">Сценарий 2: шкала оценок от 1 до 3. 3 балла получает Участник с ПРИВЕДЕННОЙ ОФЕРТОЙ  равной плановой сумме ГКПЗ. Расчёт оценок остальных участников выполняется в диапазоне от 1 до 3:</w:t>
                    <w:br/>
                    <w:br/>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7" w:name="JR_PAGE_ANCHOR_0_8"/>
            <w:bookmarkEnd w:id="7"/>
          </w:p>
        </w:tc>
        <w:tc>
          <w:tcPr>
     </w:tcPr>
          <w:p>
            <w:pPr>
              <w:pStyle w:val="EMPTY_CELL_STYLE"/>
            </w:pPr>
          </w:p>
        </w:tc>
        <w:tc>
          <w:tcPr>
     </w:tcPr>
          <w:p>
            <w:pPr>
              <w:pStyle w:val="EMPTY_CELL_STYLE"/>
            </w:pPr>
          </w:p>
        </w:tc>
      </w:tr>
      <w:tr>
        <w:trPr>
          <w:trHeight w:hRule="exact" w:val="137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8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t xml:space="preserve">ЕСЛИ(ПРИВЕДЕННАЯ ОФЕРТА =МАКС(ДИАПАЗОН) то 1;</w:t>
                    <w:br/>
                    <w:br/>
                    <w:t xml:space="preserve">иначе ((МАКС(ДИАПАЗОН)- ПРИВЕДЕННАЯ ОФЕРТА)*2/(МАКС(ДИАПАЗОН)-ГКПЗ))+1);</w:t>
                  </w:r>
                </w:p>
              </w:tc>
            </w:tr>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  Присвоение баллов заявкам по критерию 4 Надежность Участника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сумма баллов (с учетом значимости) по подкритериям критерия 4 Надежность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сумма баллов по соответствующим подкритериям критерия 4;</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значимость каждого подкритерия критерия 4.</w:t>
                  </w:r>
                </w:p>
              </w:tc>
            </w:tr>
            <w:tr>
              <w:trPr>
                <w:trHeight w:hRule="atLeast" w:val="33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4.4.1.  Присвоение баллов заявкам по критерию 4.1 Добровольные системы подтверждения квалификации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4.1.2</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4.1</w:t>
                  </w:r>
                  <w:r>
                    <w:rPr>
                      <w:rFonts w:ascii="Times New Roman" w:hAnsi="Times New Roman" w:eastAsia="Times New Roman" w:cs="Times New Roman"/>
                      <w:color w:val="000000"/>
                      <w:sz w:val="24"/>
                    </w:rPr>
                    <w:t xml:space="preserve"> – сумма баллов (с учетом значимости) по подкритериям критерия 4.1 Добровольные системы подтверждения квалификации;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4.1.2</w:t>
                  </w:r>
                  <w:r>
                    <w:rPr>
                      <w:rFonts w:ascii="Times New Roman" w:hAnsi="Times New Roman" w:eastAsia="Times New Roman" w:cs="Times New Roman"/>
                      <w:color w:val="000000"/>
                      <w:sz w:val="24"/>
                    </w:rPr>
                    <w:t xml:space="preserve"> − сумма баллов по соответствующим подкритериям критерия 4.1;</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4.1.2</w:t>
                  </w:r>
                  <w:r>
                    <w:rPr>
                      <w:rFonts w:ascii="Times New Roman" w:hAnsi="Times New Roman" w:eastAsia="Times New Roman" w:cs="Times New Roman"/>
                      <w:color w:val="000000"/>
                      <w:sz w:val="24"/>
                    </w:rPr>
                    <w:t xml:space="preserve"> − значимость каждого подкритерия критерия 4.1.</w:t>
                  </w:r>
                </w:p>
              </w:tc>
            </w:tr>
            <w:tr>
              <w:trPr>
                <w:trHeight w:hRule="atLeast" w:val="302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4.4.2.  Присвоение баллов заявкам по критерию 4.2 Опыт выполнения поставок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4.2</w:t>
                  </w:r>
                  <w:r>
                    <w:rPr>
                      <w:rFonts w:ascii="Times New Roman" w:hAnsi="Times New Roman" w:eastAsia="Times New Roman" w:cs="Times New Roman"/>
                      <w:color w:val="000000"/>
                      <w:sz w:val="24"/>
                    </w:rPr>
                    <w:t xml:space="preserve"> – сумма баллов (с учетом значимости) по подкритериям критерия 4.2 Опыт выполнения поставок;</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сумма баллов по соответствующим подкритериям критерия 4.2;</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4.2.1</w:t>
                  </w:r>
                  <w:r>
                    <w:rPr>
                      <w:rFonts w:ascii="Times New Roman" w:hAnsi="Times New Roman" w:eastAsia="Times New Roman" w:cs="Times New Roman"/>
                      <w:color w:val="000000"/>
                      <w:sz w:val="24"/>
                    </w:rPr>
                    <w:t xml:space="preserve"> − значимость каждого подкритерия критерия 4.2.</w:t>
                  </w:r>
                </w:p>
              </w:tc>
            </w:tr>
            <w:tr>
              <w:trPr>
                <w:trHeight w:hRule="atLeast" w:val="358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4.4.3.  Присвоение баллов заявкам по критерию 4.3 Экономические риски с учётом платёжеспособности и финансовой устойчивости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4.3</w:t>
                  </w:r>
                  <w:r>
                    <w:rPr>
                      <w:rFonts w:ascii="Times New Roman" w:hAnsi="Times New Roman" w:eastAsia="Times New Roman" w:cs="Times New Roman"/>
                      <w:color w:val="000000"/>
                      <w:sz w:val="24"/>
                    </w:rPr>
                    <w:t xml:space="preserve"> – сумма баллов (с учетом значимости) по подкритериям критерия 4.3 Экономические риски с учётом платёжеспособности и финансовой устойчивости;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сумма баллов по соответствующим подкритериям критерия 4.3;</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4.3.1</w:t>
                  </w:r>
                  <w:r>
                    <w:rPr>
                      <w:rFonts w:ascii="Times New Roman" w:hAnsi="Times New Roman" w:eastAsia="Times New Roman" w:cs="Times New Roman"/>
                      <w:color w:val="000000"/>
                      <w:sz w:val="24"/>
                    </w:rPr>
                    <w:t xml:space="preserve"> − значимость каждого подкритерия критерия 4.3.</w:t>
                  </w:r>
                </w:p>
              </w:tc>
            </w:tr>
          </w:tbl>
          <w:p>
            <w:pPr>
              <w:pStyle w:val="EMPTY_CELL_STYLE"/>
            </w:pPr>
          </w:p>
        </w:tc>
        <w:tc>
          <w:tcPr>
     </w:tcPr>
          <w:p>
            <w:pPr>
              <w:pStyle w:val="EMPTY_CELL_STYLE"/>
            </w:pPr>
          </w:p>
        </w:tc>
      </w:tr>
    </w:tbl>
    <w:tbl>
      <w:tblPr>
        <w:tblLayout w:type="fixed"/>
      </w:tblPr>
      <w:tblGrid>
        <w:gridCol w:w="1"/>
        <w:gridCol w:w="11400"/>
        <w:gridCol w:w="100"/>
      </w:tblGrid>
      <w:tr>
        <w:trPr>
          <w:trHeight w:hRule="exact" w:val="0"/>
        </w:trPr>
        <w:tc>
          <w:tcPr>
     </w:tcPr>
          <w:p>
            <w:pPr>
              <w:pStyle w:val="EMPTY_CELL_STYLE"/>
              <w:pageBreakBefore/>
            </w:pPr>
            <w:bookmarkStart w:id="8" w:name="JR_PAGE_ANCHOR_0_9"/>
            <w:bookmarkEnd w:id="8"/>
          </w:p>
        </w:tc>
        <w:tc>
          <w:tcPr>
     </w:tcPr>
          <w:p>
            <w:pPr>
              <w:pStyle w:val="EMPTY_CELL_STYLE"/>
            </w:pPr>
          </w:p>
        </w:tc>
        <w:tc>
          <w:tcPr>
     </w:tcPr>
          <w:p>
            <w:pPr>
              <w:pStyle w:val="EMPTY_CELL_STYLE"/>
            </w:pPr>
          </w:p>
        </w:tc>
      </w:tr>
      <w:tr>
        <w:trPr>
          <w:trHeight w:hRule="exact" w:val="330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330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4.4.4.  Присвоение баллов заявкам по критерию 4.4 Юридические риски с учётом предложенных условий договора осуществляется на основании суммы баллов по подкритериям с учетом их значимости  по формуле:</w:t>
                    <w:br/>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32"/>
                      <w:b w:val="true"/>
                      <w:i w:val="true"/>
                    </w:rPr>
                    <w:t xml:space="preserve">K</w:t>
                  </w:r>
                  <w:r>
                    <w:rPr>
                      <w:rFonts w:ascii="Times New Roman" w:hAnsi="Times New Roman" w:eastAsia="Times New Roman" w:cs="Times New Roman"/>
                      <w:color w:val="000000"/>
                      <w:sz w:val="20"/>
                      <w:i w:val="true"/>
                    </w:rPr>
                    <w:t xml:space="preserve">4.4</w:t>
                  </w:r>
                  <w:r>
                    <w:rPr>
                      <w:rFonts w:ascii="Times New Roman" w:hAnsi="Times New Roman" w:eastAsia="Times New Roman" w:cs="Times New Roman"/>
                      <w:color w:val="000000"/>
                      <w:sz w:val="24"/>
                    </w:rPr>
                    <w:t xml:space="preserve"> – сумма баллов (с учетом значимости) по подкритериям критерия 4.4 Юридические риски с учётом предложенных условий договора;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сумма баллов по соответствующим подкритериям критерия 4.4;</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4.4.1</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4.4.2</w:t>
                  </w:r>
                  <w:r>
                    <w:rPr>
                      <w:rFonts w:ascii="Times New Roman" w:hAnsi="Times New Roman" w:eastAsia="Times New Roman" w:cs="Times New Roman"/>
                      <w:color w:val="000000"/>
                      <w:sz w:val="24"/>
                    </w:rPr>
                    <w:t xml:space="preserve"> − значимость каждого подкритерия критерия 4.4.</w:t>
                  </w:r>
                </w:p>
              </w:tc>
            </w:tr>
          </w:tbl>
          <w:p>
            <w:pPr>
              <w:pStyle w:val="EMPTY_CELL_STYLE"/>
            </w:pPr>
          </w:p>
        </w:tc>
        <w:tc>
          <w:tcPr>
     </w:tcPr>
          <w:p>
            <w:pPr>
              <w:pStyle w:val="EMPTY_CELL_STYLE"/>
            </w:pPr>
          </w:p>
        </w:tc>
      </w:tr>
      <w:tr>
        <w:trPr>
          <w:trHeight w:hRule="exact" w:val="5140"/>
        </w:trPr>
        <w:tc>
          <w:tcPr>
     </w:tcPr>
          <w:p>
            <w:pPr>
              <w:pStyle w:val="EMPTY_CELL_STYLE"/>
            </w:pPr>
          </w:p>
        </w:tc>
        <w:tc>
          <w:tcPr>
            <w:tcMar>
              <w:top w:w="0" w:type="dxa"/>
              <w:left w:w="0" w:type="dxa"/>
              <w:bottom w:w="0" w:type="dxa"/>
              <w:right w:w="0" w:type="dxa"/>
            </w:tcMar>
          </w:tcPr>
          <w:tbl>
            <w:tblPr>
              <w:tblLayout w:type="fixed"/>
            </w:tblPr>
            <w:tblGrid>
              <w:gridCol w:w="11400"/>
              <w:gridCol w:w="11400"/>
            </w:tblGrid>
            <w:tr>
              <w:trPr>
                <w:trHeight w:hRule="atLeast" w:val="5140"/>
              </w:trPr>
              <w:tc>
                <w:tcPr>
                  <w:tcMar>
                    <w:top w:w="0" w:type="dxa"/>
                    <w:left w:w="0" w:type="dxa"/>
                    <w:bottom w:w="0" w:type="dxa"/>
                    <w:right w:w="0" w:type="dxa"/>
                  </w:tcMar>
                  <w:vAlign w:val="center"/>
                </w:tcPr>
                <w:p>
                  <w:pPr>
                    <w:ind w:firstLine="0"/>
                  </w:pPr>
                  <w:r>
                    <w:rPr>
                      <w:rFonts w:ascii="Times New Roman" w:hAnsi="Times New Roman" w:eastAsia="Times New Roman" w:cs="Times New Roman"/>
                      <w:color w:val="000000"/>
                      <w:sz w:val="24"/>
                    </w:rPr>
                    <w:br/>
                    <w:t xml:space="preserve">4.5.  Итоговое значение заявки (сумма баллов) рассчитывается суммированием баллов, набранных заявкой по каждому из критериев с учетом их значимости, по следующей формуле:</w:t>
                    <w:br/>
                    <w:br/>
                  </w:r>
                  <w:r>
                    <w:rPr>
                      <w:rFonts w:ascii="Times New Roman" w:hAnsi="Times New Roman" w:eastAsia="Times New Roman" w:cs="Times New Roman"/>
                      <w:color w:val="000000"/>
                      <w:sz w:val="28"/>
                      <w:b w:val="true"/>
                      <w:i w:val="true"/>
                    </w:rPr>
                    <w:t xml:space="preserve">И</w:t>
                  </w:r>
                  <w:r>
                    <w:rPr>
                      <w:rFonts w:ascii="Times New Roman" w:hAnsi="Times New Roman" w:eastAsia="Times New Roman" w:cs="Times New Roman"/>
                      <w:color w:val="000000"/>
                      <w:sz w:val="20"/>
                      <w:i w:val="true"/>
                    </w:rPr>
                    <w:t xml:space="preserve">СБ</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br/>
                    <w:br/>
                    <w:t xml:space="preserve">где:</w:t>
                    <w:br/>
                  </w:r>
                  <w:r>
                    <w:rPr>
                      <w:rFonts w:ascii="Times New Roman" w:hAnsi="Times New Roman" w:eastAsia="Times New Roman" w:cs="Times New Roman"/>
                      <w:color w:val="000000"/>
                      <w:sz w:val="28"/>
                      <w:b w:val="true"/>
                      <w:i w:val="true"/>
                    </w:rPr>
                    <w:t xml:space="preserve">И</w:t>
                  </w:r>
                  <w:r>
                    <w:rPr>
                      <w:rFonts w:ascii="Times New Roman" w:hAnsi="Times New Roman" w:eastAsia="Times New Roman" w:cs="Times New Roman"/>
                      <w:color w:val="000000"/>
                      <w:sz w:val="20"/>
                      <w:i w:val="true"/>
                    </w:rPr>
                    <w:t xml:space="preserve">СБ</w:t>
                  </w:r>
                  <w:r>
                    <w:rPr>
                      <w:rFonts w:ascii="Times New Roman" w:hAnsi="Times New Roman" w:eastAsia="Times New Roman" w:cs="Times New Roman"/>
                      <w:color w:val="000000"/>
                      <w:sz w:val="24"/>
                    </w:rPr>
                    <w:t xml:space="preserve">– итоговая сумма баллов Конкурсной заявки;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балл по критерию Деловая репутация Участника</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1</w:t>
                  </w:r>
                  <w:r>
                    <w:rPr>
                      <w:rFonts w:ascii="Times New Roman" w:hAnsi="Times New Roman" w:eastAsia="Times New Roman" w:cs="Times New Roman"/>
                      <w:color w:val="000000"/>
                      <w:sz w:val="24"/>
                    </w:rPr>
                    <w:t xml:space="preserve"> - значимость критерия Деловая репутация Участника</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сумма баллов по критерию Качество поставляемой продукции</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2</w:t>
                  </w:r>
                  <w:r>
                    <w:rPr>
                      <w:rFonts w:ascii="Times New Roman" w:hAnsi="Times New Roman" w:eastAsia="Times New Roman" w:cs="Times New Roman"/>
                      <w:color w:val="000000"/>
                      <w:sz w:val="24"/>
                    </w:rPr>
                    <w:t xml:space="preserve"> - значимость критерия Качество поставляемой продукции</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сумма баллов по критерию Коммерческое предложение</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3</w:t>
                  </w:r>
                  <w:r>
                    <w:rPr>
                      <w:rFonts w:ascii="Times New Roman" w:hAnsi="Times New Roman" w:eastAsia="Times New Roman" w:cs="Times New Roman"/>
                      <w:color w:val="000000"/>
                      <w:sz w:val="24"/>
                    </w:rPr>
                    <w:t xml:space="preserve"> - значимость критерия Коммерческое предложение</w:t>
                    <w:br/>
                  </w:r>
                  <w:r>
                    <w:rPr>
                      <w:rFonts w:ascii="Times New Roman" w:hAnsi="Times New Roman" w:eastAsia="Times New Roman" w:cs="Times New Roman"/>
                      <w:color w:val="000000"/>
                      <w:sz w:val="28"/>
                      <w:b w:val="true"/>
                      <w:i w:val="true"/>
                    </w:rPr>
                    <w:t xml:space="preserve">K</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сумма баллов по критерию Надежность Участника</w:t>
                    <w:br/>
                  </w:r>
                  <w:r>
                    <w:rPr>
                      <w:rFonts w:ascii="Times New Roman" w:hAnsi="Times New Roman" w:eastAsia="Times New Roman" w:cs="Times New Roman"/>
                      <w:color w:val="000000"/>
                      <w:sz w:val="28"/>
                      <w:b w:val="true"/>
                      <w:i w:val="true"/>
                    </w:rPr>
                    <w:t xml:space="preserve">B</w:t>
                  </w:r>
                  <w:r>
                    <w:rPr>
                      <w:rFonts w:ascii="Times New Roman" w:hAnsi="Times New Roman" w:eastAsia="Times New Roman" w:cs="Times New Roman"/>
                      <w:color w:val="000000"/>
                      <w:sz w:val="20"/>
                      <w:i w:val="true"/>
                    </w:rPr>
                    <w:t xml:space="preserve">4</w:t>
                  </w:r>
                  <w:r>
                    <w:rPr>
                      <w:rFonts w:ascii="Times New Roman" w:hAnsi="Times New Roman" w:eastAsia="Times New Roman" w:cs="Times New Roman"/>
                      <w:color w:val="000000"/>
                      <w:sz w:val="24"/>
                    </w:rPr>
                    <w:t xml:space="preserve"> - значимость критерия Надежность Участника</w:t>
                    <w:br/>
                  </w:r>
                </w:p>
              </w:tc>
            </w:tr>
          </w:tbl>
          <w:p>
            <w:pPr>
              <w:pStyle w:val="EMPTY_CELL_STYLE"/>
            </w:pPr>
          </w:p>
        </w:tc>
        <w:tc>
          <w:tcPr>
     </w:tcPr>
          <w:p>
            <w:pPr>
              <w:pStyle w:val="EMPTY_CELL_STYLE"/>
            </w:pPr>
          </w:p>
        </w:tc>
      </w:tr>
      <w:tr>
        <w:trPr>
          <w:trHeight w:hRule="atLeast" w:val="4680"/>
        </w:trPr>
        <w:tc>
          <w:tcPr>
     </w:tcPr>
          <w:p>
            <w:pPr>
              <w:pStyle w:val="EMPTY_CELL_STYLE"/>
            </w:pPr>
          </w:p>
        </w:tc>
        <w:tc>
          <w:tcPr>
            <w:tcMar>
              <w:top w:w="0" w:type="dxa"/>
              <w:left w:w="0" w:type="dxa"/>
              <w:bottom w:w="0" w:type="dxa"/>
              <w:right w:w="0" w:type="dxa"/>
            </w:tcMar>
            <w:vAlign w:val="top"/>
          </w:tcPr>
          <w:p>
            <w:pPr>
              <w:ind/>
            </w:pPr>
            <w:r>
              <w:rPr>
                <w:rFonts w:ascii="Times New Roman" w:hAnsi="Times New Roman" w:eastAsia="Times New Roman" w:cs="Times New Roman"/>
                <w:color w:val="000000"/>
                <w:sz w:val="24"/>
              </w:rPr>
              <w:br/>
              <w:t xml:space="preserve"> 5.  На основании результатов оценки заявок закупочной/конкурсной комиссией каждой заявке относительно других по мере уменьшения итогового значения присваивается порядковый номер. Первый номер присваивается заявке, набравшей по результатам оценки максимальное количество баллов. Такая заявка считается содержащей лучшие условия исполнения договора. В случае если в нескольких заявках содержатся одинаковые условия исполнения договора и такие заявки получили одинаковые итоговые значения, меньший порядковый номер присваивается заявке, поступившей (зарегистрированной на электронной площадке) раньше. </w:t>
              <w:br/>
              <w:br/>
              <w:t xml:space="preserve"> 6.  При проведении процедуры переторжки или переговоров предыдущее ранжирование участников считается предварительным. После проведения переторжки (переговоров) Закупочная комиссия (экспертная группа) повторно оценивает критерии, информация по которым изменилась. При этом, после проведения переговоров, повторно может проводиться экспертиза по любому критерию/подкритерию. При проведении переторжки повторно проводится только экспертиза по коммерческому направлению. </w:t>
              <w:br/>
              <w:t xml:space="preserve"> По закупкам, участниками которых могут быть только СМСП, коммерческая экспертиза проводиться один раз (оцениваются либо первичные коммерческие предложения, либо поданные на этапе подачи дополнительных ценовых предложений участников дополнительные ценовые предложения).</w:t>
            </w:r>
          </w:p>
        </w:tc>
        <w:tc>
          <w:tcPr>
     </w:tcPr>
          <w:p>
            <w:pPr>
              <w:pStyle w:val="EMPTY_CELL_STYLE"/>
            </w:pPr>
          </w:p>
        </w:tc>
      </w:tr>
    </w:tbl>
    <w:p>
      <w:pPr>
        <w:sectPr>
          <w:pgSz w:w="11900" w:h="16840" w:orient="portrait"/>
          <w:pgMar w:top="200" w:right="200" w:bottom="0" w:left="200" w:header="0" w:footer="0" w:gutter="0"/>
          <w:docGrid w:linePitch="360"/>
        </w:sectPr>
      </w:pPr>
    </w:p>
    <w:sectPr>
      <w:pgSz w:w="11900" w:h="16840" w:orient="portrait"/>
      <w:pgMar w:top="200" w:right="200" w:bottom="0" w:left="200" w:header="0" w:footer="0" w:gutter="0"/>
      <w:docGrid w:linePitch="360"/>
    </w:sectPr>
    <w:tbl>
      <w:tblPr>
        <w:tblLayout w:type="fixed"/>
      </w:tblPr>
      <w:tblGrid>
        <w:gridCol w:w="1"/>
        <w:gridCol w:w="20"/>
        <w:gridCol w:w="3600"/>
        <w:gridCol w:w="2000"/>
        <w:gridCol w:w="4900"/>
        <w:gridCol w:w="2280"/>
        <w:gridCol w:w="3300"/>
        <w:gridCol w:w="20"/>
        <w:gridCol w:w="320"/>
      </w:tblGrid>
      <w:tr>
        <w:trPr>
          <w:trHeight w:hRule="exact" w:val="0"/>
        </w:trPr>
        <w:tc>
          <w:tcPr>
     </w:tcPr>
          <w:p>
            <w:pPr>
              <w:pStyle w:val="EMPTY_CELL_STYLE"/>
            </w:pPr>
            <w:bookmarkStart w:id="0" w:name="JR_PAGE_ANCHOR_0_1"/>
            <w:bookmarkEnd w:id="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rPr>
              <w:t xml:space="preserve">Приложение 1 к руководству</w:t>
              <w:br/>
            </w:r>
          </w:p>
        </w:tc>
        <w:tc>
          <w:tcPr>
     </w:tcPr>
          <w:p>
            <w:pPr>
              <w:pStyle w:val="EMPTY_CELL_STYLE"/>
            </w:pPr>
          </w:p>
        </w:tc>
        <w:tc>
          <w:tcPr>
     </w:tcPr>
          <w:p>
            <w:pPr>
              <w:pStyle w:val="EMPTY_CELL_STYLE"/>
            </w:pPr>
          </w:p>
        </w:tc>
      </w:tr>
      <w:tr>
        <w:trPr>
          <w:trHeight w:hRule="exact" w:val="400"/>
        </w:trPr>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ПРИСВОЕНИЯ БАЛЛОВ</w:t>
            </w: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6"/>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3"/>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Финансово-экономическая  экспертиза</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5"/>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 (Отборочная стадия проводится в соответствии с Методикой проведения экспертизы финансово-экономической устойчивости участников закупочных процедур)</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6"/>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 w:name="JR_PAGE_ANCHOR_0_1"/>
                  <w:bookmarkEnd w:id="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 w:name="JR_PAGE_ANCHOR_0_1"/>
                  <w:bookmarkEnd w:id="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 w:name="JR_PAGE_ANCHOR_0_1"/>
                  <w:bookmarkEnd w:id="3"/>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4" w:name="JR_PAGE_ANCHOR_0_2"/>
            <w:bookmarkEnd w:id="4"/>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324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16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Экономические риски с учётом платёжеспособности и финансовой устойчивости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8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соответствует требованиям Закупочной документации</w:t>
                          <w:br/>
                          <w:t xml:space="preserve">От 1 до 5 баллов  - Баллы выставляются в соотвествии с Методикой проведения экспертизы финансово-экономической устойчивости участников закупочных процедур</w:t>
                        </w: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4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5" w:name="JR_PAGE_ANCHOR_0_3"/>
            <w:bookmarkEnd w:id="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Коммерческая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6" w:name="JR_PAGE_ANCHOR_0_3"/>
                  <w:bookmarkEnd w:id="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7" w:name="JR_PAGE_ANCHOR_0_3"/>
                  <w:bookmarkEnd w:id="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8" w:name="JR_PAGE_ANCHOR_0_3"/>
                  <w:bookmarkEnd w:id="8"/>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200"/>
        <w:gridCol w:w="1800"/>
        <w:gridCol w:w="7800"/>
        <w:gridCol w:w="1680"/>
        <w:gridCol w:w="20"/>
        <w:gridCol w:w="1580"/>
        <w:gridCol w:w="20"/>
        <w:gridCol w:w="1600"/>
        <w:gridCol w:w="1340"/>
        <w:gridCol w:w="400"/>
      </w:tblGrid>
      <w:tr>
        <w:trPr>
          <w:trHeight w:hRule="exact" w:val="0"/>
        </w:trPr>
        <w:tc>
          <w:tcPr>
     </w:tcPr>
          <w:p>
            <w:pPr>
              <w:pStyle w:val="EMPTY_CELL_STYLE"/>
              <w:pageBreakBefore/>
            </w:pPr>
            <w:bookmarkStart w:id="9" w:name="JR_PAGE_ANCHOR_0_4"/>
            <w:bookmarkEnd w:id="9"/>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Сумма ГКПЗ</w:t>
            </w: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gridSpan w:val="3"/>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00"/>
        </w:trPr>
        <w:tc>
          <w:tcPr>
     </w:tcPr>
          <w:p>
            <w:pPr>
              <w:pStyle w:val="EMPTY_CELL_STYLE"/>
            </w:pPr>
          </w:p>
        </w:tc>
        <w:tc>
          <w:tcPr>
     </w:tcPr>
          <w:p>
            <w:pPr>
              <w:pStyle w:val="EMPTY_CELL_STYLE"/>
            </w:pPr>
          </w:p>
        </w:tc>
        <w:tc>
          <w:tcPr>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 п/п</w:t>
            </w:r>
          </w:p>
        </w:tc>
        <w:tc>
          <w:tcPr>
            <w:gridSpan w:val="3"/>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Наименование участника процедуры</w:t>
            </w:r>
          </w:p>
        </w:tc>
        <w:tc>
          <w:tcPr>
            <w:gridSpan w:val="2"/>
            <w:tcBorders>
              <w:top w:val="double" w:sz="4" w:space="0" w:color="000000"/>
              <w:left w:val="double" w:sz="4" w:space="0" w:color="000000"/>
              <w:bottom w:val="double" w:sz="4" w:space="0" w:color="000000"/>
              <w:right w:val="doub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Цена договора, предложенная участником, руб. без НДС</w:t>
            </w: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2</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tcBorders>
              <w:top w:val="single" w:sz="4" w:space="0" w:color="000000"/>
              <w:left w:val="doub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3</w:t>
            </w:r>
          </w:p>
        </w:tc>
        <w:tc>
          <w:tcPr>
            <w:gridSpan w:val="3"/>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gridSpan w:val="2"/>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shd w:val="clear" w:color="auto" w:fill="FFFFCC"/>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center"/>
            </w:pPr>
          </w:p>
        </w:tc>
        <w:tc>
          <w:tcPr>
     </w:tcPr>
          <w:p>
            <w:pPr>
              <w:pStyle w:val="EMPTY_CELL_STYLE"/>
            </w:pP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000"/>
        </w:trPr>
        <w:tc>
          <w:tcPr>
     </w:tcPr>
          <w:p>
            <w:pPr>
              <w:pStyle w:val="EMPTY_CELL_STYLE"/>
            </w:pPr>
          </w:p>
        </w:tc>
        <w:tc>
          <w:tcPr>
     </w:tcPr>
          <w:p>
            <w:pPr>
              <w:pStyle w:val="EMPTY_CELL_STYLE"/>
            </w:pPr>
          </w:p>
        </w:tc>
        <w:tc>
          <w:tcPr>
            <w:gridSpan w:val="8"/>
            <w:tcMar>
              <w:top w:w="0" w:type="dxa"/>
              <w:left w:w="0" w:type="dxa"/>
              <w:bottom w:w="0" w:type="dxa"/>
              <w:right w:w="0" w:type="dxa"/>
            </w:tcMar>
          </w:tcPr>
          <w:tbl>
            <w:tblPr>
              <w:tblLayout w:type="fixed"/>
            </w:tblPr>
            <w:tblGrid>
              <w:gridCol w:w="8400"/>
              <w:gridCol w:w="740"/>
              <w:gridCol w:w="740"/>
              <w:gridCol w:w="740"/>
              <w:gridCol w:w="760"/>
              <w:gridCol w:w="760"/>
              <w:gridCol w:w="740"/>
              <w:gridCol w:w="740"/>
              <w:gridCol w:w="740"/>
              <w:gridCol w:w="740"/>
              <w:gridCol w:w="740"/>
            </w:tblGrid>
            <w:tr>
              <w:trPr>
                <w:trHeight w:hRule="exact" w:val="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400"/>
                    <w:gridCol w:w="840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rPr>
                          <w:t xml:space="preserve">(максимальная оценка по позиции –  5 баллов)</w:t>
                        </w:r>
                      </w:p>
                    </w:tc>
                  </w:tr>
                  <w:tr>
                    <w:trPr>
                      <w:trHeight w:hRule="exact" w:val="400"/>
                    </w:trPr>
                    <w:tc>
                      <w:tcPr>
                        <w:shd w:val="clear" w:color="auto" w:fill="FFFFFF"/>
                        <w:tcBorders>
                          <w:top w:val="single" w:sz="4" w:space="0" w:color="000000"/>
                        </w:tcBorders>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Критерии оценки</w:t>
                        </w:r>
                      </w:p>
                    </w:tc>
                  </w:tr>
                </w:tbl>
                <w:p>
                  <w:pPr>
                    <w:pStyle w:val="EMPTY_CELL_STYLE"/>
                  </w:pPr>
                </w:p>
              </w:tc>
              <w:tc>
                <w:tcPr>
                  <w:gridSpan w:val="10"/>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40"/>
                    <w:gridCol w:w="74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участника</w:t>
                        </w:r>
                      </w:p>
                    </w:tc>
                  </w:tr>
                </w:tbl>
                <w:p>
                  <w:pPr>
                    <w:pStyle w:val="EMPTY_CELL_STYLE"/>
                  </w:pPr>
                </w:p>
              </w:tc>
            </w:tr>
            <w:tr>
              <w:trPr>
                <w:trHeight w:hRule="exact" w:val="4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2</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3</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60"/>
                    <w:gridCol w:w="76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4</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60"/>
                    <w:gridCol w:w="76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5</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6</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7</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8</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9</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740"/>
                    <w:gridCol w:w="740"/>
                  </w:tblGrid>
                  <w:tr>
                    <w:trPr>
                      <w:trHeight w:hRule="exact" w:val="4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10</w:t>
                        </w:r>
                      </w:p>
                    </w:tc>
                  </w:tr>
                </w:tbl>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400"/>
                    <w:gridCol w:w="84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Цена договора, предложенная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10" w:name="JR_PAGE_ANCHOR_0_4"/>
                  <w:bookmarkEnd w:id="10"/>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1" w:name="JR_PAGE_ANCHOR_0_4"/>
                  <w:bookmarkEnd w:id="1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2" w:name="JR_PAGE_ANCHOR_0_4"/>
                  <w:bookmarkEnd w:id="1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3" w:name="JR_PAGE_ANCHOR_0_4"/>
                  <w:bookmarkEnd w:id="13"/>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4" w:name="JR_PAGE_ANCHOR_0_4"/>
                  <w:bookmarkEnd w:id="14"/>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5" w:name="JR_PAGE_ANCHOR_0_4"/>
                  <w:bookmarkEnd w:id="15"/>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6" w:name="JR_PAGE_ANCHOR_0_4"/>
                  <w:bookmarkEnd w:id="1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7" w:name="JR_PAGE_ANCHOR_0_4"/>
                  <w:bookmarkEnd w:id="1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8" w:name="JR_PAGE_ANCHOR_0_4"/>
                  <w:bookmarkEnd w:id="18"/>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19" w:name="JR_PAGE_ANCHOR_0_4"/>
                  <w:bookmarkEnd w:id="19"/>
                </w:p>
                <w:p>
                  <w:r>
                    <w:br w:type="page"/>
                  </w:r>
                </w:p>
                <w:p>
                  <w:pPr>
                    <w:pStyle w:val="EMPTY_CELL_STYLE"/>
                  </w:pPr>
                </w:p>
              </w:tc>
            </w:tr>
            <w:tr>
              <w:trPr>
                <w:trHeight w:hRule="exact" w:val="6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400"/>
                    <w:gridCol w:w="8400"/>
                  </w:tblGrid>
                  <w:tr>
                    <w:trPr>
                      <w:trHeight w:hRule="exact" w:val="60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Цена договора, предложенная участником с учетом суммы упущенной выгоды/потенциального депозитного дохода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20" w:name="JR_PAGE_ANCHOR_0_4"/>
                  <w:bookmarkEnd w:id="20"/>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1" w:name="JR_PAGE_ANCHOR_0_4"/>
                  <w:bookmarkEnd w:id="2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2" w:name="JR_PAGE_ANCHOR_0_4"/>
                  <w:bookmarkEnd w:id="2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3" w:name="JR_PAGE_ANCHOR_0_4"/>
                  <w:bookmarkEnd w:id="23"/>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4" w:name="JR_PAGE_ANCHOR_0_4"/>
                  <w:bookmarkEnd w:id="24"/>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5" w:name="JR_PAGE_ANCHOR_0_4"/>
                  <w:bookmarkEnd w:id="25"/>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6" w:name="JR_PAGE_ANCHOR_0_4"/>
                  <w:bookmarkEnd w:id="2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7" w:name="JR_PAGE_ANCHOR_0_4"/>
                  <w:bookmarkEnd w:id="2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8" w:name="JR_PAGE_ANCHOR_0_4"/>
                  <w:bookmarkEnd w:id="28"/>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29" w:name="JR_PAGE_ANCHOR_0_4"/>
                  <w:bookmarkEnd w:id="29"/>
                </w:p>
                <w:p>
                  <w:r>
                    <w:br w:type="page"/>
                  </w:r>
                </w:p>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30" w:name="JR_PAGE_ANCHOR_0_5"/>
            <w:bookmarkEnd w:id="30"/>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Экономическая безопасность</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31" w:name="JR_PAGE_ANCHOR_0_5"/>
                  <w:bookmarkEnd w:id="31"/>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2" w:name="JR_PAGE_ANCHOR_0_5"/>
                  <w:bookmarkEnd w:id="3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3" w:name="JR_PAGE_ANCHOR_0_5"/>
                  <w:bookmarkEnd w:id="33"/>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34" w:name="JR_PAGE_ANCHOR_0_6"/>
            <w:bookmarkEnd w:id="34"/>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302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14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42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Деловая репутация Участника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8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Неприемлемая деловая репутация</w:t>
                          <w:br/>
                          <w:t xml:space="preserve">От 1 до 5 баллов  - Баллы выставляются в соотвествии с Методикой оценки деловой репутации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35" w:name="JR_PAGE_ANCHOR_0_7"/>
            <w:bookmarkEnd w:id="35"/>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Техническая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36" w:name="JR_PAGE_ANCHOR_0_7"/>
                  <w:bookmarkEnd w:id="36"/>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7" w:name="JR_PAGE_ANCHOR_0_7"/>
                  <w:bookmarkEnd w:id="3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38" w:name="JR_PAGE_ANCHOR_0_7"/>
                  <w:bookmarkEnd w:id="38"/>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39" w:name="JR_PAGE_ANCHOR_0_8"/>
            <w:bookmarkEnd w:id="39"/>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858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9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9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Соответствие объема и качества предлагаемого товара требованиям ТЗ</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33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представил (не подтвердил) объем и/или качество поставляемого товара, либо объем и/или качество поставляемого товара не соответствуют  минимальным требовниям Закупочной документации</w:t>
                          <w:br/>
                          <w:t xml:space="preserve">От 1 до 2 баллов  - Данный диапазон не  используется</w:t>
                          <w:br/>
                          <w:t xml:space="preserve">3 балла - Предложение участника полностью соответствует требованиям  Закупочной документации по объему и качеству предлагаемого товара. В случае обязательного наличия требования о предоставлении сертификата, подтверждающего качество продукции, такой документ предоставлен</w:t>
                          <w:br/>
                          <w:t xml:space="preserve">4 балла - Предложение участника полностью соответствует требованиям  Закупочной документации по объему и качеству поставляемого товара. Подтверждены желательные требования</w:t>
                          <w:br/>
                          <w:t xml:space="preserve">5 баллов - Оценка не используется</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308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08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Временные параметры поставки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48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указал временные параметры поставки, либо предложенные параметры поставки не соответствуют требованиям Закупочной документации</w:t>
                          <w:br/>
                          <w:t xml:space="preserve">От 1 до 2 баллов  - Данный диапазон не  используется</w:t>
                          <w:br/>
                          <w:t xml:space="preserve">3 балла - Предложенные временные параметры поставки  соответствуют требованиям/условиям  Закупочной документации</w:t>
                          <w:br/>
                          <w:t xml:space="preserve">4 балла - Предложенные временные параметры поставки участника  улучшают требования закупочной документации, в случае если возможность таких улучшений была указана в Закупочной документации</w:t>
                          <w:br/>
                          <w:t xml:space="preserve">5 баллов - Оценка не используется</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16100"/>
        <w:gridCol w:w="340"/>
      </w:tblGrid>
      <w:tr>
        <w:trPr>
          <w:trHeight w:hRule="exact" w:val="0"/>
        </w:trPr>
        <w:tc>
          <w:tcPr>
     </w:tcPr>
          <w:p>
            <w:pPr>
              <w:pStyle w:val="EMPTY_CELL_STYLE"/>
              <w:pageBreakBefore/>
            </w:pPr>
            <w:bookmarkStart w:id="40" w:name="JR_PAGE_ANCHOR_0_9"/>
            <w:bookmarkEnd w:id="40"/>
          </w:p>
        </w:tc>
        <w:tc>
          <w:tcPr>
     </w:tcPr>
          <w:p>
            <w:pPr>
              <w:pStyle w:val="EMPTY_CELL_STYLE"/>
            </w:pPr>
          </w:p>
        </w:tc>
        <w:tc>
          <w:tcPr>
     </w:tcPr>
          <w:p>
            <w:pPr>
              <w:pStyle w:val="EMPTY_CELL_STYLE"/>
            </w:pPr>
          </w:p>
        </w:tc>
      </w:tr>
      <w:tr>
        <w:trPr>
          <w:trHeight w:hRule="exact" w:val="4680"/>
        </w:trPr>
        <w:tc>
          <w:tcPr>
     </w:tcPr>
          <w:p>
            <w:pPr>
              <w:pStyle w:val="EMPTY_CELL_STYLE"/>
            </w:pPr>
          </w:p>
        </w:tc>
        <w:tc>
          <w:tcPr>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08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08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Гарантийные обязательства</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48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подтвердил гарантийные обязательства,  либо предложенные обязательства меньше (хуже) требований Закупочной документации</w:t>
                          <w:br/>
                          <w:t xml:space="preserve">От 1 до 2 баллов  - Данный диапазон не  используется</w:t>
                          <w:br/>
                          <w:t xml:space="preserve">3 балла - Предложенные гарантийные обязательства  соответствуют требованиям/условиям  Закупочной документации</w:t>
                          <w:br/>
                          <w:t xml:space="preserve">4 балла - Предложенные гарантийные обязательства  улучшают требования закупочной документации, но не более чем в 2 раза</w:t>
                          <w:br/>
                          <w:t xml:space="preserve">5 баллов - Предложенные гарантийные обязательства  улучшают требования закупочной документации более чем в 2 раза</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88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41" w:name="JR_PAGE_ANCHOR_0_10"/>
            <w:bookmarkEnd w:id="41"/>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Юридическая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42" w:name="JR_PAGE_ANCHOR_0_10"/>
                  <w:bookmarkEnd w:id="42"/>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43" w:name="JR_PAGE_ANCHOR_0_10"/>
                  <w:bookmarkEnd w:id="43"/>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44" w:name="JR_PAGE_ANCHOR_0_10"/>
                  <w:bookmarkEnd w:id="44"/>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45" w:name="JR_PAGE_ANCHOR_0_11"/>
            <w:bookmarkEnd w:id="45"/>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966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47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472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Оценка риска заключения договора с участником, в связи с предоставлением в составе заявки документов, не соответствующих требованиям закупочной документации либо их отсутствием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412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Непредставление документов, установленных требованиями Закупочной документации и/или представление документов не соответствующих требованиям Закупочной документации и/или представление документов, не подтверждающих соответствие участника требованиям Закупочной документации (за исключением документов, указанных при описании оценки 2 балла). Отсутствие участника в Едином реестре СМСП (при закупке у СМСП)</w:t>
                          <w:br/>
                          <w:t xml:space="preserve">1 балл - Не используется для оценки</w:t>
                          <w:br/>
                          <w:t xml:space="preserve">2 балла - Не представление участником справок (одной или обоих) о крупности и/или заинтересованности сделок или представление участником справок (одной или обоих) о крупности и/или заинтересованности сделок не соответствующих требованиям  Закупочной документации и/или законодательству РФ; не представление действующей версии Устава.</w:t>
                          <w:br/>
                          <w:t xml:space="preserve">3 балла - Участник/предложение участника соответствует требованиям Закупочной документации. Приемлемые риски</w:t>
                          <w:br/>
                          <w:t xml:space="preserve">От 4 до 5 баллов  - диапапзон не используется для оценки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352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334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34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Приемлемость условий договора, предложенных участником</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74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Участник не представил протокол разногласий в соответствии с формой, установленной закупочной документацией и/или письма-согласия с условиями договора, и/или представлен протокол разногласий с "обязательными" условиями и/или без указания статуса условий</w:t>
                          <w:br/>
                          <w:t xml:space="preserve">1 балл - Участником представлен протокол разногласий с "желательными" условиями влияющими/ухудшающими положение Заказчика</w:t>
                          <w:br/>
                          <w:t xml:space="preserve">2 балла - Не используется для оценки</w:t>
                          <w:br/>
                          <w:t xml:space="preserve">3 балла - Участник согласен с условиями договора или участник представил протокол разногласий с "желательными" условиями не влияющими на положение Заказчика</w:t>
                          <w:br/>
                          <w:t xml:space="preserve">От 4 до 5 баллов  - Не используется для оценки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14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tbl>
      <w:tblPr>
        <w:tblLayout w:type="fixed"/>
      </w:tblPr>
      <w:tblGrid>
        <w:gridCol w:w="1"/>
        <w:gridCol w:w="20"/>
        <w:gridCol w:w="3600"/>
        <w:gridCol w:w="2000"/>
        <w:gridCol w:w="4900"/>
        <w:gridCol w:w="5580"/>
        <w:gridCol w:w="20"/>
        <w:gridCol w:w="320"/>
      </w:tblGrid>
      <w:tr>
        <w:trPr>
          <w:trHeight w:hRule="exact" w:val="100"/>
        </w:trPr>
        <w:tc>
          <w:tcPr>
     </w:tcPr>
          <w:p>
            <w:pPr>
              <w:pStyle w:val="EMPTY_CELL_STYLE"/>
              <w:pageBreakBefore/>
            </w:pPr>
            <w:bookmarkStart w:id="46" w:name="JR_PAGE_ANCHOR_0_12"/>
            <w:bookmarkEnd w:id="46"/>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ИНДИВИДУАЛЬНОЕ ЗАКЛЮЧЕНИЕ ПО ЭКСПЕРТНОЙ ОЦЕНКЕ ЗАЯВОК НА УЧАСТИЕ В ЗАКУПКЕ </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5"/>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После этапа: _________________________</w:t>
            </w:r>
          </w:p>
        </w:tc>
        <w:tc>
          <w:tcPr>
     </w:tcPr>
          <w:p>
            <w:pPr>
              <w:pStyle w:val="EMPTY_CELL_STYLE"/>
            </w:pPr>
          </w:p>
        </w:tc>
      </w:tr>
      <w:tr>
        <w:trPr>
          <w:trHeight w:hRule="exact" w:val="400"/>
        </w:trPr>
        <w:tc>
          <w:tcPr>
     </w:tcPr>
          <w:p>
            <w:pPr>
              <w:pStyle w:val="EMPTY_CELL_STYLE"/>
            </w:pP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ДЗО: _____________________</w:t>
            </w:r>
          </w:p>
        </w:tc>
        <w:tc>
          <w:tcPr>
     </w:tcPr>
          <w:p>
            <w:pPr>
              <w:pStyle w:val="EMPTY_CELL_STYLE"/>
            </w:pPr>
          </w:p>
        </w:tc>
        <w:tc>
          <w:tcPr>
            <w:gridSpan w:val="2"/>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 Филиал: _______________________</w:t>
            </w: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Эксперт:</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Способ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закупки:</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Предмет договора:</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Лот №: 720.26.00773</w:t>
            </w: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Карта закупок:</w:t>
            </w:r>
          </w:p>
        </w:tc>
        <w:tc>
          <w:tcPr>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Вид экспертизы: </w:t>
            </w:r>
          </w:p>
        </w:tc>
        <w:tc>
          <w:tcPr>
            <w:gridSpan w:val="2"/>
            <w:shd w:val="clear" w:color="auto" w:fill="87FFA5"/>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 Квалификационная экспертиза</w:t>
            </w:r>
          </w:p>
        </w:tc>
        <w:tc>
          <w:tcPr>
     </w:tcPr>
          <w:p>
            <w:pPr>
              <w:pStyle w:val="EMPTY_CELL_STYLE"/>
            </w:pPr>
          </w:p>
        </w:tc>
        <w:tc>
          <w:tcPr>
     </w:tcPr>
          <w:p>
            <w:pPr>
              <w:pStyle w:val="EMPTY_CELL_STYLE"/>
            </w:pP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tcPr>
          <w:p>
            <w:pPr>
              <w:pStyle w:val="EMPTY_CELL_STYLE"/>
            </w:pPr>
          </w:p>
        </w:tc>
        <w:tc>
          <w:tcPr>
            <w:gridSpan w:val="4"/>
            <w:tcMar>
              <w:top w:w="0" w:type="dxa"/>
              <w:left w:w="0" w:type="dxa"/>
              <w:bottom w:w="0" w:type="dxa"/>
              <w:right w:w="0" w:type="dxa"/>
            </w:tcMar>
            <w:vAlign w:val="top"/>
          </w:tcPr>
          <w:p>
            <w:pPr>
              <w:ind/>
              <w:jc w:val="left"/>
            </w:pPr>
            <w:r>
              <w:rPr>
                <w:rFonts w:ascii="Times New Roman" w:hAnsi="Times New Roman" w:eastAsia="Times New Roman" w:cs="Times New Roman"/>
                <w:color w:val="000000"/>
                <w:sz w:val="24"/>
                <w:b w:val="true"/>
              </w:rPr>
              <w:t xml:space="preserve">Таблица № 1. Отборочная стадия</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Mar>
              <w:top w:w="0" w:type="dxa"/>
              <w:left w:w="0" w:type="dxa"/>
              <w:bottom w:w="0" w:type="dxa"/>
              <w:right w:w="0" w:type="dxa"/>
            </w:tcMar>
          </w:tcPr>
          <w:tbl>
            <w:tblPr>
              <w:tblLayout w:type="fixed"/>
            </w:tblPr>
            <w:tblGrid>
              <w:gridCol w:w="1800"/>
              <w:gridCol w:w="8000"/>
              <w:gridCol w:w="2100"/>
              <w:gridCol w:w="2100"/>
              <w:gridCol w:w="2100"/>
            </w:tblGrid>
            <w:tr>
              <w:trPr>
                <w:trHeight w:hRule="exact" w:val="1400"/>
              </w:trPr>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0"/>
                            <w:b w:val="true"/>
                          </w:rPr>
                          <w:t xml:space="preserve">№ п/п критерия</w:t>
                        </w:r>
                      </w:p>
                    </w:tc>
                  </w:tr>
                </w:tbl>
                <w:p>
                  <w:pPr>
                    <w:pStyle w:val="EMPTY_CELL_STYLE"/>
                  </w:pPr>
                </w:p>
              </w:tc>
              <w:tc>
                <w:tcPr>
                  <w:vMerge w:val="restart"/>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22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отборочного критерия </w:t>
                        </w:r>
                      </w:p>
                    </w:tc>
                  </w:tr>
                </w:tbl>
                <w:p>
                  <w:pPr>
                    <w:pStyle w:val="EMPTY_CELL_STYLE"/>
                  </w:pPr>
                </w:p>
              </w:tc>
              <w:tc>
                <w:tcPr>
                  <w:gridSpan w:val="3"/>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6300"/>
                    <w:gridCol w:w="6300"/>
                  </w:tblGrid>
                  <w:tr>
                    <w:trPr>
                      <w:trHeight w:hRule="exact" w:val="14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Экспертные оценки: </w:t>
                        </w:r>
                        <w:r>
                          <w:rPr>
                            <w:rFonts w:ascii="Times New Roman" w:hAnsi="Times New Roman" w:eastAsia="Times New Roman" w:cs="Times New Roman"/>
                            <w:color w:val="FF0000"/>
                            <w:sz w:val="24"/>
                            <w:b w:val="true"/>
                          </w:rPr>
                          <w:t xml:space="preserve">«Соответствует»</w:t>
                        </w:r>
                        <w:r>
                          <w:rPr>
                            <w:rFonts w:ascii="Times New Roman" w:hAnsi="Times New Roman" w:eastAsia="Times New Roman" w:cs="Times New Roman"/>
                            <w:color w:val="000000"/>
                            <w:sz w:val="24"/>
                            <w:b w:val="true"/>
                          </w:rPr>
                          <w:t xml:space="preserve"> или </w:t>
                        </w:r>
                        <w:r>
                          <w:rPr>
                            <w:rFonts w:ascii="Times New Roman" w:hAnsi="Times New Roman" w:eastAsia="Times New Roman" w:cs="Times New Roman"/>
                            <w:color w:val="FF0000"/>
                            <w:sz w:val="24"/>
                            <w:b w:val="true"/>
                          </w:rPr>
                          <w:t xml:space="preserve">«Не соответствует»</w:t>
                        </w:r>
                        <w:r>
                          <w:rPr>
                            <w:rFonts w:ascii="Times New Roman" w:hAnsi="Times New Roman" w:eastAsia="Times New Roman" w:cs="Times New Roman"/>
                            <w:color w:val="000000"/>
                            <w:sz w:val="24"/>
                            <w:b w:val="true"/>
                          </w:rPr>
                          <w:t xml:space="preserve"> требованиям закупочной документации </w:t>
                        </w:r>
                        <w:r>
                          <w:rPr>
                            <w:rFonts w:ascii="Times New Roman" w:hAnsi="Times New Roman" w:eastAsia="Times New Roman" w:cs="Times New Roman"/>
                            <w:color w:val="FF0000"/>
                            <w:sz w:val="24"/>
                            <w:b w:val="true"/>
                          </w:rPr>
                          <w:t xml:space="preserve">(в случае несоответствия заполняется заключение ниже)</w:t>
                        </w:r>
                        <w:r>
                          <w:rPr>
                            <w:rFonts w:ascii="Times New Roman" w:hAnsi="Times New Roman" w:eastAsia="Times New Roman" w:cs="Times New Roman"/>
                            <w:color w:val="000000"/>
                            <w:sz w:val="24"/>
                            <w:b w:val="true"/>
                          </w:rPr>
                          <w:t xml:space="preserve"> и рекомендации по отклонению или допуску участника</w:t>
                        </w:r>
                      </w:p>
                    </w:tc>
                  </w:tr>
                </w:tbl>
                <w:p>
                  <w:pPr>
                    <w:pStyle w:val="EMPTY_CELL_STYLE"/>
                  </w:pPr>
                </w:p>
              </w:tc>
            </w:tr>
            <w:tr>
              <w:trPr>
                <w:trHeight w:hRule="exact" w:val="800"/>
              </w:trPr>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82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1</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820"/>
                    </w:trPr>
                    <w:tc>
                      <w:tcPr>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Соответствие Участника и его Заявки (Предложения) требованиям закупочной документации (требования описаны в закупочной (конкурсной) документации)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r>
                    <w:br w:type="page"/>
                  </w:r>
                </w:p>
                <w:p>
                  <w:bookmarkStart w:id="47" w:name="JR_PAGE_ANCHOR_0_12"/>
                  <w:bookmarkEnd w:id="47"/>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48" w:name="JR_PAGE_ANCHOR_0_12"/>
                  <w:bookmarkEnd w:id="48"/>
                </w:p>
                <w:p>
                  <w:r>
                    <w:br w:type="page"/>
                  </w:r>
                </w:p>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bookmarkStart w:id="49" w:name="JR_PAGE_ANCHOR_0_12"/>
                  <w:bookmarkEnd w:id="49"/>
                </w:p>
                <w:p>
                  <w:r>
                    <w:br w:type="page"/>
                  </w:r>
                </w:p>
                <w:p>
                  <w:pPr>
                    <w:pStyle w:val="EMPTY_CELL_STYLE"/>
                  </w:pPr>
                </w:p>
              </w:tc>
            </w:tr>
            <w:tr>
              <w:trPr>
                <w:trHeight w:hRule="exact" w:val="600"/>
              </w:trPr>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8000"/>
                    <w:gridCol w:w="8000"/>
                  </w:tblGrid>
                  <w:tr>
                    <w:trPr>
                      <w:trHeight w:hRule="exact" w:val="600"/>
                    </w:trPr>
                    <w:tc>
                      <w:tcPr>
                        <w:shd w:val="clear" w:color="auto" w:fill="FFFFFF"/>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Рекомендации эксперта по отклонению или допуску участника</w:t>
                        </w: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c>
                <w:tcPr>
                  <w:shd w:val="clear" w:color="auto" w:fill="F0F8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2100"/>
                    <w:gridCol w:w="2100"/>
                  </w:tblGrid>
                  <w:tr>
                    <w:trPr>
                      <w:trHeight w:hRule="exact" w:val="600"/>
                    </w:trPr>
                    <w:tc>
                      <w:tcPr>
                        <w:shd w:val="clear" w:color="auto" w:fill="FFFFFF"/>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c>
          <w:tcPr>
     </w:tcPr>
          <w:p>
            <w:pPr>
              <w:pStyle w:val="EMPTY_CELL_STYLE"/>
            </w:pPr>
          </w:p>
        </w:tc>
      </w:tr>
    </w:tbl>
    <w:tbl>
      <w:tblPr>
        <w:tblLayout w:type="fixed"/>
      </w:tblPr>
      <w:tblGrid>
        <w:gridCol w:w="1"/>
        <w:gridCol w:w="9800"/>
        <w:gridCol w:w="6300"/>
        <w:gridCol w:w="340"/>
      </w:tblGrid>
      <w:tr>
        <w:trPr>
          <w:trHeight w:hRule="exact" w:val="0"/>
        </w:trPr>
        <w:tc>
          <w:tcPr>
     </w:tcPr>
          <w:p>
            <w:pPr>
              <w:pStyle w:val="EMPTY_CELL_STYLE"/>
              <w:pageBreakBefore/>
            </w:pPr>
            <w:bookmarkStart w:id="50" w:name="JR_PAGE_ANCHOR_0_13"/>
            <w:bookmarkEnd w:id="50"/>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tcMar>
              <w:top w:w="0" w:type="dxa"/>
              <w:left w:w="0" w:type="dxa"/>
              <w:bottom w:w="0" w:type="dxa"/>
              <w:right w:w="0" w:type="dxa"/>
            </w:tcMar>
            <w:vAlign w:val="center"/>
          </w:tcPr>
          <w:p>
            <w:pPr>
              <w:ind/>
              <w:jc w:val="left"/>
            </w:pPr>
            <w:r>
              <w:rPr>
                <w:rFonts w:ascii="Times New Roman" w:hAnsi="Times New Roman" w:eastAsia="Times New Roman" w:cs="Times New Roman"/>
                <w:color w:val="000000"/>
                <w:sz w:val="24"/>
                <w:b w:val="true"/>
              </w:rPr>
              <w:t xml:space="preserve">Таблица № 2. Оценочная стадия</w:t>
            </w:r>
          </w:p>
        </w:tc>
        <w:tc>
          <w:tcPr>
     </w:tcPr>
          <w:p>
            <w:pPr>
              <w:pStyle w:val="EMPTY_CELL_STYLE"/>
            </w:pPr>
          </w:p>
        </w:tc>
        <w:tc>
          <w:tcPr>
     </w:tcPr>
          <w:p>
            <w:pPr>
              <w:pStyle w:val="EMPTY_CELL_STYLE"/>
            </w:pPr>
          </w:p>
        </w:tc>
      </w:tr>
      <w:tr>
        <w:trPr>
          <w:trHeight w:hRule="exact" w:val="11100"/>
        </w:trPr>
        <w:tc>
          <w:tcPr>
     </w:tcPr>
          <w:p>
            <w:pPr>
              <w:pStyle w:val="EMPTY_CELL_STYLE"/>
            </w:pPr>
          </w:p>
        </w:tc>
        <w:tc>
          <w:tcPr>
            <w:gridSpan w:val="2"/>
            <w:tcMar>
              <w:top w:w="0" w:type="dxa"/>
              <w:left w:w="0" w:type="dxa"/>
              <w:bottom w:w="0" w:type="dxa"/>
              <w:right w:w="0" w:type="dxa"/>
            </w:tcMar>
          </w:tcPr>
          <w:tbl>
            <w:tblPr>
              <w:tblLayout w:type="fixed"/>
            </w:tblPr>
            <w:tblGrid>
              <w:gridCol w:w="1800"/>
              <w:gridCol w:w="9200"/>
              <w:gridCol w:w="1700"/>
              <w:gridCol w:w="1700"/>
              <w:gridCol w:w="1700"/>
            </w:tblGrid>
            <w:tr>
              <w:trPr>
                <w:trHeight w:hRule="exact" w:val="800"/>
              </w:trPr>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оценочных критериев/подкритериев</w:t>
                        </w:r>
                      </w:p>
                    </w:tc>
                  </w:tr>
                </w:tbl>
                <w:p>
                  <w:pPr>
                    <w:pStyle w:val="EMPTY_CELL_STYLE"/>
                  </w:pPr>
                </w:p>
              </w:tc>
              <w:tc>
                <w:tcPr>
                  <w:vMerge w:val="restart"/>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16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Шкала выставления баллов</w:t>
                        </w:r>
                      </w:p>
                    </w:tc>
                  </w:tr>
                </w:tbl>
                <w:p>
                  <w:pPr>
                    <w:pStyle w:val="EMPTY_CELL_STYLE"/>
                  </w:pPr>
                </w:p>
              </w:tc>
              <w:tc>
                <w:tcPr>
                  <w:gridSpan w:val="3"/>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5100"/>
                    <w:gridCol w:w="51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Предложение Участников (описание заполняется экспертом)</w:t>
                        </w:r>
                      </w:p>
                    </w:tc>
                  </w:tr>
                </w:tbl>
                <w:p>
                  <w:pPr>
                    <w:pStyle w:val="EMPTY_CELL_STYLE"/>
                  </w:pPr>
                </w:p>
              </w:tc>
            </w:tr>
            <w:tr>
              <w:trPr>
                <w:trHeight w:hRule="exact" w:val="800"/>
              </w:trPr>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vMerge w:val="continue"/>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c>
                <w:tcPr>
                  <w:shd w:val="clear" w:color="auto" w:fill="BFE1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800"/>
                    </w:trPr>
                    <w:tc>
                      <w:tcPr>
                        <w:shd w:val="clear" w:color="auto" w:fill="FFFFCC"/>
                        <w:tcMar>
                          <w:top w:w="0" w:type="dxa"/>
                          <w:left w:w="0" w:type="dxa"/>
                          <w:bottom w:w="0" w:type="dxa"/>
                          <w:right w:w="0" w:type="dxa"/>
                        </w:tcMar>
                        <w:vAlign w:val="center"/>
                      </w:tcPr>
                      <w:p>
                        <w:pPr>
                          <w:ind/>
                          <w:jc w:val="center"/>
                        </w:pPr>
                        <w:r>
                          <w:rPr>
                            <w:rFonts w:ascii="Times New Roman" w:hAnsi="Times New Roman" w:eastAsia="Times New Roman" w:cs="Times New Roman"/>
                            <w:color w:val="000000"/>
                            <w:sz w:val="24"/>
                            <w:b w:val="true"/>
                          </w:rPr>
                          <w:t xml:space="preserve">Наименование Участника</w:t>
                        </w:r>
                      </w:p>
                    </w:tc>
                  </w:tr>
                </w:tbl>
                <w:p>
                  <w:pPr>
                    <w:pStyle w:val="EMPTY_CELL_STYLE"/>
                  </w:pPr>
                </w:p>
              </w:tc>
            </w:tr>
            <w:tr>
              <w:trPr>
                <w:trHeight w:hRule="exact" w:val="39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39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Опыт выполнения поставок</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33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представлены сведения, либо представленный опыт ниже минимальных обязательных требований закупочной документации</w:t>
                          <w:br/>
                          <w:t xml:space="preserve">От 1 до 2 баллов  - Данный диапазон не используется</w:t>
                          <w:br/>
                          <w:t xml:space="preserve">3 балла - Опыт поставок соответствует минимальным обязательным требованиям закупочной документации</w:t>
                          <w:br/>
                          <w:t xml:space="preserve">4 балла - Опыт поставок превышает  минимальные обязательные требования закупочной документациию ИЛИ опыт поставок соответствует минимальным обязательным требованиям закупочной документации и подтверждены желательные требования по опыту, указанные в закупочной документации</w:t>
                          <w:br/>
                          <w:t xml:space="preserve">5 баллов - Опыт поставок превышает  минимальные обязательные требования закупочной документациию и подтверждены желательные требования по опыту, указанные в закупочной документации</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27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28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8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Наличие сертифицированных систем менеджмента и/или иных добровольных сертифицированных подтверждений компетенции</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2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используется для оценки</w:t>
                          <w:br/>
                          <w:t xml:space="preserve">1 балл - В случае не предоставления участником подтверждения наличия сертифицированных систем менеджмента и/или иных добровольных сертифицированных подтверждений компетенции ИЛИ в случае отсутствия данного требования в ТЗ</w:t>
                          <w:br/>
                          <w:t xml:space="preserve">От 2 до 5 баллов  - От 2 до 5 баллов рассчитывается по формуле: 1 + Су (но не более 5 баллов) где, Су - кол-во сертифицированных систем менеджмента и/или иных добровольных сертифицированных подтверждений компетенции, требуемых в ТЗ</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r>
              <w:trPr>
                <w:trHeight w:hRule="exact" w:val="2800"/>
              </w:trPr>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800"/>
                    <w:gridCol w:w="1800"/>
                  </w:tblGrid>
                  <w:tr>
                    <w:trPr>
                      <w:trHeight w:hRule="exact" w:val="2800"/>
                    </w:trPr>
                    <w:tc>
                      <w:tcPr>
                        <w:tcMar>
                          <w:top w:w="0" w:type="dxa"/>
                          <w:left w:w="0" w:type="dxa"/>
                          <w:bottom w:w="0" w:type="dxa"/>
                          <w:right w:w="0" w:type="dxa"/>
                        </w:tcMar>
                        <w:vAlign w:val="center"/>
                      </w:tcPr>
                      <w:p>
                        <w:pPr>
                          <w:ind w:left="100"/>
                          <w:jc w:val="center"/>
                        </w:pPr>
                        <w:r>
                          <w:rPr>
                            <w:rFonts w:ascii="Times New Roman" w:hAnsi="Times New Roman" w:eastAsia="Times New Roman" w:cs="Times New Roman"/>
                            <w:color w:val="000000"/>
                            <w:sz w:val="24"/>
                          </w:rPr>
                          <w:t xml:space="preserve">Аккредитация в Группе «Интер РАО» в качестве поставщика, закупаемых в рамках данной процедуры товаров, работ, услуг</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9200"/>
                    <w:gridCol w:w="9200"/>
                  </w:tblGrid>
                  <w:tr>
                    <w:trPr>
                      <w:trHeight w:hRule="exact" w:val="2200"/>
                    </w:trPr>
                    <w:tc>
                      <w:tcPr>
                        <w:tcMar>
                          <w:top w:w="0" w:type="dxa"/>
                          <w:left w:w="0" w:type="dxa"/>
                          <w:bottom w:w="0" w:type="dxa"/>
                          <w:right w:w="0" w:type="dxa"/>
                        </w:tcMar>
                        <w:vAlign w:val="top"/>
                      </w:tcPr>
                      <w:p>
                        <w:pPr>
                          <w:ind w:left="100"/>
                        </w:pPr>
                        <w:r>
                          <w:rPr>
                            <w:rFonts w:ascii="Times New Roman" w:hAnsi="Times New Roman" w:eastAsia="Times New Roman" w:cs="Times New Roman"/>
                            <w:color w:val="000000"/>
                            <w:sz w:val="24"/>
                          </w:rPr>
                          <w:t xml:space="preserve">0 баллов - Не используется для оценки</w:t>
                          <w:br/>
                          <w:t xml:space="preserve">1 балл - В случае не предоставления участником действующих свидетельств об аккредитации в качестве поставщика для нужд Группы «Интер РАО», по видам деятельности, перечисленным в ТЗ ИЛИ в случае отсутствия данного требования в ТЗ</w:t>
                          <w:br/>
                          <w:t xml:space="preserve">2 балла - Не используется для оценки</w:t>
                          <w:br/>
                          <w:t xml:space="preserve">От 3 до 5 баллов  - Рассчитывается по формуле: 2 + Ау (но не более 5 баллов) где, Ау - кол-во представленных участником действующих свидетельств об аккредитации в Группе «Интер РАО» по видам деятельности, перечисленным в ТЗ </w:t>
                        </w:r>
                      </w:p>
                    </w:tc>
                  </w:tr>
                  <w:tr>
                    <w:trPr>
                      <w:trHeight w:hRule="exact" w:val="600"/>
                    </w:trPr>
                    <w:tc>
                      <w:tcPr>
                        <w:shd w:val="clear" w:color="auto" w:fill="87FFA5"/>
                        <w:tcBorders>
                          <w:top w:val="single" w:sz="4" w:space="0" w:color="000000"/>
                        </w:tcBorders>
                        <w:tcMar>
                          <w:top w:w="0" w:type="dxa"/>
                          <w:left w:w="0" w:type="dxa"/>
                          <w:bottom w:w="0" w:type="dxa"/>
                          <w:right w:w="0" w:type="dxa"/>
                        </w:tcMar>
                        <w:vAlign w:val="center"/>
                      </w:tcPr>
                      <w:p>
                        <w:pPr>
                          <w:ind w:firstLine="100"/>
                          <w:jc w:val="left"/>
                        </w:pPr>
                        <w:r>
                          <w:rPr>
                            <w:rFonts w:ascii="Times New Roman" w:hAnsi="Times New Roman" w:eastAsia="Times New Roman" w:cs="Times New Roman"/>
                            <w:color w:val="000000"/>
                            <w:sz w:val="24"/>
                          </w:rPr>
                          <w:t xml:space="preserve">Итоговый балл по данному подкритерию:</w:t>
                        </w: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c>
                <w:tcPr>
                  <w:shd w:val="clear" w:color="auto" w:fill="FFFFFF"/>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tbl>
                  <w:tblPr>
                    <w:tblLayout w:type="fixed"/>
                  </w:tblPr>
                  <w:tblGrid>
                    <w:gridCol w:w="1700"/>
                    <w:gridCol w:w="1700"/>
                  </w:tblGrid>
                  <w:tr>
                    <w:trPr>
                      <w:trHeight w:hRule="exact" w:val="600"/>
                    </w:trPr>
                    <w:tc>
                      <w:tcPr>
                        <w:tcMar>
                          <w:top w:w="0" w:type="dxa"/>
                          <w:left w:w="0" w:type="dxa"/>
                          <w:bottom w:w="0" w:type="dxa"/>
                          <w:right w:w="0" w:type="dxa"/>
                        </w:tcMar>
                        <w:vAlign w:val="top"/>
                      </w:tcPr>
                      <w:p>
                        <w:pPr>
                          <w:ind/>
                        </w:pPr>
                      </w:p>
                    </w:tc>
                  </w:tr>
                  <w:tr>
                    <w:trPr>
                      <w:trHeight w:hRule="exact" w:val="1600"/>
                    </w:trPr>
                    <w:tc>
                      <w:tcPr>
     </w:tcPr>
                      <w:p>
                        <w:pPr>
                          <w:pStyle w:val="EMPTY_CELL_STYLE"/>
                        </w:pPr>
                      </w:p>
                    </w:tc>
                  </w:tr>
                  <w:tr>
                    <w:trPr>
                      <w:trHeight w:hRule="exact" w:val="600"/>
                    </w:trPr>
                    <w:tc>
                      <w:tcPr>
                        <w:shd w:val="clear" w:color="auto" w:fill="87FFA5"/>
                        <w:tcBorders>
                          <w:top w:val="single" w:sz="4" w:space="0" w:color="000000"/>
                        </w:tcBorders>
                        <w:tcMar>
                          <w:top w:w="0" w:type="dxa"/>
                          <w:left w:w="0" w:type="dxa"/>
                          <w:bottom w:w="0" w:type="dxa"/>
                          <w:right w:w="0" w:type="dxa"/>
                        </w:tcMar>
                        <w:vAlign w:val="top"/>
                      </w:tcPr>
                      <w:p>
                        <w:pPr>
                          <w:ind/>
                        </w:pPr>
                      </w:p>
                    </w:tc>
                  </w:tr>
                </w:tbl>
                <w:p>
                  <w:pPr>
                    <w:pStyle w:val="EMPTY_CELL_STYLE"/>
                  </w:pPr>
                </w:p>
              </w:tc>
            </w:tr>
          </w:tbl>
          <w:p>
            <w:pPr>
              <w:pStyle w:val="EMPTY_CELL_STYLE"/>
            </w:pPr>
          </w:p>
        </w:tc>
        <w:tc>
          <w:tcPr>
     </w:tcPr>
          <w:p>
            <w:pPr>
              <w:pStyle w:val="EMPTY_CELL_STYLE"/>
            </w:pPr>
          </w:p>
        </w:tc>
      </w:tr>
    </w:tbl>
    <w:sectPr>
      <w:pgSz w:w="16840" w:h="11900" w:orient="landscape"/>
      <w:pgMar w:top="200" w:right="200" w:bottom="0" w:left="200" w:header="0" w:footer="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s>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Table_TH">
    <w:name w:val="Table_TH"/>
    <w:qFormat/>
    <w:pPr>
      <w:ind/>
    </w:pPr>
    <w:rPr>
      <w:rFonts w:ascii="SansSerif" w:hAnsi="SansSerif" w:eastAsia="SansSerif" w:cs="SansSerif"/>
      <w:color w:val="000000"/>
      <w:sz w:val="20"/>
    </w:rPr>
  </w:style>
  <w:style w:type="paragraph" w:styleId="Table_CH">
    <w:name w:val="Table_CH"/>
    <w:qFormat/>
    <w:pPr>
      <w:ind/>
    </w:pPr>
    <w:rPr>
      <w:rFonts w:ascii="SansSerif" w:hAnsi="SansSerif" w:eastAsia="SansSerif" w:cs="SansSerif"/>
      <w:color w:val="000000"/>
      <w:sz w:val="20"/>
    </w:rPr>
  </w:style>
  <w:style w:type="paragraph" w:styleId="Table_TD">
    <w:name w:val="Table_TD"/>
    <w:qFormat/>
    <w:pPr>
      <w:ind/>
    </w:pPr>
    <w:rPr>
      <w:rFonts w:ascii="SansSerif" w:hAnsi="SansSerif" w:eastAsia="SansSerif" w:cs="SansSerif"/>
      <w:color w:val="000000"/>
      <w:sz w:val="20"/>
    </w:rPr>
  </w:style>
</w:styles>
</file>

<file path=word/_rels/document.xml.rels><?xml version="1.0" encoding="UTF-8" standalone="yes"?><Relationships xmlns="http://schemas.openxmlformats.org/package/2006/relationships"><Relationship Id="img_0_0_3.jpg" Target="media/img_0_0_3.jpg" Type="http://schemas.openxmlformats.org/officeDocument/2006/relationships/image"/><Relationship Id="rId1" Target="styles.xml" Type="http://schemas.openxmlformats.org/officeDocument/2006/relationships/styles"/><Relationship Id="rId2" Target="settings.xml" Type="http://schemas.openxmlformats.org/officeDocument/2006/relationships/settings"/><Relationship Id="rId3" Target="fontTable.xml" Type="http://schemas.openxmlformats.org/officeDocument/2006/relationships/fontTable"/></Relationships>
</file>

<file path=docProps/app.xml><?xml version="1.0" encoding="utf-8"?>
<Properties xmlns="http://schemas.openxmlformats.org/officeDocument/2006/extended-properties">
  <Application>JasperReports Library version 6.12.2-75c5e90a222ab406e416cbf590a5397028a52de3</Application>
</Properties>
</file>

<file path=docProps/core.xml><?xml version="1.0" encoding="utf-8"?>
<cp:coreProperties xmlns:cp="http://schemas.openxmlformats.org/package/2006/metadata/core-properties" xmlns:dc="http://purl.org/dc/elements/1.1/" xmlns:dcterms="http://purl.org/dc/terms/" xmlns:xsi="http://www.w3.org/2001/XMLSchema-instance"/>
</file>