
<file path=[Content_Types].xml><?xml version="1.0" encoding="utf-8"?>
<Types xmlns="http://schemas.openxmlformats.org/package/2006/content-types">
  <Default ContentType="application/x-font-ttf" Extension="eot"/>
  <Default ContentType="image/gif" Extension="gif"/>
  <Default ContentType="image/jpeg" Extension="jpeg"/>
  <Default ContentType="image/jpeg" Extension="jpg"/>
  <Default ContentType="application/x-font-ttf" Extension="otf"/>
  <Default ContentType="image/png" Extension="png"/>
  <Default ContentType="application/vnd.openxmlformats-package.relationships+xml" Extension="rels"/>
  <Default ContentType="image/tiff" Extension="tiff"/>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1"/>
        <w:gridCol w:w="3940"/>
        <w:gridCol w:w="3600"/>
        <w:gridCol w:w="3860"/>
        <w:gridCol w:w="100"/>
      </w:tblGrid>
      <w:tr>
        <w:trPr>
          <w:trHeight w:hRule="exact" w:val="600"/>
        </w:trPr>
        <w:tc>
          <w:tcPr>
     </w:tcPr>
          <w:p>
            <w:pPr>
              <w:pStyle w:val="EMPTY_CELL_STYLE"/>
            </w:pPr>
            <w:bookmarkStart w:id="0" w:name="JR_PAGE_ANCHOR_0_1"/>
            <w:bookmarkEnd w:id="0"/>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40"/>
        </w:trPr>
        <w:tc>
          <w:tcPr>
     </w:tcPr>
          <w:p>
            <w:pPr>
              <w:pStyle w:val="EMPTY_CELL_STYLE"/>
            </w:pPr>
          </w:p>
        </w:tc>
        <w:tc>
          <w:tcPr>
     </w:tcPr>
          <w:p>
            <w:pPr>
              <w:pStyle w:val="EMPTY_CELL_STYLE"/>
            </w:pPr>
          </w:p>
        </w:tc>
        <w:tc>
          <w:tcPr>
            <w:vMerge w:val="restart"/>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2286000" cy="635000"/>
                  <wp:effectExtent l="0" t="0" r="0" b="0"/>
                  <wp:wrapNone/>
                  <wp:docPr id="787214430" name="Picture">
</wp:docPr>
                  <a:graphic>
                    <a:graphicData uri="http://schemas.openxmlformats.org/drawingml/2006/picture">
                      <pic:pic>
                        <pic:nvPicPr>
                          <pic:cNvPr id="787214430" name="Picture"/>
                          <pic:cNvPicPr/>
                        </pic:nvPicPr>
                        <pic:blipFill>
                          <a:blip r:embed="img_0_0_3.jpg"/>
                          <a:srcRect/>
                          <a:stretch>
                            <a:fillRect l="0" t="0" r="8888" b="0"/>
                          </a:stretch>
                        </pic:blipFill>
                        <pic:spPr>
                          <a:xfrm rot="0">
                            <a:off x="0" y="0"/>
                            <a:ext cx="2286000" cy="635000"/>
                          </a:xfrm>
                          <a:prstGeom prst="rect"/>
                        </pic:spPr>
                      </pic:pic>
                    </a:graphicData>
                  </a:graphic>
                </wp:anchor>
              </w:drawing>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shd w:val="clear" w:color="auto" w:fill="FFFFFF"/>
            <w:tcBorders>
              <w:top w:val="single" w:sz="8" w:space="0" w:color="000000"/>
            </w:tcBorders>
            <w:tcMar>
              <w:top w:w="0" w:type="dxa"/>
              <w:left w:w="0" w:type="dxa"/>
              <w:bottom w:w="0" w:type="dxa"/>
              <w:right w:w="0" w:type="dxa"/>
            </w:tcMar>
          </w:tcPr>
          <w:p>
            <w:pPr>
              <w:pStyle w:val="EMPTY_CELL_STYLE"/>
            </w:pPr>
          </w:p>
        </w:tc>
        <w:tc>
          <w:tcPr>
     </w:tcPr>
          <w:p>
            <w:pPr>
              <w:pStyle w:val="EMPTY_CELL_STYLE"/>
            </w:pPr>
          </w:p>
        </w:tc>
      </w:tr>
      <w:tr>
        <w:trPr>
          <w:trHeight w:hRule="exact" w:val="1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atLeast" w:val="600"/>
        </w:trPr>
        <w:tc>
          <w:tcPr>
     </w:tcPr>
          <w:p>
            <w:pPr>
              <w:pStyle w:val="EMPTY_CELL_STYLE"/>
            </w:pPr>
          </w:p>
        </w:tc>
        <w:tc>
          <w:tcPr>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u w:val="single"/>
              </w:rPr>
              <w:t xml:space="preserve">РУКОВОДСТВО ПО ЭКСПЕРТНОЙ ОЦЕНКЕ</w:t>
            </w:r>
          </w:p>
        </w:tc>
        <w:tc>
          <w:tcPr>
     </w:tcPr>
          <w:p>
            <w:pPr>
              <w:pStyle w:val="EMPTY_CELL_STYLE"/>
            </w:pPr>
          </w:p>
        </w:tc>
      </w:tr>
    </w:tbl>
    <w:tbl>
      <w:tblPr>
        <w:tblLayout w:type="fixed"/>
      </w:tblPr>
      <w:tblGrid>
        <w:gridCol w:w="1"/>
        <w:gridCol w:w="11400"/>
        <w:gridCol w:w="200"/>
        <w:gridCol w:w="1"/>
      </w:tblGrid>
      <w:tr>
        <w:trPr>
          <w:trHeight w:hRule="exact" w:val="0"/>
        </w:trPr>
        <w:tc>
          <w:tcPr>
     </w:tcPr>
          <w:p>
            <w:pPr>
              <w:pStyle w:val="EMPTY_CELL_STYLE"/>
              <w:pageBreakBefore/>
            </w:pPr>
            <w:bookmarkStart w:id="1" w:name="JR_PAGE_ANCHOR_0_2"/>
            <w:bookmarkEnd w:id="1"/>
          </w:p>
        </w:tc>
        <w:tc>
          <w:tcPr>
     </w:tcPr>
          <w:p>
            <w:pPr>
              <w:pStyle w:val="EMPTY_CELL_STYLE"/>
            </w:pPr>
          </w:p>
        </w:tc>
        <w:tc>
          <w:tcPr>
     </w:tcPr>
          <w:p>
            <w:pPr>
              <w:pStyle w:val="EMPTY_CELL_STYLE"/>
            </w:pPr>
          </w:p>
        </w:tc>
        <w:tc>
          <w:tcPr>
     </w:tcPr>
          <w:p>
            <w:pPr>
              <w:pStyle w:val="EMPTY_CELL_STYLE"/>
            </w:pPr>
          </w:p>
        </w:tc>
      </w:tr>
      <w:tr>
        <w:trPr>
          <w:trHeight w:hRule="atLeast" w:val="600"/>
        </w:trPr>
        <w:tc>
          <w:tcPr>
     </w:tcPr>
          <w:p>
            <w:pPr>
              <w:pStyle w:val="EMPTY_CELL_STYLE"/>
            </w:pPr>
          </w:p>
        </w:tc>
        <w:tc>
          <w:tcPr>
            <w:tcMar>
              <w:top w:w="0" w:type="dxa"/>
              <w:left w:w="0" w:type="dxa"/>
              <w:bottom w:w="0" w:type="dxa"/>
              <w:right w:w="0" w:type="dxa"/>
            </w:tcMar>
            <w:vAlign w:val="center"/>
          </w:tcPr>
          <w:p>
            <w:pPr>
              <w:ind/>
              <w:jc w:val="both"/>
            </w:pPr>
            <w:r>
              <w:rPr>
                <w:rFonts w:ascii="Times New Roman" w:hAnsi="Times New Roman" w:eastAsia="Times New Roman" w:cs="Times New Roman"/>
                <w:color w:val="000000"/>
                <w:sz w:val="24"/>
                <w:b w:val="true"/>
              </w:rPr>
              <w:t xml:space="preserve">Оценка и сопоставление заявок (оценочная стадия) лот № 324.26.00139 Модернизация напорных трубопроводов циркуляционной воды №1 и №2 Уфимской ТЭЦ-4 ООО «БГК»</w:t>
            </w:r>
          </w:p>
        </w:tc>
        <w:tc>
          <w:tcPr>
     </w:tcPr>
          <w:p>
            <w:pPr>
              <w:pStyle w:val="EMPTY_CELL_STYLE"/>
            </w:pPr>
          </w:p>
        </w:tc>
        <w:tc>
          <w:tcPr>
     </w:tcPr>
          <w:p>
            <w:pPr>
              <w:pStyle w:val="EMPTY_CELL_STYLE"/>
            </w:pPr>
          </w:p>
        </w:tc>
      </w:tr>
      <w:tr>
        <w:trPr>
          <w:trHeight w:hRule="atLeast" w:val="800"/>
        </w:trPr>
        <w:tc>
          <w:tcPr>
     </w:tcPr>
          <w:p>
            <w:pPr>
              <w:pStyle w:val="EMPTY_CELL_STYLE"/>
            </w:pPr>
          </w:p>
        </w:tc>
        <w:tc>
          <w:tcPr>
            <w:tcMar>
              <w:top w:w="0" w:type="dxa"/>
              <w:left w:w="0" w:type="dxa"/>
              <w:bottom w:w="0" w:type="dxa"/>
              <w:right w:w="0" w:type="dxa"/>
            </w:tcMar>
            <w:vAlign w:val="center"/>
          </w:tcPr>
          <w:p>
            <w:pPr>
              <w:ind w:firstLine="0" w:left="0"/>
              <w:jc w:val="both"/>
            </w:pPr>
            <w:r>
              <w:rPr>
                <w:rFonts w:ascii="Times New Roman" w:hAnsi="Times New Roman" w:eastAsia="Times New Roman" w:cs="Times New Roman"/>
                <w:color w:val="000000"/>
                <w:sz w:val="24"/>
              </w:rPr>
              <w:t xml:space="preserve">1. Для определения лучших условий исполнения Договора закупочная/конкурсная комиссия оценивает и сопоставляет заявки по степени выгодности для Заказчика, исходя из следующих критериев: </w:t>
            </w:r>
          </w:p>
        </w:tc>
        <w:tc>
          <w:tcPr>
     </w:tcPr>
          <w:p>
            <w:pPr>
              <w:pStyle w:val="EMPTY_CELL_STYLE"/>
            </w:pPr>
          </w:p>
        </w:tc>
        <w:tc>
          <w:tcPr>
     </w:tcPr>
          <w:p>
            <w:pPr>
              <w:pStyle w:val="EMPTY_CELL_STYLE"/>
            </w:pPr>
          </w:p>
        </w:tc>
      </w:tr>
      <w:tr>
        <w:trPr>
          <w:trHeight w:hRule="exact" w:val="14800"/>
        </w:trPr>
        <w:tc>
          <w:tcPr>
     </w:tcPr>
          <w:p>
            <w:pPr>
              <w:pStyle w:val="EMPTY_CELL_STYLE"/>
            </w:pPr>
          </w:p>
        </w:tc>
        <w:tc>
          <w:tcPr>
            <w:gridSpan w:val="2"/>
            <w:tcMar>
              <w:top w:w="0" w:type="dxa"/>
              <w:left w:w="0" w:type="dxa"/>
              <w:bottom w:w="0" w:type="dxa"/>
              <w:right w:w="0" w:type="dxa"/>
            </w:tcMar>
          </w:tcPr>
          <w:tbl>
            <w:tblPr>
              <w:tblLayout w:type="fixed"/>
            </w:tblPr>
            <w:tblGrid>
              <w:gridCol w:w="1000"/>
              <w:gridCol w:w="3000"/>
              <w:gridCol w:w="2000"/>
              <w:gridCol w:w="1400"/>
              <w:gridCol w:w="1400"/>
              <w:gridCol w:w="1400"/>
              <w:gridCol w:w="1400"/>
            </w:tblGrid>
            <w:tr>
              <w:trPr>
                <w:trHeight w:hRule="exact" w:val="30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п/п</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Направление</w:t>
                          <w:br/>
                          <w:br/>
                          <w:t xml:space="preserve">экспертной</w:t>
                          <w:br/>
                          <w:br/>
                          <w:t xml:space="preserve">оценки</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Краткое наименование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Обозначение выставленного по критерию балла / полученного значения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Значимость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Обозначение значимости критерия</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Деловая репутация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Экономическая безопасность</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Качество продукции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15%</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Временные параметры выполнения работы</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20%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Гарантийные обязательства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2.2</w:t>
                        </w:r>
                      </w:p>
                    </w:tc>
                  </w:tr>
                </w:tbl>
                <w:p>
                  <w:pPr>
                    <w:pStyle w:val="EMPTY_CELL_STYLE"/>
                  </w:pPr>
                </w:p>
              </w:tc>
            </w:tr>
            <w:tr>
              <w:trPr>
                <w:trHeight w:hRule="exact" w:val="11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1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Соответствие объема и качества предлагаемых к выполнению работ требованиям ТЗ</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2.3</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Коммерческое предложение</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3</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Цена договора, предложенная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Коммерческая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3.1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Надежность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35%</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Опыт выполнения  работ</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25%</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Ресурсные возможности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Добровольные системы подтверждения квалификации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28%</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4.2.1</w:t>
                        </w:r>
                      </w:p>
                    </w:tc>
                  </w:tr>
                </w:tbl>
                <w:p>
                  <w:pPr>
                    <w:pStyle w:val="EMPTY_CELL_STYLE"/>
                  </w:pPr>
                </w:p>
              </w:tc>
            </w:tr>
            <w:tr>
              <w:trPr>
                <w:trHeight w:hRule="exact" w:val="136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36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Аккредитация в Группе «Интер РАО» в качестве поставщика, закупаемых в рамках данной процедуры товаров, работ, услуг</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4.2.1.1</w:t>
                        </w:r>
                      </w:p>
                    </w:tc>
                  </w:tr>
                </w:tbl>
                <w:p>
                  <w:pPr>
                    <w:pStyle w:val="EMPTY_CELL_STYLE"/>
                  </w:pPr>
                </w:p>
              </w:tc>
            </w:tr>
            <w:tr>
              <w:trPr>
                <w:trHeight w:hRule="exact" w:val="19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9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Наличие сертифицированных систем менеджмента и/или иных добровольных сертифицированных подтверждений компетенции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4.2.1.2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Наличие и квалификация персонала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36%</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Наличие материальных ресурсов</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36%</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4.2.3</w:t>
                        </w:r>
                      </w:p>
                    </w:tc>
                  </w:tr>
                </w:tbl>
                <w:p>
                  <w:pPr>
                    <w:pStyle w:val="EMPTY_CELL_STYLE"/>
                  </w:pPr>
                </w:p>
              </w:tc>
            </w:tr>
          </w:tbl>
          <w:p>
            <w:pPr>
              <w:pStyle w:val="EMPTY_CELL_STYLE"/>
            </w:pPr>
          </w:p>
        </w:tc>
        <w:tc>
          <w:tcPr>
     </w:tcPr>
          <w:p>
            <w:pPr>
              <w:pStyle w:val="EMPTY_CELL_STYLE"/>
            </w:pPr>
          </w:p>
        </w:tc>
      </w:tr>
    </w:tbl>
    <w:tbl>
      <w:tblPr>
        <w:tblLayout w:type="fixed"/>
      </w:tblPr>
      <w:tblGrid>
        <w:gridCol w:w="1"/>
        <w:gridCol w:w="11400"/>
        <w:gridCol w:w="200"/>
        <w:gridCol w:w="1"/>
      </w:tblGrid>
      <w:tr>
        <w:trPr>
          <w:trHeight w:hRule="exact" w:val="0"/>
        </w:trPr>
        <w:tc>
          <w:tcPr>
     </w:tcPr>
          <w:p>
            <w:pPr>
              <w:pStyle w:val="EMPTY_CELL_STYLE"/>
              <w:pageBreakBefore/>
            </w:pPr>
            <w:bookmarkStart w:id="2" w:name="JR_PAGE_ANCHOR_0_3"/>
            <w:bookmarkEnd w:id="2"/>
          </w:p>
        </w:tc>
        <w:tc>
          <w:tcPr>
     </w:tcPr>
          <w:p>
            <w:pPr>
              <w:pStyle w:val="EMPTY_CELL_STYLE"/>
            </w:pPr>
          </w:p>
        </w:tc>
        <w:tc>
          <w:tcPr>
     </w:tcPr>
          <w:p>
            <w:pPr>
              <w:pStyle w:val="EMPTY_CELL_STYLE"/>
            </w:pPr>
          </w:p>
        </w:tc>
        <w:tc>
          <w:tcPr>
     </w:tcPr>
          <w:p>
            <w:pPr>
              <w:pStyle w:val="EMPTY_CELL_STYLE"/>
            </w:pPr>
          </w:p>
        </w:tc>
      </w:tr>
      <w:tr>
        <w:trPr>
          <w:trHeight w:hRule="exact" w:val="5480"/>
        </w:trPr>
        <w:tc>
          <w:tcPr>
     </w:tcPr>
          <w:p>
            <w:pPr>
              <w:pStyle w:val="EMPTY_CELL_STYLE"/>
            </w:pPr>
          </w:p>
        </w:tc>
        <w:tc>
          <w:tcPr>
            <w:gridSpan w:val="2"/>
            <w:tcMar>
              <w:top w:w="0" w:type="dxa"/>
              <w:left w:w="0" w:type="dxa"/>
              <w:bottom w:w="0" w:type="dxa"/>
              <w:right w:w="0" w:type="dxa"/>
            </w:tcMar>
          </w:tcPr>
          <w:tbl>
            <w:tblPr>
              <w:tblLayout w:type="fixed"/>
            </w:tblPr>
            <w:tblGrid>
              <w:gridCol w:w="1000"/>
              <w:gridCol w:w="3000"/>
              <w:gridCol w:w="2000"/>
              <w:gridCol w:w="1400"/>
              <w:gridCol w:w="1400"/>
              <w:gridCol w:w="1400"/>
              <w:gridCol w:w="1400"/>
            </w:tblGrid>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Финансово-экономическая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28%</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4.3</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Финансово-экономическая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4.3.1</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Юридические риски с учётом предложенных условий договора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7%</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Приемлемость условий договора, предложенных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4.4.1</w:t>
                        </w:r>
                      </w:p>
                    </w:tc>
                  </w:tr>
                </w:tbl>
                <w:p>
                  <w:pPr>
                    <w:pStyle w:val="EMPTY_CELL_STYLE"/>
                  </w:pPr>
                </w:p>
              </w:tc>
            </w:tr>
            <w:tr>
              <w:trPr>
                <w:trHeight w:hRule="exact" w:val="22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22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Риск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4.4.2</w:t>
                        </w:r>
                      </w:p>
                    </w:tc>
                  </w:tr>
                </w:tbl>
                <w:p>
                  <w:pPr>
                    <w:pStyle w:val="EMPTY_CELL_STYLE"/>
                  </w:pPr>
                </w:p>
              </w:tc>
            </w:tr>
          </w:tbl>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atLeast" w:val="2200"/>
        </w:trPr>
        <w:tc>
          <w:tcPr>
     </w:tcPr>
          <w:p>
            <w:pPr>
              <w:pStyle w:val="EMPTY_CELL_STYLE"/>
            </w:pPr>
          </w:p>
        </w:tc>
        <w:tc>
          <w:tcPr>
            <w:tcMar>
              <w:top w:w="0" w:type="dxa"/>
              <w:left w:w="0" w:type="dxa"/>
              <w:bottom w:w="0" w:type="dxa"/>
              <w:right w:w="0" w:type="dxa"/>
            </w:tcMar>
            <w:vAlign w:val="top"/>
          </w:tcPr>
          <w:p>
            <w:pPr>
              <w:ind/>
            </w:pPr>
            <w:r>
              <w:rPr>
                <w:rFonts w:ascii="Times New Roman" w:hAnsi="Times New Roman" w:eastAsia="Times New Roman" w:cs="Times New Roman"/>
                <w:color w:val="000000"/>
                <w:sz w:val="24"/>
              </w:rPr>
              <w:br/>
              <w:t xml:space="preserve"> 2. В случае проведения закупки участниками которой могут быть только СМСП, и выбором способа  закупочной процедуры "конкурс" или "запрос предложений"  рассмотрение и оценка проводиться  в три этапа: </w:t>
              <w:br/>
              <w:t xml:space="preserve"> - на первом этапе проводиться экспертиза только по техническому направлению; </w:t>
              <w:br/>
              <w:t xml:space="preserve"> - на втором этапе проводятся экспертизы по направлениям: экономическая безопасность, квалификационная, финансово-экономическая, юридическая; </w:t>
              <w:br/>
              <w:t xml:space="preserve">- на третьем этапе проводится коммерческая экспертиза.</w:t>
            </w:r>
          </w:p>
        </w:tc>
        <w:tc>
          <w:tcPr>
     </w:tcPr>
          <w:p>
            <w:pPr>
              <w:pStyle w:val="EMPTY_CELL_STYLE"/>
            </w:pPr>
          </w:p>
        </w:tc>
        <w:tc>
          <w:tcPr>
     </w:tcPr>
          <w:p>
            <w:pPr>
              <w:pStyle w:val="EMPTY_CELL_STYLE"/>
            </w:pPr>
          </w:p>
        </w:tc>
      </w:tr>
      <w:tr>
        <w:trPr>
          <w:trHeight w:hRule="atLeast" w:val="540"/>
        </w:trPr>
        <w:tc>
          <w:tcPr>
     </w:tcPr>
          <w:p>
            <w:pPr>
              <w:pStyle w:val="EMPTY_CELL_STYLE"/>
            </w:pPr>
          </w:p>
        </w:tc>
        <w:tc>
          <w:tcPr>
            <w:tcMar>
              <w:top w:w="0" w:type="dxa"/>
              <w:left w:w="0" w:type="dxa"/>
              <w:bottom w:w="0" w:type="dxa"/>
              <w:right w:w="0" w:type="dxa"/>
            </w:tcMar>
            <w:vAlign w:val="center"/>
          </w:tcPr>
          <w:p>
            <w:pPr>
              <w:ind w:firstLine="0" w:left="0"/>
              <w:jc w:val="both"/>
            </w:pPr>
            <w:r>
              <w:rPr>
                <w:rFonts w:ascii="Times New Roman" w:hAnsi="Times New Roman" w:eastAsia="Times New Roman" w:cs="Times New Roman"/>
                <w:color w:val="000000"/>
                <w:sz w:val="24"/>
              </w:rPr>
              <w:t xml:space="preserve">3. Закупочная/конкурсная комиссия (Экспертная группа по поручению закупочной/конкурсной комиссии) оценивает и сопоставляет заявки в соответствии с критериями, указанными в п. 1.</w:t>
            </w:r>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6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t xml:space="preserve">4. Присвоение баллов осуществляется экспертным путем в соответствии с Приложением 1 к настоящему Руководству.</w:t>
                  </w:r>
                </w:p>
              </w:tc>
            </w:tr>
          </w:tbl>
          <w:p>
            <w:pPr>
              <w:pStyle w:val="EMPTY_CELL_STYLE"/>
            </w:pPr>
          </w:p>
        </w:tc>
        <w:tc>
          <w:tcPr>
     </w:tcPr>
          <w:p>
            <w:pPr>
              <w:pStyle w:val="EMPTY_CELL_STYLE"/>
            </w:pPr>
          </w:p>
        </w:tc>
        <w:tc>
          <w:tcPr>
     </w:tcPr>
          <w:p>
            <w:pPr>
              <w:pStyle w:val="EMPTY_CELL_STYLE"/>
            </w:pPr>
          </w:p>
        </w:tc>
      </w:tr>
      <w:tr>
        <w:trPr>
          <w:trHeight w:hRule="exact" w:val="576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274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4.1 Присвоение баллов заявкам по критерию 1 Деловая репутация Участника осуществляется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баллы (с учетом значимости) критерия 1 Деловая репутация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баллы критерия 1;</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значимость критерия 1.</w:t>
                  </w:r>
                </w:p>
              </w:tc>
            </w:tr>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4.2.  Присвоение баллов заявкам по критерию 2 Качество продукции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сумма баллов (с учетом значимости) по подкритериям критерия 2 Качество продукции;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сумма баллов по соответствующим подкритериям критерия 2;</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значимость каждого подкритерия критерия 2.</w:t>
                  </w: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3" w:name="JR_PAGE_ANCHOR_0_4"/>
            <w:bookmarkEnd w:id="3"/>
          </w:p>
        </w:tc>
        <w:tc>
          <w:tcPr>
     </w:tcPr>
          <w:p>
            <w:pPr>
              <w:pStyle w:val="EMPTY_CELL_STYLE"/>
            </w:pPr>
          </w:p>
        </w:tc>
        <w:tc>
          <w:tcPr>
     </w:tcPr>
          <w:p>
            <w:pPr>
              <w:pStyle w:val="EMPTY_CELL_STYLE"/>
            </w:pPr>
          </w:p>
        </w:tc>
      </w:tr>
      <w:tr>
        <w:trPr>
          <w:trHeight w:hRule="exact" w:val="302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4.3.  Присвоение баллов заявкам по критерию 3 Коммерческое предложение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сумма баллов (с учетом значимости) по подкритериям критерия 3 Коммерческое предложение;</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 сумма баллов по соответствующим подкритериям критерия 3;</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 значимость каждого подкритерия критерия 3.</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4" w:name="JR_PAGE_ANCHOR_0_5"/>
            <w:bookmarkEnd w:id="4"/>
          </w:p>
        </w:tc>
        <w:tc>
          <w:tcPr>
     </w:tcPr>
          <w:p>
            <w:pPr>
              <w:pStyle w:val="EMPTY_CELL_STYLE"/>
            </w:pPr>
          </w:p>
        </w:tc>
        <w:tc>
          <w:tcPr>
     </w:tcPr>
          <w:p>
            <w:pPr>
              <w:pStyle w:val="EMPTY_CELL_STYLE"/>
            </w:pPr>
          </w:p>
        </w:tc>
      </w:tr>
      <w:tr>
        <w:trPr>
          <w:trHeight w:hRule="exact" w:val="1378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1378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4.3.1 Присвоение баллов заявкам по критерию 3.1 «Цена договора, предложенная участником» осуществляется в следующем порядке:</w:t>
                    <w:br/>
                    <w:t xml:space="preserve">первоначально проводится выбор шкалы оценок и присвоение плановой сумме базовой оценки: если хотя бы у одного участника Цена договора, предложенная участником (далее – ОФЕРТА) меньше начальной (максимальной) цены (далее – ГКПЗ), то шкала оценок от 1 до 5, плановая сумма ГКПЗ - 2 балла (сценарий 1), если все значения не меньше ГКПЗ, то шкала оценок от 1 до 3, плановая сумма ГКПЗ - 3 балла, т.е. максимум (сценарий 2):</w:t>
                    <w:br/>
                    <w:br/>
                    <w:t xml:space="preserve">ЕСЛИ(МИН(ДИАПАЗОН)&lt;ГКПЗ;</w:t>
                    <w:br/>
                    <w:br/>
                    <w:t xml:space="preserve">Сценарий 1: шкала оценок от 1 до 5. Проводится сопоставление ОФЕРТЫ участника и ГКПЗ:</w:t>
                    <w:br/>
                    <w:br/>
                    <w:t xml:space="preserve">ЕСЛИ(ОФЕРТА/ГКПЗ)&gt;1;</w:t>
                    <w:br/>
                    <w:br/>
                    <w:t xml:space="preserve">Если оферта участника равна ГКПЗ, то такой Участник получает 2 балла. Другие участники оцениваются по одному из следующих сценариев 1а или 1б:</w:t>
                    <w:br/>
                    <w:t xml:space="preserve">Сценарий 1а: ОФЕРТА участника больше ГКПЗ. Выполняется расчёт оценок в диапазоне от 1 до 2:</w:t>
                    <w:br/>
                    <w:br/>
                    <w:t xml:space="preserve">ЕСЛИ(ОФЕРТА=МАКС(ДИАПАЗОН) то 1;</w:t>
                    <w:br/>
                    <w:br/>
                    <w:t xml:space="preserve">иначе ((МАКС(ДИАПАЗОН)-ОФЕРТА)/(МАКС(ДИАПАЗОН)-ГКПЗ))+1);</w:t>
                    <w:br/>
                    <w:br/>
                    <w:t xml:space="preserve">Сценарий 1б: ОФЕРТА участника меньше ГКПЗ. Проверяется, есть ли предложения участника меньше ГКПЗ на 30%:</w:t>
                    <w:br/>
                    <w:br/>
                    <w:t xml:space="preserve">ЕСЛИ((МИН(ДИАПАЗОН)/ГКПЗ)&lt;0,7;</w:t>
                    <w:br/>
                    <w:br/>
                    <w:t xml:space="preserve">если минимальное предложение меньше ГКПЗ на 30%, то максимальному баллу 5 соответствует минимальное предложение:</w:t>
                    <w:br/>
                    <w:br/>
                    <w:t xml:space="preserve">ЕСЛИ(ОФЕРТА=МИН(ДИАПАЗОН) то 5;</w:t>
                    <w:br/>
                    <w:br/>
                    <w:t xml:space="preserve">иначе ((ГКПЗ-ОФЕРТА)*3/(ГКПЗ-МИН(ДИАПАЗОН))+2));</w:t>
                    <w:br/>
                    <w:br/>
                    <w:t xml:space="preserve">если минимальное предложение не меньше ГКПЗ на 30%, то максимальному баллу 5 соответствует сумма ГКПЗ минус 30%. Выполняется расчёт оценки в диапазоне от 2 до 5:</w:t>
                    <w:br/>
                    <w:br/>
                    <w:t xml:space="preserve">((ГКПЗ-ОФЕРТА)/(ГКПЗ)*10)+2));</w:t>
                    <w:br/>
                    <w:br/>
                    <w:t xml:space="preserve">Сценарий 2: шкала оценок от 1 до 3. 3 балла получает Участник с ценой ОФЕРТЫ равной плановой сумме ГКПЗ. Расчёт оценок остальных участников выполняется в диапазоне от 1 до 3:</w:t>
                    <w:br/>
                    <w:br/>
                    <w:t xml:space="preserve">ЕСЛИ(ОФЕРТА=МАКС(ДИАПАЗОН) то 1;</w:t>
                    <w:br/>
                    <w:br/>
                    <w:t xml:space="preserve">иначе ((МАКС(ДИАПАЗОН)-ОФЕРТА)*2/(МАКС(ДИАПАЗОН)-ГКПЗ))+1);</w:t>
                    <w:br/>
                    <w:br/>
                    <w:t xml:space="preserve">В случае, если закупочная процедура проводится в соответствии с Федеральным законом от 18.07.2011 223-ФЗ, то оценка и сопоставление предложений участников будут проводиться с учетом положений Постановления Правительства Российской Федерации от 23.12.2024 № 1875</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5" w:name="JR_PAGE_ANCHOR_0_6"/>
            <w:bookmarkEnd w:id="5"/>
          </w:p>
        </w:tc>
        <w:tc>
          <w:tcPr>
     </w:tcPr>
          <w:p>
            <w:pPr>
              <w:pStyle w:val="EMPTY_CELL_STYLE"/>
            </w:pPr>
          </w:p>
        </w:tc>
        <w:tc>
          <w:tcPr>
     </w:tcPr>
          <w:p>
            <w:pPr>
              <w:pStyle w:val="EMPTY_CELL_STYLE"/>
            </w:pPr>
          </w:p>
        </w:tc>
      </w:tr>
      <w:tr>
        <w:trPr>
          <w:trHeight w:hRule="exact" w:val="1622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  Присвоение баллов заявкам по критерию 4 Надежность Участника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сумма баллов (с учетом значимости) по подкритериям критерия 4 Надежность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сумма баллов по соответствующим подкритериям критерия 4;</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значимость каждого подкритерия критерия 4.</w:t>
                  </w:r>
                </w:p>
              </w:tc>
            </w:tr>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4.4.2.  Присвоение баллов заявкам по критерию 4.2 Ресурсные возможности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4.2.3</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сумма баллов (с учетом значимости) по подкритериям критерия 4.2 Ресурсные возможности;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4.2.3</w:t>
                  </w:r>
                  <w:r>
                    <w:rPr>
                      <w:rFonts w:ascii="Times New Roman" w:hAnsi="Times New Roman" w:eastAsia="Times New Roman" w:cs="Times New Roman"/>
                      <w:color w:val="000000"/>
                      <w:sz w:val="24"/>
                    </w:rPr>
                    <w:t xml:space="preserve"> − сумма баллов по соответствующим подкритериям критерия 4.2;</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4.2.3</w:t>
                  </w:r>
                  <w:r>
                    <w:rPr>
                      <w:rFonts w:ascii="Times New Roman" w:hAnsi="Times New Roman" w:eastAsia="Times New Roman" w:cs="Times New Roman"/>
                      <w:color w:val="000000"/>
                      <w:sz w:val="24"/>
                    </w:rPr>
                    <w:t xml:space="preserve"> − значимость каждого подкритерия критерия 4.2.</w:t>
                  </w:r>
                </w:p>
              </w:tc>
            </w:tr>
            <w:tr>
              <w:trPr>
                <w:trHeight w:hRule="atLeast" w:val="33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4.4.2.1.  Присвоение баллов заявкам по критерию 4.2.1 Добровольные системы подтверждения квалификации участника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4.2.1.2</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сумма баллов (с учетом значимости) по подкритериям критерия 4.2.1 Добровольные системы подтверждения квалификации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4.2.1.2</w:t>
                  </w:r>
                  <w:r>
                    <w:rPr>
                      <w:rFonts w:ascii="Times New Roman" w:hAnsi="Times New Roman" w:eastAsia="Times New Roman" w:cs="Times New Roman"/>
                      <w:color w:val="000000"/>
                      <w:sz w:val="24"/>
                    </w:rPr>
                    <w:t xml:space="preserve"> − сумма баллов по соответствующим подкритериям критерия 4.2.1;</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4.2.1.2</w:t>
                  </w:r>
                  <w:r>
                    <w:rPr>
                      <w:rFonts w:ascii="Times New Roman" w:hAnsi="Times New Roman" w:eastAsia="Times New Roman" w:cs="Times New Roman"/>
                      <w:color w:val="000000"/>
                      <w:sz w:val="24"/>
                    </w:rPr>
                    <w:t xml:space="preserve"> − значимость каждого подкритерия критерия 4.2.1.</w:t>
                  </w:r>
                </w:p>
              </w:tc>
            </w:tr>
            <w:tr>
              <w:trPr>
                <w:trHeight w:hRule="atLeast" w:val="358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4.4.3.  Присвоение баллов заявкам по критерию 4.3 Экономические риски с учётом платёжеспособности и финансовой устойчивости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сумма баллов (с учетом значимости) по подкритериям критерия 4.3 Экономические риски с учётом платёжеспособности и финансовой устойчивости;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сумма баллов по соответствующим подкритериям критерия 4.3;</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значимость каждого подкритерия критерия 4.3.</w:t>
                  </w:r>
                </w:p>
              </w:tc>
            </w:tr>
            <w:tr>
              <w:trPr>
                <w:trHeight w:hRule="atLeast" w:val="33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4.4.4.  Присвоение баллов заявкам по критерию 4.4 Юридические риски с учётом предложенных условий договора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сумма баллов (с учетом значимости) по подкритериям критерия 4.4 Юридические риски с учётом предложенных условий договора;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сумма баллов по соответствующим подкритериям критерия 4.4;</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значимость каждого подкритерия критерия 4.4.</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6" w:name="JR_PAGE_ANCHOR_0_7"/>
            <w:bookmarkEnd w:id="6"/>
          </w:p>
        </w:tc>
        <w:tc>
          <w:tcPr>
     </w:tcPr>
          <w:p>
            <w:pPr>
              <w:pStyle w:val="EMPTY_CELL_STYLE"/>
            </w:pPr>
          </w:p>
        </w:tc>
        <w:tc>
          <w:tcPr>
     </w:tcPr>
          <w:p>
            <w:pPr>
              <w:pStyle w:val="EMPTY_CELL_STYLE"/>
            </w:pPr>
          </w:p>
        </w:tc>
      </w:tr>
      <w:tr>
        <w:trPr>
          <w:trHeight w:hRule="exact" w:val="51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514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4.5.  Итоговое значение заявки (сумма баллов) рассчитывается суммированием баллов, набранных заявкой по каждому из критериев с учетом их значимости, по следующей формуле:</w:t>
                    <w:br/>
                    <w:br/>
                  </w:r>
                  <w:r>
                    <w:rPr>
                      <w:rFonts w:ascii="Times New Roman" w:hAnsi="Times New Roman" w:eastAsia="Times New Roman" w:cs="Times New Roman"/>
                      <w:color w:val="000000"/>
                      <w:sz w:val="28"/>
                      <w:b w:val="true"/>
                      <w:i w:val="true"/>
                    </w:rPr>
                    <w:t xml:space="preserve">И</w:t>
                  </w:r>
                  <w:r>
                    <w:rPr>
                      <w:rFonts w:ascii="Times New Roman" w:hAnsi="Times New Roman" w:eastAsia="Times New Roman" w:cs="Times New Roman"/>
                      <w:color w:val="000000"/>
                      <w:sz w:val="20"/>
                      <w:i w:val="true"/>
                    </w:rPr>
                    <w:t xml:space="preserve">СБ</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28"/>
                      <w:b w:val="true"/>
                      <w:i w:val="true"/>
                    </w:rPr>
                    <w:t xml:space="preserve">И</w:t>
                  </w:r>
                  <w:r>
                    <w:rPr>
                      <w:rFonts w:ascii="Times New Roman" w:hAnsi="Times New Roman" w:eastAsia="Times New Roman" w:cs="Times New Roman"/>
                      <w:color w:val="000000"/>
                      <w:sz w:val="20"/>
                      <w:i w:val="true"/>
                    </w:rPr>
                    <w:t xml:space="preserve">СБ</w:t>
                  </w:r>
                  <w:r>
                    <w:rPr>
                      <w:rFonts w:ascii="Times New Roman" w:hAnsi="Times New Roman" w:eastAsia="Times New Roman" w:cs="Times New Roman"/>
                      <w:color w:val="000000"/>
                      <w:sz w:val="24"/>
                    </w:rPr>
                    <w:t xml:space="preserve">– итоговая сумма баллов Конкурсной заявки;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балл по критерию Деловая репутация Участника</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значимость критерия Деловая репутация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сумма баллов по критерию Качество продукции</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значимость критерия Качество продукции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балл по критерию Коммерческое предложение</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значимость критерия Коммерческое предложение</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сумма баллов по критерию Надежность Участника</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значимость критерия Надежность Участника</w:t>
                    <w:br/>
                  </w:r>
                </w:p>
              </w:tc>
            </w:tr>
          </w:tbl>
          <w:p>
            <w:pPr>
              <w:pStyle w:val="EMPTY_CELL_STYLE"/>
            </w:pPr>
          </w:p>
        </w:tc>
        <w:tc>
          <w:tcPr>
     </w:tcPr>
          <w:p>
            <w:pPr>
              <w:pStyle w:val="EMPTY_CELL_STYLE"/>
            </w:pPr>
          </w:p>
        </w:tc>
      </w:tr>
      <w:tr>
        <w:trPr>
          <w:trHeight w:hRule="atLeast" w:val="4680"/>
        </w:trPr>
        <w:tc>
          <w:tcPr>
     </w:tcPr>
          <w:p>
            <w:pPr>
              <w:pStyle w:val="EMPTY_CELL_STYLE"/>
            </w:pPr>
          </w:p>
        </w:tc>
        <w:tc>
          <w:tcPr>
            <w:tcMar>
              <w:top w:w="0" w:type="dxa"/>
              <w:left w:w="0" w:type="dxa"/>
              <w:bottom w:w="0" w:type="dxa"/>
              <w:right w:w="0" w:type="dxa"/>
            </w:tcMar>
            <w:vAlign w:val="top"/>
          </w:tcPr>
          <w:p>
            <w:pPr>
              <w:ind/>
            </w:pPr>
            <w:r>
              <w:rPr>
                <w:rFonts w:ascii="Times New Roman" w:hAnsi="Times New Roman" w:eastAsia="Times New Roman" w:cs="Times New Roman"/>
                <w:color w:val="000000"/>
                <w:sz w:val="24"/>
              </w:rPr>
              <w:br/>
              <w:t xml:space="preserve"> 5.  На основании результатов оценки заявок закупочной/конкурсной комиссией каждой заявке относительно других по мере уменьшения итогового значения присваивается порядковый номер. Первый номер присваивается заявке, набравшей по результатам оценки максимальное количество баллов. Такая заявка считается содержащей лучшие условия исполнения договора. В случае если в нескольких заявках содержатся одинаковые условия исполнения договора и такие заявки получили одинаковые итоговые значения, меньший порядковый номер присваивается заявке, поступившей (зарегистрированной на электронной площадке) раньше. </w:t>
              <w:br/>
              <w:br/>
              <w:t xml:space="preserve"> 6.  При проведении процедуры переторжки или переговоров предыдущее ранжирование участников считается предварительным. После проведения переторжки (переговоров) Закупочная комиссия (экспертная группа) повторно оценивает критерии, информация по которым изменилась. При этом, после проведения переговоров, повторно может проводиться экспертиза по любому критерию/подкритерию. При проведении переторжки повторно проводится только экспертиза по коммерческому направлению. </w:t>
              <w:br/>
              <w:t xml:space="preserve"> По закупкам, участниками которых могут быть только СМСП, коммерческая экспертиза проводиться один раз (оцениваются либо первичные коммерческие предложения, либо поданные на этапе подачи дополнительных ценовых предложений участников дополнительные ценовые предложения).</w:t>
            </w:r>
          </w:p>
        </w:tc>
        <w:tc>
          <w:tcPr>
     </w:tcPr>
          <w:p>
            <w:pPr>
              <w:pStyle w:val="EMPTY_CELL_STYLE"/>
            </w:pPr>
          </w:p>
        </w:tc>
      </w:tr>
    </w:tbl>
    <w:p>
      <w:pPr>
        <w:sectPr>
          <w:pgSz w:w="11900" w:h="16840" w:orient="portrait"/>
          <w:pgMar w:top="200" w:right="200" w:bottom="0" w:left="200" w:header="0" w:footer="0" w:gutter="0"/>
          <w:docGrid w:linePitch="360"/>
        </w:sectPr>
      </w:pPr>
    </w:p>
    <w:sectPr>
      <w:pgSz w:w="11900" w:h="16840" w:orient="portrait"/>
      <w:pgMar w:top="200" w:right="200" w:bottom="0" w:left="200" w:header="0" w:footer="0" w:gutter="0"/>
      <w:docGrid w:linePitch="360"/>
    </w:sectPr>
    <w:tbl>
      <w:tblPr>
        <w:tblLayout w:type="fixed"/>
      </w:tblPr>
      <w:tblGrid>
        <w:gridCol w:w="1"/>
        <w:gridCol w:w="20"/>
        <w:gridCol w:w="3600"/>
        <w:gridCol w:w="2000"/>
        <w:gridCol w:w="4900"/>
        <w:gridCol w:w="2280"/>
        <w:gridCol w:w="3300"/>
        <w:gridCol w:w="20"/>
        <w:gridCol w:w="320"/>
      </w:tblGrid>
      <w:tr>
        <w:trPr>
          <w:trHeight w:hRule="exact" w:val="0"/>
        </w:trPr>
        <w:tc>
          <w:tcPr>
     </w:tcPr>
          <w:p>
            <w:pPr>
              <w:pStyle w:val="EMPTY_CELL_STYLE"/>
            </w:pPr>
            <w:bookmarkStart w:id="0" w:name="JR_PAGE_ANCHOR_0_1"/>
            <w:bookmarkEnd w:id="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rPr>
              <w:t xml:space="preserve">Приложение 1 к руководству</w:t>
              <w:br/>
            </w:r>
          </w:p>
        </w:tc>
        <w:tc>
          <w:tcPr>
     </w:tcPr>
          <w:p>
            <w:pPr>
              <w:pStyle w:val="EMPTY_CELL_STYLE"/>
            </w:pPr>
          </w:p>
        </w:tc>
        <w:tc>
          <w:tcPr>
     </w:tcPr>
          <w:p>
            <w:pPr>
              <w:pStyle w:val="EMPTY_CELL_STYLE"/>
            </w:pPr>
          </w:p>
        </w:tc>
      </w:tr>
      <w:tr>
        <w:trPr>
          <w:trHeight w:hRule="exact" w:val="400"/>
        </w:trPr>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ПРИСВОЕНИЯ БАЛЛОВ</w:t>
            </w: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Финансово-экономическая  экспертиза</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5"/>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 (Отборочная стадия проводится в соответствии с Методикой проведения экспертизы финансово-экономической устойчивости участников закупочных процедур)</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400"/>
        </w:trPr>
        <w:tc>
          <w:tcPr>
     </w:tcPr>
          <w:p>
            <w:pPr>
              <w:pStyle w:val="EMPTY_CELL_STYLE"/>
            </w:pPr>
          </w:p>
        </w:tc>
        <w:tc>
          <w:tcPr>
            <w:gridSpan w:val="6"/>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 w:name="JR_PAGE_ANCHOR_0_1"/>
                  <w:bookmarkEnd w:id="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 w:name="JR_PAGE_ANCHOR_0_1"/>
                  <w:bookmarkEnd w:id="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 w:name="JR_PAGE_ANCHOR_0_1"/>
                  <w:bookmarkEnd w:id="3"/>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4" w:name="JR_PAGE_ANCHOR_0_2"/>
            <w:bookmarkEnd w:id="4"/>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324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16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8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соответствует требованиям Закупочной документации</w:t>
                          <w:br/>
                          <w:t xml:space="preserve">От 1 до 5 баллов  - Баллы выставляются в соотвествии с Методикой проведения экспертизы финансово-экономической устойчивости участников закупочных процедур</w:t>
                        </w: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5" w:name="JR_PAGE_ANCHOR_0_3"/>
            <w:bookmarkEnd w:id="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Коммерческая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40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6" w:name="JR_PAGE_ANCHOR_0_3"/>
                  <w:bookmarkEnd w:id="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7" w:name="JR_PAGE_ANCHOR_0_3"/>
                  <w:bookmarkEnd w:id="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8" w:name="JR_PAGE_ANCHOR_0_3"/>
                  <w:bookmarkEnd w:id="8"/>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200"/>
        <w:gridCol w:w="1800"/>
        <w:gridCol w:w="7800"/>
        <w:gridCol w:w="1680"/>
        <w:gridCol w:w="20"/>
        <w:gridCol w:w="1580"/>
        <w:gridCol w:w="20"/>
        <w:gridCol w:w="1600"/>
        <w:gridCol w:w="1340"/>
        <w:gridCol w:w="400"/>
      </w:tblGrid>
      <w:tr>
        <w:trPr>
          <w:trHeight w:hRule="exact" w:val="0"/>
        </w:trPr>
        <w:tc>
          <w:tcPr>
     </w:tcPr>
          <w:p>
            <w:pPr>
              <w:pStyle w:val="EMPTY_CELL_STYLE"/>
              <w:pageBreakBefore/>
            </w:pPr>
            <w:bookmarkStart w:id="9" w:name="JR_PAGE_ANCHOR_0_4"/>
            <w:bookmarkEnd w:id="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Сумма ГКПЗ</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tcPr>
          <w:p>
            <w:pPr>
              <w:pStyle w:val="EMPTY_CELL_STYLE"/>
            </w:pPr>
          </w:p>
        </w:tc>
        <w:tc>
          <w:tcPr>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 п/п</w:t>
            </w:r>
          </w:p>
        </w:tc>
        <w:tc>
          <w:tcPr>
            <w:gridSpan w:val="3"/>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Наименование участника процедуры</w:t>
            </w:r>
          </w:p>
        </w:tc>
        <w:tc>
          <w:tcPr>
            <w:gridSpan w:val="2"/>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Цена договора, предложенная участником, руб. без НДС</w:t>
            </w: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2</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3</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400"/>
        </w:trPr>
        <w:tc>
          <w:tcPr>
     </w:tcPr>
          <w:p>
            <w:pPr>
              <w:pStyle w:val="EMPTY_CELL_STYLE"/>
            </w:pPr>
          </w:p>
        </w:tc>
        <w:tc>
          <w:tcPr>
     </w:tcPr>
          <w:p>
            <w:pPr>
              <w:pStyle w:val="EMPTY_CELL_STYLE"/>
            </w:pPr>
          </w:p>
        </w:tc>
        <w:tc>
          <w:tcPr>
            <w:gridSpan w:val="8"/>
            <w:tcMar>
              <w:top w:w="0" w:type="dxa"/>
              <w:left w:w="0" w:type="dxa"/>
              <w:bottom w:w="0" w:type="dxa"/>
              <w:right w:w="0" w:type="dxa"/>
            </w:tcMar>
          </w:tcPr>
          <w:tbl>
            <w:tblPr>
              <w:tblLayout w:type="fixed"/>
            </w:tblPr>
            <w:tblGrid>
              <w:gridCol w:w="8400"/>
              <w:gridCol w:w="740"/>
              <w:gridCol w:w="740"/>
              <w:gridCol w:w="740"/>
              <w:gridCol w:w="760"/>
              <w:gridCol w:w="760"/>
              <w:gridCol w:w="740"/>
              <w:gridCol w:w="740"/>
              <w:gridCol w:w="740"/>
              <w:gridCol w:w="740"/>
              <w:gridCol w:w="740"/>
            </w:tblGrid>
            <w:tr>
              <w:trPr>
                <w:trHeight w:hRule="exact" w:val="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400"/>
                    <w:gridCol w:w="840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(максимальная оценка по позиции –  5 баллов)</w:t>
                        </w:r>
                      </w:p>
                    </w:tc>
                  </w:tr>
                  <w:tr>
                    <w:trPr>
                      <w:trHeight w:hRule="exact" w:val="400"/>
                    </w:trPr>
                    <w:tc>
                      <w:tcPr>
                        <w:shd w:val="clear" w:color="auto" w:fill="FFFFFF"/>
                        <w:tcBorders>
                          <w:top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Критерии оценки</w:t>
                        </w:r>
                      </w:p>
                    </w:tc>
                  </w:tr>
                </w:tbl>
                <w:p>
                  <w:pPr>
                    <w:pStyle w:val="EMPTY_CELL_STYLE"/>
                  </w:pPr>
                </w:p>
              </w:tc>
              <w:tc>
                <w:tcPr>
                  <w:gridSpan w:val="10"/>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40"/>
                    <w:gridCol w:w="74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участника</w:t>
                        </w:r>
                      </w:p>
                    </w:tc>
                  </w:tr>
                </w:tbl>
                <w:p>
                  <w:pPr>
                    <w:pStyle w:val="EMPTY_CELL_STYLE"/>
                  </w:pPr>
                </w:p>
              </w:tc>
            </w:tr>
            <w:tr>
              <w:trPr>
                <w:trHeight w:hRule="exact" w:val="4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2</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3</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60"/>
                    <w:gridCol w:w="76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4</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60"/>
                    <w:gridCol w:w="76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5</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6</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7</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8</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9</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10</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400"/>
                    <w:gridCol w:w="84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Цена договора, предложенная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10" w:name="JR_PAGE_ANCHOR_0_4"/>
                  <w:bookmarkEnd w:id="10"/>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1" w:name="JR_PAGE_ANCHOR_0_4"/>
                  <w:bookmarkEnd w:id="1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2" w:name="JR_PAGE_ANCHOR_0_4"/>
                  <w:bookmarkEnd w:id="1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3" w:name="JR_PAGE_ANCHOR_0_4"/>
                  <w:bookmarkEnd w:id="13"/>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4" w:name="JR_PAGE_ANCHOR_0_4"/>
                  <w:bookmarkEnd w:id="14"/>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5" w:name="JR_PAGE_ANCHOR_0_4"/>
                  <w:bookmarkEnd w:id="15"/>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6" w:name="JR_PAGE_ANCHOR_0_4"/>
                  <w:bookmarkEnd w:id="1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7" w:name="JR_PAGE_ANCHOR_0_4"/>
                  <w:bookmarkEnd w:id="1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8" w:name="JR_PAGE_ANCHOR_0_4"/>
                  <w:bookmarkEnd w:id="18"/>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9" w:name="JR_PAGE_ANCHOR_0_4"/>
                  <w:bookmarkEnd w:id="19"/>
                </w:p>
                <w:p>
                  <w:r>
                    <w:br w:type="page"/>
                  </w:r>
                </w:p>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20" w:name="JR_PAGE_ANCHOR_0_5"/>
            <w:bookmarkEnd w:id="2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Экономическая безопасность</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40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21" w:name="JR_PAGE_ANCHOR_0_5"/>
                  <w:bookmarkEnd w:id="2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2" w:name="JR_PAGE_ANCHOR_0_5"/>
                  <w:bookmarkEnd w:id="2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3" w:name="JR_PAGE_ANCHOR_0_5"/>
                  <w:bookmarkEnd w:id="23"/>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24" w:name="JR_PAGE_ANCHOR_0_6"/>
            <w:bookmarkEnd w:id="24"/>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302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14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42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Деловая репутация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8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Неприемлемая деловая репутация</w:t>
                          <w:br/>
                          <w:t xml:space="preserve">От 1 до 5 баллов  - Баллы выставляются в соотвествии с Методикой оценки деловой репутации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25" w:name="JR_PAGE_ANCHOR_0_7"/>
            <w:bookmarkEnd w:id="2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Техническая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26" w:name="JR_PAGE_ANCHOR_0_7"/>
                  <w:bookmarkEnd w:id="2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7" w:name="JR_PAGE_ANCHOR_0_7"/>
                  <w:bookmarkEnd w:id="2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8" w:name="JR_PAGE_ANCHOR_0_7"/>
                  <w:bookmarkEnd w:id="28"/>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29" w:name="JR_PAGE_ANCHOR_0_8"/>
            <w:bookmarkEnd w:id="29"/>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802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3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3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Временные параметры выполнения работы</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74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указал временные параметры выполнения работ, либо предложенные временные параметры не соответствуют требованиям Закупочной документации</w:t>
                          <w:br/>
                          <w:t xml:space="preserve">От 1 до 2 баллов  - Данный диапазон не  используется</w:t>
                          <w:br/>
                          <w:t xml:space="preserve">3 балла - Предложенные временные параметры выполнения работ соответствуют требованиям/условиям  Закупочной документации</w:t>
                          <w:br/>
                          <w:t xml:space="preserve">4 балла - Предложенные временные параметры выполнения работ участника  улучшают требования закупочной документации, в случае если возможность таких улучшений была указана в Закупочной документации</w:t>
                          <w:br/>
                          <w:t xml:space="preserve">5 баллов - Оценка не используется</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308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08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Гарантийные обязательства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48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подтвердил гарантийные обязательства,  либо предложенные обязательства меньше (хуже) требований Закупочной документации</w:t>
                          <w:br/>
                          <w:t xml:space="preserve">От 1 до 2 баллов  - Данный диапазон не  используется</w:t>
                          <w:br/>
                          <w:t xml:space="preserve">3 балла - Предложенные гарантийные обязательства  соответствуют требованиям/условиям  Закупочной документации</w:t>
                          <w:br/>
                          <w:t xml:space="preserve">4 балла - Предложенные гарантийные обязательства  улучшают требования закупочной документации, но не более чем в 2 раза</w:t>
                          <w:br/>
                          <w:t xml:space="preserve">5 баллов - Предложенные гарантийные обязательства  улучшают требования закупочной документации более чем в 2 раза</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16100"/>
        <w:gridCol w:w="340"/>
      </w:tblGrid>
      <w:tr>
        <w:trPr>
          <w:trHeight w:hRule="exact" w:val="0"/>
        </w:trPr>
        <w:tc>
          <w:tcPr>
     </w:tcPr>
          <w:p>
            <w:pPr>
              <w:pStyle w:val="EMPTY_CELL_STYLE"/>
              <w:pageBreakBefore/>
            </w:pPr>
            <w:bookmarkStart w:id="30" w:name="JR_PAGE_ANCHOR_0_9"/>
            <w:bookmarkEnd w:id="30"/>
          </w:p>
        </w:tc>
        <w:tc>
          <w:tcPr>
     </w:tcPr>
          <w:p>
            <w:pPr>
              <w:pStyle w:val="EMPTY_CELL_STYLE"/>
            </w:pPr>
          </w:p>
        </w:tc>
        <w:tc>
          <w:tcPr>
     </w:tcPr>
          <w:p>
            <w:pPr>
              <w:pStyle w:val="EMPTY_CELL_STYLE"/>
            </w:pPr>
          </w:p>
        </w:tc>
      </w:tr>
      <w:tr>
        <w:trPr>
          <w:trHeight w:hRule="exact" w:val="4940"/>
        </w:trPr>
        <w:tc>
          <w:tcPr>
     </w:tcPr>
          <w:p>
            <w:pPr>
              <w:pStyle w:val="EMPTY_CELL_STYLE"/>
            </w:pPr>
          </w:p>
        </w:tc>
        <w:tc>
          <w:tcPr>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3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3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Соответствие объема и качества предлагаемых к выполнению работ требованиям ТЗ</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74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представил (не подтвердил) объем и/или качество выполняемых работ, либо объем и/или качество выполняемых работ не соответствуют  минимальным требовниям Закупочной документации</w:t>
                          <w:br/>
                          <w:t xml:space="preserve">От 1 до 2 баллов  - Данный диапазон не  используется</w:t>
                          <w:br/>
                          <w:t xml:space="preserve">3 балла - Предложение участника полностью соответствует требованиям  Закупочной документации по объему и качеству выполняемых работ</w:t>
                          <w:br/>
                          <w:t xml:space="preserve">4 балла - Предложение участника полностью соответствует требованиям  Закупочной документации по объему и качеству выполняемых работ. Подтверждены желательные требования</w:t>
                          <w:br/>
                          <w:t xml:space="preserve">5 баллов - Оценка не используется</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31" w:name="JR_PAGE_ANCHOR_0_10"/>
            <w:bookmarkEnd w:id="3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Юридическая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40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32" w:name="JR_PAGE_ANCHOR_0_10"/>
                  <w:bookmarkEnd w:id="3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3" w:name="JR_PAGE_ANCHOR_0_10"/>
                  <w:bookmarkEnd w:id="33"/>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4" w:name="JR_PAGE_ANCHOR_0_10"/>
                  <w:bookmarkEnd w:id="34"/>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35" w:name="JR_PAGE_ANCHOR_0_11"/>
            <w:bookmarkEnd w:id="35"/>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966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47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472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Риск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41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Непредставление документов, установленных требованиями Закупочной документации и/или представление документов не соответствующих требованиям Закупочной документации и/или представление документов, не подтверждающих соответствие участника требованиям Закупочной документации (за исключением документов, указанных при описании оценки 2 балла). Отсутствие участника в Едином реестре СМСП (при закупке у СМСП)</w:t>
                          <w:br/>
                          <w:t xml:space="preserve">1 балл - Не используется для оценки</w:t>
                          <w:br/>
                          <w:t xml:space="preserve">2 балла - Не представление участником справок (одной или обоих) о крупности и/или заинтересованности сделок или представление участником справок (одной или обоих) о крупности и/или заинтересованности сделок не соответствующих требованиям  Закупочной документации и/или законодательству РФ; не представление действующей версии Устава.</w:t>
                          <w:br/>
                          <w:t xml:space="preserve">3 балла - Участник/предложение участника соответствует требованиям Закупочной документации. Приемлемые риски</w:t>
                          <w:br/>
                          <w:t xml:space="preserve">От 4 до 5 баллов  - Диапазон не используется для оценки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33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3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Приемлемость условий договора, предложенных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74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представил протокол разногласий в соответствии с формой, установленной закупочной документацией и/или письма-согласия с условиями договора, и/или представлен протокол разногласий с "обязательными" условиями и/или без указания статуса условий</w:t>
                          <w:br/>
                          <w:t xml:space="preserve">1 балл - Участником представлен протокол разногласий с "желательными" условиями влияющими/ухудшающими положение Заказчика</w:t>
                          <w:br/>
                          <w:t xml:space="preserve">2 балла - Оценка не используется</w:t>
                          <w:br/>
                          <w:t xml:space="preserve">3 балла - Участник согласен с условиями договора или участник представил протокол разногласий с "желательными" условиями не влияющими на положение Заказчика</w:t>
                          <w:br/>
                          <w:t xml:space="preserve">От 4 до 5 баллов  - Не используется для оценки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36" w:name="JR_PAGE_ANCHOR_0_12"/>
            <w:bookmarkEnd w:id="3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324.26.00139</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Квалификационная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40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37" w:name="JR_PAGE_ANCHOR_0_12"/>
                  <w:bookmarkEnd w:id="3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8" w:name="JR_PAGE_ANCHOR_0_12"/>
                  <w:bookmarkEnd w:id="38"/>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9" w:name="JR_PAGE_ANCHOR_0_12"/>
                  <w:bookmarkEnd w:id="39"/>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40" w:name="JR_PAGE_ANCHOR_0_13"/>
            <w:bookmarkEnd w:id="40"/>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996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9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9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Опыт выполнения  работ</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33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представлены сведения , либо представленный опыт ниже минимальных обязательных требований, указанных в закупочной документации</w:t>
                          <w:br/>
                          <w:t xml:space="preserve">От 1 до 2 баллов  - Данный диапазон не используется</w:t>
                          <w:br/>
                          <w:t xml:space="preserve">3 балла - Опыт выполнения работ соответствует минимальным обязательным требованиям закупочной документации</w:t>
                          <w:br/>
                          <w:t xml:space="preserve">4 балла - Опыт выполнения работ превышает  минимальные обязательные требования закупочной документациию ИЛИ опыт поставок соответствует минимальным обязательным требованиям закупочной документации и подтверждены желательные требования по опыту, указанные в закупочной документации</w:t>
                          <w:br/>
                          <w:t xml:space="preserve">5 баллов - Опыт выполнения работ превышает  минимальные обязательные требования закупочной документациию и подтверждены желательные требования по опыту, указанные в закупочной документации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446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446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Наличие и квалификация персонала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386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Наличие и квалификация персонала ниже минимальных обязательных требований закупочной документации, либо сведения не представлены</w:t>
                          <w:br/>
                          <w:t xml:space="preserve">1 балл - данный диапазон не используется</w:t>
                          <w:br/>
                          <w:t xml:space="preserve">2 балла - данный диапазон не используется</w:t>
                          <w:br/>
                          <w:t xml:space="preserve">3 балла - Наличие и квалификация персонала соответствует минимальным обязательным требованиям закупочной документации</w:t>
                          <w:br/>
                          <w:t xml:space="preserve">4 балла - Наличие и квалификация персонала соответствует минимальным обязательным требованиям закупочной документации и подтверждено одно желательное требование по наличию и квалификации персонала,  указанное в закупочной документации</w:t>
                          <w:br/>
                          <w:t xml:space="preserve">5 баллов - Наличие и квалификация персонала соответствует минимальным обязательным требованиям закупочной документации и подтверждены два и более желательных требований по наличию и квалификации персонала, указанных в закупочной документации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26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26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26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16100"/>
        <w:gridCol w:w="340"/>
      </w:tblGrid>
      <w:tr>
        <w:trPr>
          <w:trHeight w:hRule="exact" w:val="0"/>
        </w:trPr>
        <w:tc>
          <w:tcPr>
     </w:tcPr>
          <w:p>
            <w:pPr>
              <w:pStyle w:val="EMPTY_CELL_STYLE"/>
              <w:pageBreakBefore/>
            </w:pPr>
            <w:bookmarkStart w:id="41" w:name="JR_PAGE_ANCHOR_0_14"/>
            <w:bookmarkEnd w:id="41"/>
          </w:p>
        </w:tc>
        <w:tc>
          <w:tcPr>
     </w:tcPr>
          <w:p>
            <w:pPr>
              <w:pStyle w:val="EMPTY_CELL_STYLE"/>
            </w:pPr>
          </w:p>
        </w:tc>
        <w:tc>
          <w:tcPr>
     </w:tcPr>
          <w:p>
            <w:pPr>
              <w:pStyle w:val="EMPTY_CELL_STYLE"/>
            </w:pPr>
          </w:p>
        </w:tc>
      </w:tr>
      <w:tr>
        <w:trPr>
          <w:trHeight w:hRule="exact" w:val="8800"/>
        </w:trPr>
        <w:tc>
          <w:tcPr>
     </w:tcPr>
          <w:p>
            <w:pPr>
              <w:pStyle w:val="EMPTY_CELL_STYLE"/>
            </w:pPr>
          </w:p>
        </w:tc>
        <w:tc>
          <w:tcPr>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418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418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Наличие материальных ресурсов</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358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Материальные ресурсы участника ниже минимальных обязательных требований, указанных в закупочной документации или сведения не представлены.</w:t>
                          <w:br/>
                          <w:t xml:space="preserve">От 1 до 2 баллов  - данный диапазон не используется</w:t>
                          <w:br/>
                          <w:t xml:space="preserve">3 балла - Участник имеет материальные ресурсы, соответствующие минимальным обязательным требованим Закупочной документации</w:t>
                          <w:br/>
                          <w:t xml:space="preserve">4 балла - Материальные ресурсы Участника  соответствуют минимальным обязательным требованиям закупочной документации и подтверждено одно желательное требование по материальным ресурсам,  указанное в закупочной документации</w:t>
                          <w:br/>
                          <w:t xml:space="preserve">5 баллов - Материальные ресурсы Участника  соответствуют минимальным обязательным требованиям закупочной документации и подтверждено два и более  желательных требования по материальным ресурсам,  указанных в закупочной документации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9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9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9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30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02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Наличие сертифицированных систем менеджмента и/или иных добровольных сертифицированных подтверждений компетенции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2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используется для оценки</w:t>
                          <w:br/>
                          <w:t xml:space="preserve">1 балл - В случае не предоставления участником подтверждения наличия сертифицированных систем менеджмента и/или иных добровольных сертифицированных подтверждений компетенции ИЛИ в случае отсутствия данного требования в ТЗ</w:t>
                          <w:br/>
                          <w:t xml:space="preserve">От 2 до 5 баллов  - От 2 до 5 баллов рассчитывается по формуле: 1 + Су (но не более 5 баллов) где, Су - кол-во сертифицированных систем менеджмента и/или иных добровольных сертифицированных подтверждений компетенции, требуемых в ТЗ</w:t>
                        </w: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16100"/>
        <w:gridCol w:w="340"/>
      </w:tblGrid>
      <w:tr>
        <w:trPr>
          <w:trHeight w:hRule="exact" w:val="0"/>
        </w:trPr>
        <w:tc>
          <w:tcPr>
     </w:tcPr>
          <w:p>
            <w:pPr>
              <w:pStyle w:val="EMPTY_CELL_STYLE"/>
              <w:pageBreakBefore/>
            </w:pPr>
            <w:bookmarkStart w:id="42" w:name="JR_PAGE_ANCHOR_0_15"/>
            <w:bookmarkEnd w:id="42"/>
          </w:p>
        </w:tc>
        <w:tc>
          <w:tcPr>
     </w:tcPr>
          <w:p>
            <w:pPr>
              <w:pStyle w:val="EMPTY_CELL_STYLE"/>
            </w:pPr>
          </w:p>
        </w:tc>
        <w:tc>
          <w:tcPr>
     </w:tcPr>
          <w:p>
            <w:pPr>
              <w:pStyle w:val="EMPTY_CELL_STYLE"/>
            </w:pPr>
          </w:p>
        </w:tc>
      </w:tr>
      <w:tr>
        <w:trPr>
          <w:trHeight w:hRule="exact" w:val="4400"/>
        </w:trPr>
        <w:tc>
          <w:tcPr>
     </w:tcPr>
          <w:p>
            <w:pPr>
              <w:pStyle w:val="EMPTY_CELL_STYLE"/>
            </w:pPr>
          </w:p>
        </w:tc>
        <w:tc>
          <w:tcPr>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28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8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Аккредитация в Группе «Интер РАО» в качестве поставщика, закупаемых в рамках данной процедуры товаров, работ, услуг</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2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используется для оценки</w:t>
                          <w:br/>
                          <w:t xml:space="preserve">1 балл - в случае не предоставления участником действующих свидетельства об аккредитации в качестве поставщика для нужд Группы «Интер РАО», по видам деятельности, перечисленным в ТЗ ИЛИ в случае отсутствия данного требования в ТЗ</w:t>
                          <w:br/>
                          <w:t xml:space="preserve">2 балла - Не используется для оценки</w:t>
                          <w:br/>
                          <w:t xml:space="preserve">От 3 до 5 баллов  - рассчитывается по формуле: 2 + Ау (но не более 5 баллов) где, Ау - кол-во представленных участником действующих свидетельств об аккредитации в Группе «Интер РАО» по видам деятельности, перечисленным в ТЗ </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sectPr>
      <w:pgSz w:w="16840" w:h="11900" w:orient="landscape"/>
      <w:pgMar w:top="200" w:right="200" w:bottom="0" w:left="200" w:header="0" w:footer="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s>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Table_TH">
    <w:name w:val="Table_TH"/>
    <w:qFormat/>
    <w:pPr>
      <w:ind/>
    </w:pPr>
    <w:rPr>
      <w:rFonts w:ascii="SansSerif" w:hAnsi="SansSerif" w:eastAsia="SansSerif" w:cs="SansSerif"/>
      <w:color w:val="000000"/>
      <w:sz w:val="20"/>
    </w:rPr>
  </w:style>
  <w:style w:type="paragraph" w:styleId="Table_CH">
    <w:name w:val="Table_CH"/>
    <w:qFormat/>
    <w:pPr>
      <w:ind/>
    </w:pPr>
    <w:rPr>
      <w:rFonts w:ascii="SansSerif" w:hAnsi="SansSerif" w:eastAsia="SansSerif" w:cs="SansSerif"/>
      <w:color w:val="000000"/>
      <w:sz w:val="20"/>
    </w:rPr>
  </w:style>
  <w:style w:type="paragraph" w:styleId="Table_TD">
    <w:name w:val="Table_TD"/>
    <w:qFormat/>
    <w:pPr>
      <w:ind/>
    </w:pPr>
    <w:rPr>
      <w:rFonts w:ascii="SansSerif" w:hAnsi="SansSerif" w:eastAsia="SansSerif" w:cs="SansSerif"/>
      <w:color w:val="000000"/>
      <w:sz w:val="20"/>
    </w:rPr>
  </w:style>
</w:styles>
</file>

<file path=word/_rels/document.xml.rels><?xml version="1.0" encoding="UTF-8" standalone="yes"?><Relationships xmlns="http://schemas.openxmlformats.org/package/2006/relationships"><Relationship Id="img_0_0_3.jpg" Target="media/img_0_0_3.jpg" Type="http://schemas.openxmlformats.org/officeDocument/2006/relationships/image"/><Relationship Id="rId1" Target="styles.xml" Type="http://schemas.openxmlformats.org/officeDocument/2006/relationships/styles"/><Relationship Id="rId2" Target="settings.xml" Type="http://schemas.openxmlformats.org/officeDocument/2006/relationships/settings"/><Relationship Id="rId3" Target="fontTable.xml" Type="http://schemas.openxmlformats.org/officeDocument/2006/relationships/fontTable"/></Relationships>
</file>

<file path=docProps/app.xml><?xml version="1.0" encoding="utf-8"?>
<Properties xmlns="http://schemas.openxmlformats.org/officeDocument/2006/extended-properties">
  <Application>JasperReports Library version 6.12.2-75c5e90a222ab406e416cbf590a5397028a52de3</Application>
</Properties>
</file>

<file path=docProps/core.xml><?xml version="1.0" encoding="utf-8"?>
<cp:coreProperties xmlns:cp="http://schemas.openxmlformats.org/package/2006/metadata/core-properties" xmlns:dc="http://purl.org/dc/elements/1.1/" xmlns:dcterms="http://purl.org/dc/terms/" xmlns:xsi="http://www.w3.org/2001/XMLSchema-instance"/>
</file>